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B0EAA" w14:paraId="2BC9B75B" w14:textId="77777777" w:rsidTr="0010095E">
        <w:trPr>
          <w:trHeight w:hRule="exact" w:val="1418"/>
        </w:trPr>
        <w:tc>
          <w:tcPr>
            <w:tcW w:w="6804" w:type="dxa"/>
            <w:shd w:val="clear" w:color="auto" w:fill="auto"/>
            <w:vAlign w:val="center"/>
          </w:tcPr>
          <w:p w14:paraId="788E8C93" w14:textId="77777777" w:rsidR="00751A4A" w:rsidRPr="002B0EAA" w:rsidRDefault="00D33788" w:rsidP="0010095E">
            <w:pPr>
              <w:pStyle w:val="EPName"/>
            </w:pPr>
            <w:r w:rsidRPr="002B0EAA">
              <w:t>European Parliament</w:t>
            </w:r>
          </w:p>
          <w:p w14:paraId="0FB3D273" w14:textId="77777777" w:rsidR="00751A4A" w:rsidRPr="002B0EAA" w:rsidRDefault="00817416" w:rsidP="00756632">
            <w:pPr>
              <w:pStyle w:val="EPTerm"/>
              <w:rPr>
                <w:rStyle w:val="HideTWBExt"/>
                <w:noProof w:val="0"/>
                <w:vanish w:val="0"/>
                <w:color w:val="auto"/>
              </w:rPr>
            </w:pPr>
            <w:r w:rsidRPr="002B0EAA">
              <w:t>2019-2024</w:t>
            </w:r>
          </w:p>
        </w:tc>
        <w:tc>
          <w:tcPr>
            <w:tcW w:w="2268" w:type="dxa"/>
            <w:shd w:val="clear" w:color="auto" w:fill="auto"/>
          </w:tcPr>
          <w:p w14:paraId="009D40C0" w14:textId="77777777" w:rsidR="00751A4A" w:rsidRPr="002B0EAA" w:rsidRDefault="00187494" w:rsidP="0010095E">
            <w:pPr>
              <w:pStyle w:val="EPLogo"/>
            </w:pPr>
            <w:r w:rsidRPr="002B0EAA">
              <w:rPr>
                <w:noProof/>
              </w:rPr>
              <w:drawing>
                <wp:inline distT="0" distB="0" distL="0" distR="0" wp14:anchorId="73F16E15" wp14:editId="1019219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48BDAF9" w14:textId="77777777" w:rsidR="00D058B8" w:rsidRPr="002B0EAA" w:rsidRDefault="00D058B8" w:rsidP="004C5D52">
      <w:pPr>
        <w:pStyle w:val="LineTop"/>
      </w:pPr>
    </w:p>
    <w:p w14:paraId="345C81A6" w14:textId="77777777" w:rsidR="00680577" w:rsidRPr="002B0EAA" w:rsidRDefault="00D33788" w:rsidP="00680577">
      <w:pPr>
        <w:pStyle w:val="EPBodyTA1"/>
      </w:pPr>
      <w:r w:rsidRPr="002B0EAA">
        <w:t>TEXTS ADOPTED</w:t>
      </w:r>
    </w:p>
    <w:p w14:paraId="5BE690D9" w14:textId="77777777" w:rsidR="00D058B8" w:rsidRPr="002B0EAA" w:rsidRDefault="00D058B8" w:rsidP="00D058B8">
      <w:pPr>
        <w:pStyle w:val="LineBottom"/>
      </w:pPr>
    </w:p>
    <w:p w14:paraId="374FC2FA" w14:textId="149582D0" w:rsidR="00D33788" w:rsidRPr="002B0EAA" w:rsidRDefault="00D33788" w:rsidP="00D33788">
      <w:pPr>
        <w:pStyle w:val="ATHeading1"/>
      </w:pPr>
      <w:bookmarkStart w:id="0" w:name="TANumber"/>
      <w:r w:rsidRPr="002B0EAA">
        <w:t>P9_</w:t>
      </w:r>
      <w:proofErr w:type="gramStart"/>
      <w:r w:rsidRPr="002B0EAA">
        <w:t>TA(</w:t>
      </w:r>
      <w:proofErr w:type="gramEnd"/>
      <w:r w:rsidRPr="002B0EAA">
        <w:t>2024)0</w:t>
      </w:r>
      <w:bookmarkEnd w:id="0"/>
      <w:r w:rsidR="0007051C">
        <w:t>280</w:t>
      </w:r>
    </w:p>
    <w:p w14:paraId="09F7CB1D" w14:textId="77777777" w:rsidR="00D33788" w:rsidRPr="002B0EAA" w:rsidRDefault="00D33788" w:rsidP="00D33788">
      <w:pPr>
        <w:pStyle w:val="ATHeading2"/>
      </w:pPr>
      <w:bookmarkStart w:id="1" w:name="title"/>
      <w:r w:rsidRPr="002B0EAA">
        <w:t>Discharge 2022: Performance, financial management and control of EU agencies</w:t>
      </w:r>
      <w:bookmarkEnd w:id="1"/>
    </w:p>
    <w:p w14:paraId="0237C64B" w14:textId="77777777" w:rsidR="00D33788" w:rsidRPr="002B0EAA" w:rsidRDefault="00D33788" w:rsidP="00D33788">
      <w:pPr>
        <w:rPr>
          <w:i/>
          <w:vanish/>
        </w:rPr>
      </w:pPr>
      <w:r w:rsidRPr="002B0EAA">
        <w:rPr>
          <w:i/>
        </w:rPr>
        <w:fldChar w:fldCharType="begin"/>
      </w:r>
      <w:r w:rsidRPr="002B0EAA">
        <w:rPr>
          <w:i/>
        </w:rPr>
        <w:instrText xml:space="preserve"> TC"(</w:instrText>
      </w:r>
      <w:bookmarkStart w:id="2" w:name="DocNumber"/>
      <w:r w:rsidRPr="002B0EAA">
        <w:rPr>
          <w:i/>
        </w:rPr>
        <w:instrText>A9-0118/2024</w:instrText>
      </w:r>
      <w:bookmarkEnd w:id="2"/>
      <w:r w:rsidRPr="002B0EAA">
        <w:rPr>
          <w:i/>
        </w:rPr>
        <w:instrText xml:space="preserve"> - Rapporteur: Petri </w:instrText>
      </w:r>
      <w:proofErr w:type="spellStart"/>
      <w:r w:rsidRPr="002B0EAA">
        <w:rPr>
          <w:i/>
        </w:rPr>
        <w:instrText>Sarvamaa</w:instrText>
      </w:r>
      <w:proofErr w:type="spellEnd"/>
      <w:r w:rsidRPr="002B0EAA">
        <w:rPr>
          <w:i/>
        </w:rPr>
        <w:instrText xml:space="preserve">)"\l3 \n&gt; \* MERGEFORMAT </w:instrText>
      </w:r>
      <w:r w:rsidRPr="002B0EAA">
        <w:rPr>
          <w:i/>
        </w:rPr>
        <w:fldChar w:fldCharType="end"/>
      </w:r>
    </w:p>
    <w:p w14:paraId="30BEEBE9" w14:textId="77777777" w:rsidR="00D33788" w:rsidRPr="002B0EAA" w:rsidRDefault="00D33788" w:rsidP="00D33788">
      <w:pPr>
        <w:rPr>
          <w:vanish/>
        </w:rPr>
      </w:pPr>
      <w:bookmarkStart w:id="3" w:name="Commission"/>
      <w:r w:rsidRPr="002B0EAA">
        <w:rPr>
          <w:vanish/>
        </w:rPr>
        <w:t>Committee on Budgetary Control</w:t>
      </w:r>
      <w:bookmarkEnd w:id="3"/>
    </w:p>
    <w:p w14:paraId="276D1A1F" w14:textId="77777777" w:rsidR="00D33788" w:rsidRPr="002B0EAA" w:rsidRDefault="00D33788" w:rsidP="00D33788">
      <w:pPr>
        <w:rPr>
          <w:vanish/>
        </w:rPr>
      </w:pPr>
      <w:bookmarkStart w:id="4" w:name="PE"/>
      <w:r w:rsidRPr="002B0EAA">
        <w:rPr>
          <w:vanish/>
        </w:rPr>
        <w:t>PE753.545</w:t>
      </w:r>
      <w:bookmarkEnd w:id="4"/>
    </w:p>
    <w:p w14:paraId="1F8FE4E4" w14:textId="77777777" w:rsidR="00D33788" w:rsidRPr="002B0EAA" w:rsidRDefault="00D33788" w:rsidP="00D33788">
      <w:pPr>
        <w:pStyle w:val="ATHeading3"/>
      </w:pPr>
      <w:bookmarkStart w:id="5" w:name="Sujet"/>
      <w:r w:rsidRPr="002B0EAA">
        <w:t xml:space="preserve">European Parliament </w:t>
      </w:r>
      <w:r w:rsidR="006E3B9A" w:rsidRPr="002B0EAA">
        <w:t>resolution</w:t>
      </w:r>
      <w:r w:rsidRPr="002B0EAA">
        <w:t xml:space="preserve"> of 11 April 2024 on discharge in respect of the implementation of the budget of the European Union agencies for the financial year 2022: performance, financial management and control</w:t>
      </w:r>
      <w:bookmarkEnd w:id="5"/>
      <w:r w:rsidRPr="002B0EAA">
        <w:t xml:space="preserve"> </w:t>
      </w:r>
      <w:bookmarkStart w:id="6" w:name="References"/>
      <w:r w:rsidRPr="002B0EAA">
        <w:t>(2023/2182(DEC))</w:t>
      </w:r>
      <w:bookmarkEnd w:id="6"/>
    </w:p>
    <w:p w14:paraId="6E4CB932" w14:textId="77777777" w:rsidR="00AD4F1B" w:rsidRPr="002B0EAA" w:rsidRDefault="00AD4F1B" w:rsidP="00AD4F1B">
      <w:pPr>
        <w:pStyle w:val="EPComma"/>
      </w:pPr>
      <w:bookmarkStart w:id="7" w:name="TextBodyBegin"/>
      <w:bookmarkEnd w:id="7"/>
      <w:r w:rsidRPr="002B0EAA">
        <w:rPr>
          <w:i/>
        </w:rPr>
        <w:t>The European Parliament</w:t>
      </w:r>
      <w:r w:rsidRPr="002B0EAA">
        <w:t>,</w:t>
      </w:r>
    </w:p>
    <w:p w14:paraId="1069A01D" w14:textId="77777777" w:rsidR="00AD4F1B" w:rsidRPr="002B0EAA" w:rsidRDefault="00AD4F1B" w:rsidP="00BF7BEE">
      <w:pPr>
        <w:pStyle w:val="NormalHanging12a"/>
        <w:widowControl/>
      </w:pPr>
      <w:r w:rsidRPr="002B0EAA">
        <w:t>–</w:t>
      </w:r>
      <w:r w:rsidRPr="002B0EAA">
        <w:tab/>
        <w:t>having regard to its decisions on discharge in respect of the implementation of the budget of the European Union agencies for the financial year 2022,</w:t>
      </w:r>
    </w:p>
    <w:p w14:paraId="3F303035" w14:textId="77777777" w:rsidR="00AD4F1B" w:rsidRPr="002B0EAA" w:rsidRDefault="00AD4F1B" w:rsidP="00BF7BEE">
      <w:pPr>
        <w:pStyle w:val="NormalHanging12a"/>
        <w:widowControl/>
      </w:pPr>
      <w:r w:rsidRPr="002B0EAA">
        <w:t>–</w:t>
      </w:r>
      <w:r w:rsidRPr="002B0EAA">
        <w:tab/>
        <w:t>having regard to the Commission’s report on the follow-up to the discharge for the 2021 financial year (</w:t>
      </w:r>
      <w:proofErr w:type="gramStart"/>
      <w:r w:rsidRPr="002B0EAA">
        <w:t>COM(</w:t>
      </w:r>
      <w:proofErr w:type="gramEnd"/>
      <w:r w:rsidRPr="002B0EAA">
        <w:t>2023)0384),</w:t>
      </w:r>
    </w:p>
    <w:p w14:paraId="36B63985" w14:textId="77777777" w:rsidR="00AD4F1B" w:rsidRPr="002B0EAA" w:rsidRDefault="00AD4F1B" w:rsidP="00BF7BEE">
      <w:pPr>
        <w:pStyle w:val="NormalHanging12a"/>
        <w:widowControl/>
      </w:pPr>
      <w:r w:rsidRPr="002B0EAA">
        <w:t>–</w:t>
      </w:r>
      <w:r w:rsidRPr="002B0EAA">
        <w:tab/>
        <w:t>having regard to the Court of Auditors’ annual report on EU agencies for the financial year 2022, together with the agencies’ replies</w:t>
      </w:r>
      <w:r w:rsidRPr="002B0EAA">
        <w:rPr>
          <w:rStyle w:val="FootnoteReference"/>
        </w:rPr>
        <w:footnoteReference w:id="1"/>
      </w:r>
      <w:r w:rsidRPr="002B0EAA">
        <w:t>,</w:t>
      </w:r>
    </w:p>
    <w:p w14:paraId="07C97C1C" w14:textId="77777777" w:rsidR="00AD4F1B" w:rsidRPr="002B0EAA" w:rsidRDefault="00AD4F1B" w:rsidP="00BF7BEE">
      <w:pPr>
        <w:pStyle w:val="NormalHanging12a"/>
        <w:widowControl/>
      </w:pPr>
      <w:proofErr w:type="gramStart"/>
      <w:r w:rsidRPr="002B0EAA">
        <w:t>–</w:t>
      </w:r>
      <w:r w:rsidRPr="002B0EAA">
        <w:tab/>
        <w:t xml:space="preserve">having regard to Regulation (EU, </w:t>
      </w:r>
      <w:proofErr w:type="spellStart"/>
      <w:r w:rsidRPr="002B0EAA">
        <w:t>Euratom</w:t>
      </w:r>
      <w:proofErr w:type="spellEnd"/>
      <w:r w:rsidRPr="002B0EAA">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2B0EAA">
        <w:t>Euratom</w:t>
      </w:r>
      <w:proofErr w:type="spellEnd"/>
      <w:r w:rsidRPr="002B0EAA">
        <w:t>) No 966/2012</w:t>
      </w:r>
      <w:r w:rsidRPr="002B0EAA">
        <w:rPr>
          <w:rStyle w:val="FootnoteReference"/>
        </w:rPr>
        <w:footnoteReference w:id="2"/>
      </w:r>
      <w:r w:rsidRPr="002B0EAA">
        <w:t>, and in particular Articles 68 and 70 thereof,</w:t>
      </w:r>
      <w:proofErr w:type="gramEnd"/>
    </w:p>
    <w:p w14:paraId="57AAFB03" w14:textId="77777777" w:rsidR="00AD4F1B" w:rsidRPr="002B0EAA" w:rsidRDefault="00AD4F1B" w:rsidP="00BF7BEE">
      <w:pPr>
        <w:pStyle w:val="NormalHanging12a"/>
        <w:widowControl/>
      </w:pPr>
      <w:r w:rsidRPr="002B0EAA">
        <w:t>–</w:t>
      </w:r>
      <w:r w:rsidRPr="002B0EAA">
        <w:tab/>
        <w:t xml:space="preserve">having regard to Commission Delegated Regulation (EU) 2019/715 of 18 December 2018 on the framework financial regulation for the bodies set up under the TFEU and </w:t>
      </w:r>
      <w:proofErr w:type="spellStart"/>
      <w:r w:rsidRPr="002B0EAA">
        <w:t>Euratom</w:t>
      </w:r>
      <w:proofErr w:type="spellEnd"/>
      <w:r w:rsidRPr="002B0EAA">
        <w:t xml:space="preserve"> Treaty and referred to in Article 70 of Regulation (EU, </w:t>
      </w:r>
      <w:proofErr w:type="spellStart"/>
      <w:r w:rsidRPr="002B0EAA">
        <w:t>Euratom</w:t>
      </w:r>
      <w:proofErr w:type="spellEnd"/>
      <w:r w:rsidRPr="002B0EAA">
        <w:t>) 2018/1046 of the European Parliament and of the Council</w:t>
      </w:r>
      <w:r w:rsidRPr="002B0EAA">
        <w:rPr>
          <w:rStyle w:val="FootnoteReference"/>
        </w:rPr>
        <w:footnoteReference w:id="3"/>
      </w:r>
      <w:r w:rsidRPr="002B0EAA">
        <w:t>, and in particular Article 105 thereof,</w:t>
      </w:r>
    </w:p>
    <w:p w14:paraId="556C8ECF" w14:textId="77777777" w:rsidR="00AD4F1B" w:rsidRPr="002B0EAA" w:rsidRDefault="00AD4F1B" w:rsidP="00BF7BEE">
      <w:pPr>
        <w:pStyle w:val="NormalHanging12a"/>
        <w:widowControl/>
      </w:pPr>
      <w:r w:rsidRPr="002B0EAA">
        <w:t>–</w:t>
      </w:r>
      <w:r w:rsidRPr="002B0EAA">
        <w:tab/>
        <w:t>having regard to Rule 100 of and Annex V to its Rules of Procedure,</w:t>
      </w:r>
    </w:p>
    <w:p w14:paraId="40AF8A8B" w14:textId="77777777" w:rsidR="00AD4F1B" w:rsidRPr="002B0EAA" w:rsidRDefault="00AD4F1B" w:rsidP="00BF7BEE">
      <w:pPr>
        <w:pStyle w:val="NormalHanging12a"/>
        <w:widowControl/>
      </w:pPr>
      <w:r w:rsidRPr="002B0EAA">
        <w:lastRenderedPageBreak/>
        <w:t>–</w:t>
      </w:r>
      <w:r w:rsidRPr="002B0EAA">
        <w:tab/>
        <w:t>having regard to the opinions of the Committee on Employment and Social Affairs, and the Committee on Civil Liberties, Justice and Home Affairs,</w:t>
      </w:r>
    </w:p>
    <w:p w14:paraId="2962CD31" w14:textId="77777777" w:rsidR="00AD4F1B" w:rsidRPr="002B0EAA" w:rsidRDefault="00AD4F1B" w:rsidP="00BF7BEE">
      <w:pPr>
        <w:pStyle w:val="NormalHanging12a"/>
        <w:widowControl/>
      </w:pPr>
      <w:r w:rsidRPr="002B0EAA">
        <w:t>–</w:t>
      </w:r>
      <w:r w:rsidRPr="002B0EAA">
        <w:tab/>
        <w:t>having regard to the report of the Committee on Budgetary Control (A9-0118/2024),</w:t>
      </w:r>
    </w:p>
    <w:p w14:paraId="4E668A58" w14:textId="77777777" w:rsidR="00AD4F1B" w:rsidRPr="002B0EAA" w:rsidRDefault="00AD4F1B" w:rsidP="00BF7BEE">
      <w:pPr>
        <w:pStyle w:val="NormalHanging12a"/>
        <w:widowControl/>
      </w:pPr>
      <w:r w:rsidRPr="002B0EAA">
        <w:t>A.</w:t>
      </w:r>
      <w:r w:rsidRPr="002B0EAA">
        <w:tab/>
        <w:t xml:space="preserve">whereas this resolution contains, for each body within the meaning of Article 70 of Regulation (EU, </w:t>
      </w:r>
      <w:proofErr w:type="spellStart"/>
      <w:proofErr w:type="gramStart"/>
      <w:r w:rsidRPr="002B0EAA">
        <w:t>Euratom</w:t>
      </w:r>
      <w:proofErr w:type="spellEnd"/>
      <w:proofErr w:type="gramEnd"/>
      <w:r w:rsidRPr="002B0EAA">
        <w:t xml:space="preserve">) 2018/1046, cross-cutting observations accompanying the discharge decisions in accordance with Article 262 of Regulation (EU, </w:t>
      </w:r>
      <w:proofErr w:type="spellStart"/>
      <w:r w:rsidRPr="002B0EAA">
        <w:t>Euratom</w:t>
      </w:r>
      <w:proofErr w:type="spellEnd"/>
      <w:r w:rsidRPr="002B0EAA">
        <w:t>) 2018/1046 and Article 3 of Annex V to Parliament’s Rules of Procedure;</w:t>
      </w:r>
    </w:p>
    <w:p w14:paraId="4ED63EFD" w14:textId="77777777" w:rsidR="00AD4F1B" w:rsidRPr="002B0EAA" w:rsidRDefault="00AD4F1B" w:rsidP="00BF7BEE">
      <w:pPr>
        <w:pStyle w:val="NormalHanging12a"/>
        <w:widowControl/>
      </w:pPr>
      <w:r w:rsidRPr="002B0EAA">
        <w:t>B.</w:t>
      </w:r>
      <w:r w:rsidRPr="002B0EAA">
        <w:tab/>
        <w:t xml:space="preserve">whereas this resolution also contains, for the </w:t>
      </w:r>
      <w:proofErr w:type="spellStart"/>
      <w:r w:rsidRPr="002B0EAA">
        <w:t>Euratom</w:t>
      </w:r>
      <w:proofErr w:type="spellEnd"/>
      <w:r w:rsidRPr="002B0EAA">
        <w:t xml:space="preserve"> Supply Agency, cross-cutting observations accompanying the discharge decision in accordance with Article 262 of Regulation (EU, </w:t>
      </w:r>
      <w:proofErr w:type="spellStart"/>
      <w:r w:rsidRPr="002B0EAA">
        <w:t>Euratom</w:t>
      </w:r>
      <w:proofErr w:type="spellEnd"/>
      <w:r w:rsidRPr="002B0EAA">
        <w:t>) 2018/1046 and Article 3 of Annex V to Parliament’s Rules of Procedure;</w:t>
      </w:r>
    </w:p>
    <w:p w14:paraId="0C3B54C4" w14:textId="77777777" w:rsidR="00AD4F1B" w:rsidRPr="002B0EAA" w:rsidRDefault="00AD4F1B" w:rsidP="00BF7BEE">
      <w:pPr>
        <w:pStyle w:val="NormalHanging12a"/>
        <w:widowControl/>
      </w:pPr>
      <w:r w:rsidRPr="002B0EAA">
        <w:t>C.</w:t>
      </w:r>
      <w:r w:rsidRPr="002B0EAA">
        <w:tab/>
        <w:t xml:space="preserve">whereas Union agencies should focus on missions with clear European </w:t>
      </w:r>
      <w:proofErr w:type="gramStart"/>
      <w:r w:rsidRPr="002B0EAA">
        <w:t>added value</w:t>
      </w:r>
      <w:proofErr w:type="gramEnd"/>
      <w:r w:rsidRPr="002B0EAA">
        <w:t xml:space="preserve"> and the organisation of such missions should be optimised to avoid overlaps in the best interests of the Union taxpayer;</w:t>
      </w:r>
    </w:p>
    <w:p w14:paraId="5B2FA969" w14:textId="77777777" w:rsidR="00AD4F1B" w:rsidRPr="002B0EAA" w:rsidRDefault="00AD4F1B" w:rsidP="00BF7BEE">
      <w:pPr>
        <w:pStyle w:val="NormalHanging12a"/>
        <w:widowControl/>
      </w:pPr>
      <w:r w:rsidRPr="002B0EAA">
        <w:t>D.</w:t>
      </w:r>
      <w:r w:rsidRPr="002B0EAA">
        <w:tab/>
        <w:t>whereas in the context of the discharge procedure, the discharge authority aims to emphasize the significant importance of enhancing the democratic legitimacy of Union institutions; whereas this involves enhancing transparency and accountability, as well as implementing performance-based budgeting and ensuring good governance of human resources;</w:t>
      </w:r>
    </w:p>
    <w:p w14:paraId="4E83028D" w14:textId="77777777" w:rsidR="00AD4F1B" w:rsidRPr="002B0EAA" w:rsidRDefault="00AD4F1B" w:rsidP="00BF7BEE">
      <w:pPr>
        <w:pStyle w:val="NormalHanging12a"/>
        <w:widowControl/>
      </w:pPr>
      <w:proofErr w:type="gramStart"/>
      <w:r w:rsidRPr="002B0EAA">
        <w:t>1.</w:t>
      </w:r>
      <w:r w:rsidRPr="002B0EAA">
        <w:tab/>
        <w:t>Notes that for the 33 decentralised Union agencies, the cumulative total for the 2022 budget amounted to around EUR 3 471 million in commitment appropriations, representing an increase of 8,2 % compared to 2021, and amounted to EUR 3 035 million in payment appropriations, a decrease of 1,78 % compared to 2021; notes moreover that of the EUR 3 035 million in payment appropriations, approximately EUR 2 781 million were financed from the general budget of the Union, representing 74,85 % of the agencies’ total financing in 2022 (compared to 77,27 % in 2021); acknowledges furthermore that approximately EUR 935 million were financed by fees and charges and by direct contributions from participating countries (an increase of 28,23 % compared to 2021);</w:t>
      </w:r>
      <w:proofErr w:type="gramEnd"/>
    </w:p>
    <w:p w14:paraId="1305BA29" w14:textId="77777777" w:rsidR="00AD4F1B" w:rsidRPr="002B0EAA" w:rsidRDefault="00AD4F1B" w:rsidP="00BF7BEE">
      <w:pPr>
        <w:pStyle w:val="NormalHanging12a"/>
        <w:widowControl/>
      </w:pPr>
      <w:proofErr w:type="gramStart"/>
      <w:r w:rsidRPr="002B0EAA">
        <w:t>2.</w:t>
      </w:r>
      <w:r w:rsidRPr="002B0EAA">
        <w:tab/>
        <w:t xml:space="preserve">Notes that the total final budget for 2022 (after amending budgets) of all decentralised Union agencies was approx. 16 % higher than that for 2021, while the inflation rate in the Union reached up to 11,5 % in October 2022; notes, in this context, that the increase in the budget of some agencies from 2021 to 2022 has been significant, representing more than + 60 % (for ENISA, </w:t>
      </w:r>
      <w:proofErr w:type="spellStart"/>
      <w:r w:rsidRPr="002B0EAA">
        <w:t>eu</w:t>
      </w:r>
      <w:proofErr w:type="spellEnd"/>
      <w:r w:rsidRPr="002B0EAA">
        <w:t xml:space="preserve">-LISA, EFCA), approximately 30 % or more (for ELA, EEA, </w:t>
      </w:r>
      <w:proofErr w:type="spellStart"/>
      <w:r w:rsidRPr="002B0EAA">
        <w:t>Frontex</w:t>
      </w:r>
      <w:proofErr w:type="spellEnd"/>
      <w:r w:rsidRPr="002B0EAA">
        <w:t>) and more than +20 % (for EUSPA, EUAA);</w:t>
      </w:r>
      <w:proofErr w:type="gramEnd"/>
    </w:p>
    <w:p w14:paraId="5DC36FB0" w14:textId="77777777" w:rsidR="00AD4F1B" w:rsidRPr="002B0EAA" w:rsidRDefault="00AD4F1B" w:rsidP="00BF7BEE">
      <w:pPr>
        <w:pStyle w:val="NormalHanging12a"/>
        <w:widowControl/>
      </w:pPr>
      <w:proofErr w:type="gramStart"/>
      <w:r w:rsidRPr="002B0EAA">
        <w:t>3.</w:t>
      </w:r>
      <w:r w:rsidRPr="002B0EAA">
        <w:rPr>
          <w:szCs w:val="24"/>
        </w:rPr>
        <w:tab/>
      </w:r>
      <w:r w:rsidRPr="002B0EAA">
        <w:t>Notes the conclusion of the European Court of Auditors (the ‘Court’) in its annual report on Union agencies for the financial year 2022 (the ‘Court’s report’), that the Court’s audit of the annual accounts of the agencies for the financial year ended 31 December 2022 had less positive results than the previous year (2021), with weaknesses in public procurement procedures having remained the main source of irregular payments;</w:t>
      </w:r>
      <w:proofErr w:type="gramEnd"/>
    </w:p>
    <w:p w14:paraId="2DA0A701" w14:textId="77777777" w:rsidR="00AD4F1B" w:rsidRPr="002B0EAA" w:rsidRDefault="00AD4F1B" w:rsidP="00BF7BEE">
      <w:pPr>
        <w:pStyle w:val="NormalHanging12a"/>
        <w:widowControl/>
        <w:rPr>
          <w:b/>
          <w:bCs/>
          <w:i/>
          <w:iCs/>
        </w:rPr>
      </w:pPr>
      <w:r w:rsidRPr="002B0EAA">
        <w:rPr>
          <w:b/>
          <w:bCs/>
          <w:i/>
          <w:iCs/>
        </w:rPr>
        <w:t>Main risks identified by the Court</w:t>
      </w:r>
    </w:p>
    <w:p w14:paraId="073392B4" w14:textId="77777777" w:rsidR="00AD4F1B" w:rsidRPr="002B0EAA" w:rsidRDefault="00AD4F1B" w:rsidP="00BF7BEE">
      <w:pPr>
        <w:pStyle w:val="NormalHanging12a"/>
        <w:widowControl/>
      </w:pPr>
      <w:r w:rsidRPr="002B0EAA">
        <w:lastRenderedPageBreak/>
        <w:t>4.</w:t>
      </w:r>
      <w:r w:rsidRPr="002B0EAA">
        <w:tab/>
        <w:t>Notes from the Court’s report the overall risk to the reliability of agencies’ accounts, as established by applying the accounting rules adopted by the Commission’s accounting officer and based on international accounting standards, to be generally low, as was the case in 2021;</w:t>
      </w:r>
    </w:p>
    <w:p w14:paraId="608FC5DA" w14:textId="77777777" w:rsidR="00AD4F1B" w:rsidRPr="002B0EAA" w:rsidRDefault="00AD4F1B" w:rsidP="00BF7BEE">
      <w:pPr>
        <w:pStyle w:val="NormalHanging12a"/>
        <w:widowControl/>
        <w:rPr>
          <w:szCs w:val="24"/>
        </w:rPr>
      </w:pPr>
      <w:r w:rsidRPr="002B0EAA">
        <w:t>5.</w:t>
      </w:r>
      <w:r w:rsidRPr="002B0EAA">
        <w:rPr>
          <w:szCs w:val="24"/>
        </w:rPr>
        <w:tab/>
      </w:r>
      <w:r w:rsidRPr="002B0EAA">
        <w:t>Underlines that, according to its report, the Court considers the overall risk to the legality and regularity of revenue underlying the agencies’ accounts to be low for most agencies, and to be medium for the partly self-financed agencies where specific regulations are applicable to collection of fees and other revenue contributions, as was the case in 2021;</w:t>
      </w:r>
    </w:p>
    <w:p w14:paraId="06A61A75" w14:textId="77777777" w:rsidR="00AD4F1B" w:rsidRPr="002B0EAA" w:rsidRDefault="00AD4F1B" w:rsidP="00BF7BEE">
      <w:pPr>
        <w:pStyle w:val="NormalHanging12a"/>
        <w:widowControl/>
        <w:rPr>
          <w:szCs w:val="24"/>
        </w:rPr>
      </w:pPr>
      <w:proofErr w:type="gramStart"/>
      <w:r w:rsidRPr="002B0EAA">
        <w:t>6.</w:t>
      </w:r>
      <w:r w:rsidRPr="002B0EAA">
        <w:tab/>
        <w:t xml:space="preserve">Remarks that the Court considers the risk to the legality and regularity of payments underlying the agencies’ accounts overall to be medium, varying from low </w:t>
      </w:r>
      <w:proofErr w:type="spellStart"/>
      <w:r w:rsidRPr="002B0EAA">
        <w:t>to</w:t>
      </w:r>
      <w:proofErr w:type="spellEnd"/>
      <w:r w:rsidRPr="002B0EAA">
        <w:t xml:space="preserve"> high for specific budget titles; notes that the Court considers the risk for Title I (Staff Expenditure) to be generally low, for Title II (Administrative Expenditure) to be medium, and for Title III (Operational Expenditure) to be low to high, depending on the agency in question and the nature of its operational expenditure; points out that the Court considers the risk as regards Title III similar to the risk of Title II, but since there are far higher amounts at stake under Title III, the impact is considered to be higher;</w:t>
      </w:r>
      <w:proofErr w:type="gramEnd"/>
    </w:p>
    <w:p w14:paraId="2D51C150" w14:textId="77777777" w:rsidR="00AD4F1B" w:rsidRPr="002B0EAA" w:rsidRDefault="00AD4F1B" w:rsidP="00BF7BEE">
      <w:pPr>
        <w:pStyle w:val="NormalHanging12a"/>
        <w:widowControl/>
      </w:pPr>
      <w:r w:rsidRPr="002B0EAA">
        <w:t>7.</w:t>
      </w:r>
      <w:r w:rsidRPr="002B0EAA">
        <w:rPr>
          <w:szCs w:val="24"/>
        </w:rPr>
        <w:tab/>
      </w:r>
      <w:r w:rsidRPr="002B0EAA">
        <w:t>Notes with concern that the Court, for a fifth year in a row, considers the risk to sound financial management to be medium, primarily associated with public procurement procedures that did not ensure that the best possible value for money was achieved; further notes that public funds must always be used effectively, taking into account taxpayers’ interests;</w:t>
      </w:r>
    </w:p>
    <w:p w14:paraId="3471E67E" w14:textId="77777777" w:rsidR="00AD4F1B" w:rsidRPr="002B0EAA" w:rsidRDefault="00AD4F1B" w:rsidP="00BF7BEE">
      <w:pPr>
        <w:pStyle w:val="NormalHanging12a"/>
        <w:widowControl/>
        <w:rPr>
          <w:szCs w:val="24"/>
        </w:rPr>
      </w:pPr>
      <w:proofErr w:type="gramStart"/>
      <w:r w:rsidRPr="002B0EAA">
        <w:t>8.</w:t>
      </w:r>
      <w:r w:rsidRPr="002B0EAA">
        <w:rPr>
          <w:szCs w:val="24"/>
        </w:rPr>
        <w:tab/>
      </w:r>
      <w:r w:rsidRPr="002B0EAA">
        <w:t>Notes that the Court considers the risk to budget management to be low, with the Court’s audit showing high carryovers of committed appropriations, which were, however, justified according to the Court by the multiannual nature of operations or for reasons beyond the agencies’ control; calls on the Agencies to strengthen</w:t>
      </w:r>
      <w:r w:rsidRPr="002B0EAA">
        <w:rPr>
          <w:sz w:val="23"/>
          <w:szCs w:val="23"/>
        </w:rPr>
        <w:t xml:space="preserve"> their budget management and financial planning by setting ambitious financial KPIs and actively monitoring the financial and budgetary performance throughout the year in order to keep the carryovers in an acceptable percentage;</w:t>
      </w:r>
      <w:proofErr w:type="gramEnd"/>
    </w:p>
    <w:p w14:paraId="10A42DBE" w14:textId="77777777" w:rsidR="00AD4F1B" w:rsidRPr="002B0EAA" w:rsidRDefault="00AD4F1B" w:rsidP="00BF7BEE">
      <w:pPr>
        <w:pStyle w:val="NormalHanging12a"/>
        <w:widowControl/>
        <w:rPr>
          <w:szCs w:val="24"/>
        </w:rPr>
      </w:pPr>
      <w:proofErr w:type="gramStart"/>
      <w:r w:rsidRPr="002B0EAA">
        <w:rPr>
          <w:szCs w:val="24"/>
        </w:rPr>
        <w:t>9.</w:t>
      </w:r>
      <w:r w:rsidRPr="002B0EAA">
        <w:rPr>
          <w:szCs w:val="24"/>
        </w:rPr>
        <w:tab/>
        <w:t xml:space="preserve">Recalls that, in 2020, the Court piloted automated audit procedures in the area of the audit of the accounts of several executive agencies; notes that, in 2021, the Court extended the use of such procedures to all agencies, however - in the case of decentralised agencies - the Court applied ten procedures relating to salaries only; recognises the Court’s commitment to expanding the use of digital </w:t>
      </w:r>
      <w:proofErr w:type="spellStart"/>
      <w:r w:rsidRPr="002B0EAA">
        <w:rPr>
          <w:szCs w:val="24"/>
        </w:rPr>
        <w:t>audit</w:t>
      </w:r>
      <w:proofErr w:type="spellEnd"/>
      <w:r w:rsidRPr="002B0EAA">
        <w:rPr>
          <w:szCs w:val="24"/>
        </w:rPr>
        <w:t xml:space="preserve"> technology to other areas and to all agencies; welcomes; in this context; the pilot project launched by the Court in 2022 to digitalise aspects of the audit on agencies’ public procurement; calls on the Court to keep the discharge authority informed of the outcome of that pilot project;</w:t>
      </w:r>
      <w:proofErr w:type="gramEnd"/>
    </w:p>
    <w:p w14:paraId="057B8DD2" w14:textId="77777777" w:rsidR="00AD4F1B" w:rsidRPr="002B0EAA" w:rsidRDefault="00AD4F1B" w:rsidP="00BF7BEE">
      <w:pPr>
        <w:pStyle w:val="NormalHanging12a"/>
        <w:widowControl/>
        <w:rPr>
          <w:szCs w:val="24"/>
        </w:rPr>
      </w:pPr>
      <w:proofErr w:type="gramStart"/>
      <w:r w:rsidRPr="002B0EAA">
        <w:rPr>
          <w:shd w:val="clear" w:color="auto" w:fill="FFFFFF"/>
        </w:rPr>
        <w:t>10.</w:t>
      </w:r>
      <w:r w:rsidRPr="002B0EAA">
        <w:rPr>
          <w:shd w:val="clear" w:color="auto" w:fill="FFFFFF"/>
        </w:rPr>
        <w:tab/>
        <w:t>Welcomes the fact that the Court has declared that in most cases (67 out of 121 observations that had not been completed at the end of 2021) the agencies have taken corrective action to address previous years' audit observations; notes with concern, however, an increase in the number of observations from previous years that remained open at the end of the year, from 48 in 2021 to 54 in 2022; calls on all the agencies concerned to identify the proper corrective actions and to continue their efforts to follow up on the Court's observations that are ongoing or outstanding;</w:t>
      </w:r>
      <w:proofErr w:type="gramEnd"/>
    </w:p>
    <w:p w14:paraId="6FFC62D0" w14:textId="77777777" w:rsidR="00AD4F1B" w:rsidRPr="002B0EAA" w:rsidRDefault="00AD4F1B" w:rsidP="00BF7BEE">
      <w:pPr>
        <w:pStyle w:val="Normal12Hanging"/>
        <w:widowControl/>
        <w:rPr>
          <w:szCs w:val="24"/>
        </w:rPr>
      </w:pPr>
      <w:r w:rsidRPr="002B0EAA">
        <w:rPr>
          <w:b/>
          <w:bCs/>
          <w:i/>
          <w:iCs/>
        </w:rPr>
        <w:lastRenderedPageBreak/>
        <w:t>Budget and financial management</w:t>
      </w:r>
    </w:p>
    <w:p w14:paraId="4067C83D" w14:textId="77777777" w:rsidR="00AD4F1B" w:rsidRPr="002B0EAA" w:rsidRDefault="00AD4F1B" w:rsidP="00BF7BEE">
      <w:pPr>
        <w:pStyle w:val="NormalHanging12a"/>
        <w:widowControl/>
      </w:pPr>
      <w:proofErr w:type="gramStart"/>
      <w:r w:rsidRPr="002B0EAA">
        <w:t>11.</w:t>
      </w:r>
      <w:r w:rsidRPr="002B0EAA">
        <w:tab/>
        <w:t>Underlines with satisfaction that, according to the Court’s report, an unqualified audit opinion on the reliability of the accounts of all agencies was issued; notes in addition that the Court issued an unqualified opinion on the legality and regularity of the revenue underlying the accounts for all agencies; observes that the Court issued an unqualified opinion on the legality and regularity of the payments underlying the accounts for all agencies, except for four agencies: the Translation Centre for the Bodies of the European Union (</w:t>
      </w:r>
      <w:proofErr w:type="spellStart"/>
      <w:r w:rsidRPr="002B0EAA">
        <w:t>CdT</w:t>
      </w:r>
      <w:proofErr w:type="spellEnd"/>
      <w:r w:rsidRPr="002B0EAA">
        <w:t>), the Agency for Law Enforcement Training (CEPOL), the European Centre for Disease Prevention and Control (ECDC) and the Agency for the Operational Management of Large-Scale IT Systems in the Area of Freedom, Security and Justice (</w:t>
      </w:r>
      <w:proofErr w:type="spellStart"/>
      <w:r w:rsidRPr="002B0EAA">
        <w:t>eu</w:t>
      </w:r>
      <w:proofErr w:type="spellEnd"/>
      <w:r w:rsidRPr="002B0EAA">
        <w:t xml:space="preserve">-LISA); notes with concern that the qualified opinions were issued by the Court due to non-compliant expenditures of EUR 1,3 million (for </w:t>
      </w:r>
      <w:proofErr w:type="spellStart"/>
      <w:r w:rsidRPr="002B0EAA">
        <w:t>CdT</w:t>
      </w:r>
      <w:proofErr w:type="spellEnd"/>
      <w:r w:rsidRPr="002B0EAA">
        <w:t xml:space="preserve">), EUR 4,26 million (for CEPOL), EUR 0,6 million (for ECDC) which led the Court to estimate a total amount of non-compliance expenditure representing 2,8 % of the total payment appropriations available in 2022 and EUR 17,8 million (for </w:t>
      </w:r>
      <w:proofErr w:type="spellStart"/>
      <w:r w:rsidRPr="002B0EAA">
        <w:t>eu</w:t>
      </w:r>
      <w:proofErr w:type="spellEnd"/>
      <w:r w:rsidRPr="002B0EAA">
        <w:t>-LISA);</w:t>
      </w:r>
      <w:proofErr w:type="gramEnd"/>
    </w:p>
    <w:p w14:paraId="68799D9B" w14:textId="77777777" w:rsidR="00AD4F1B" w:rsidRPr="002B0EAA" w:rsidRDefault="00AD4F1B" w:rsidP="00BF7BEE">
      <w:pPr>
        <w:pStyle w:val="NormalHanging12a"/>
        <w:widowControl/>
        <w:rPr>
          <w:shd w:val="clear" w:color="auto" w:fill="FFFFFF"/>
        </w:rPr>
      </w:pPr>
      <w:proofErr w:type="gramStart"/>
      <w:r w:rsidRPr="002B0EAA">
        <w:t>12.</w:t>
      </w:r>
      <w:r w:rsidRPr="002B0EAA">
        <w:tab/>
        <w:t>Notes that, as regards the reliability of accounts, the Court issued an ‘emphasis of matter’ paragraph for the European Medicines Agency (EMA), the European Union Agency for Railways (ERA), the European Securities and Markets Authority (ESMA), the European Union Agency for Asylum (EUAA), the European Union Agency for Criminal Justice Cooperation (</w:t>
      </w:r>
      <w:proofErr w:type="spellStart"/>
      <w:r w:rsidRPr="002B0EAA">
        <w:t>Eurojust</w:t>
      </w:r>
      <w:proofErr w:type="spellEnd"/>
      <w:r w:rsidRPr="002B0EAA">
        <w:t xml:space="preserve">), </w:t>
      </w:r>
      <w:proofErr w:type="spellStart"/>
      <w:r w:rsidRPr="002B0EAA">
        <w:t>eu</w:t>
      </w:r>
      <w:proofErr w:type="spellEnd"/>
      <w:r w:rsidRPr="002B0EAA">
        <w:t>-LISA, the European Border and Coast Guard Agency (</w:t>
      </w:r>
      <w:proofErr w:type="spellStart"/>
      <w:r w:rsidRPr="002B0EAA">
        <w:t>Frontex</w:t>
      </w:r>
      <w:proofErr w:type="spellEnd"/>
      <w:r w:rsidRPr="002B0EAA">
        <w:t xml:space="preserve">); </w:t>
      </w:r>
      <w:r w:rsidRPr="002B0EAA">
        <w:rPr>
          <w:shd w:val="clear" w:color="auto" w:fill="FFFFFF"/>
        </w:rPr>
        <w:t>notes that the ‘emphasis of matter’ paragraph for EMA</w:t>
      </w:r>
      <w:r w:rsidRPr="002B0EAA">
        <w:t xml:space="preserve"> </w:t>
      </w:r>
      <w:r w:rsidRPr="002B0EAA">
        <w:rPr>
          <w:shd w:val="clear" w:color="auto" w:fill="FFFFFF"/>
        </w:rPr>
        <w:t>was related to the ongoing issue regarding the lease agreement for its former premises in London that lasts until 2039, with no provision for early termination and potential liabilities estimated at EUR 366 million on 31 December 2022, as well as to uncertainties surrounding the financial performance of the ultimate parent company of the subtenant of those premises; is aware that, on 11 January 2024, the European Parliament Committee on Budgets held an exchange of views with the Authority regarding potential amendment to EMA’s sub-</w:t>
      </w:r>
      <w:proofErr w:type="spellStart"/>
      <w:r w:rsidRPr="002B0EAA">
        <w:rPr>
          <w:shd w:val="clear" w:color="auto" w:fill="FFFFFF"/>
        </w:rPr>
        <w:t>underlease</w:t>
      </w:r>
      <w:proofErr w:type="spellEnd"/>
      <w:r w:rsidRPr="002B0EAA">
        <w:rPr>
          <w:shd w:val="clear" w:color="auto" w:fill="FFFFFF"/>
        </w:rPr>
        <w:t xml:space="preserve"> for the Agency’s former premises in London; notes that the ‘emphasis of matter’ paragraph for ERA and </w:t>
      </w:r>
      <w:proofErr w:type="spellStart"/>
      <w:r w:rsidRPr="002B0EAA">
        <w:rPr>
          <w:shd w:val="clear" w:color="auto" w:fill="FFFFFF"/>
        </w:rPr>
        <w:t>Eurojust</w:t>
      </w:r>
      <w:proofErr w:type="spellEnd"/>
      <w:r w:rsidRPr="002B0EAA">
        <w:rPr>
          <w:shd w:val="clear" w:color="auto" w:fill="FFFFFF"/>
        </w:rPr>
        <w:t xml:space="preserve"> was related to the implementation of a new budgetary, accounting and financial system (SUMMA) as a pilot for the Commission; notes that the ‘emphasis of matter’ paragraph for the EUAA was related to the impact of the Russian’s illegal and unprovoked war of aggression against Ukraine on the EUAA’s activities; notes that the ‘emphasis of matter’ paragraph for </w:t>
      </w:r>
      <w:proofErr w:type="spellStart"/>
      <w:r w:rsidRPr="002B0EAA">
        <w:rPr>
          <w:shd w:val="clear" w:color="auto" w:fill="FFFFFF"/>
        </w:rPr>
        <w:t>eu</w:t>
      </w:r>
      <w:proofErr w:type="spellEnd"/>
      <w:r w:rsidRPr="002B0EAA">
        <w:rPr>
          <w:shd w:val="clear" w:color="auto" w:fill="FFFFFF"/>
        </w:rPr>
        <w:t xml:space="preserve">-LISA was related to delays in the implementation of the Entry/Exit System and the related impact on </w:t>
      </w:r>
      <w:proofErr w:type="spellStart"/>
      <w:r w:rsidRPr="002B0EAA">
        <w:rPr>
          <w:shd w:val="clear" w:color="auto" w:fill="FFFFFF"/>
        </w:rPr>
        <w:t>eu</w:t>
      </w:r>
      <w:proofErr w:type="spellEnd"/>
      <w:r w:rsidRPr="002B0EAA">
        <w:rPr>
          <w:shd w:val="clear" w:color="auto" w:fill="FFFFFF"/>
        </w:rPr>
        <w:t xml:space="preserve">-LISA’s operations; notes that the ‘emphasis of matter’ paragraph for </w:t>
      </w:r>
      <w:proofErr w:type="spellStart"/>
      <w:r w:rsidRPr="002B0EAA">
        <w:rPr>
          <w:shd w:val="clear" w:color="auto" w:fill="FFFFFF"/>
        </w:rPr>
        <w:t>Frontex</w:t>
      </w:r>
      <w:proofErr w:type="spellEnd"/>
      <w:r w:rsidRPr="002B0EAA">
        <w:rPr>
          <w:shd w:val="clear" w:color="auto" w:fill="FFFFFF"/>
        </w:rPr>
        <w:t xml:space="preserve"> was related to the fact that its accounting system was not validated for the second year in a row, as well as to an incorrect calculation of the contributions from non-EU Schengen area countries with EUR 3,2 million less than they should have paid to the budget of </w:t>
      </w:r>
      <w:proofErr w:type="spellStart"/>
      <w:r w:rsidRPr="002B0EAA">
        <w:rPr>
          <w:shd w:val="clear" w:color="auto" w:fill="FFFFFF"/>
        </w:rPr>
        <w:t>Frontex</w:t>
      </w:r>
      <w:proofErr w:type="spellEnd"/>
      <w:r w:rsidRPr="002B0EAA">
        <w:rPr>
          <w:shd w:val="clear" w:color="auto" w:fill="FFFFFF"/>
        </w:rPr>
        <w:t xml:space="preserve"> for 2022; notes that the ‘emphasis of matter’ paragraph for ESMA was related to the uncertainty related to the outcome of a lawsuit and, as per Court’s report, that paragraph also applies in full for the legality and regularity of ESMA’s payments;</w:t>
      </w:r>
      <w:proofErr w:type="gramEnd"/>
    </w:p>
    <w:p w14:paraId="1CA02E29" w14:textId="77777777" w:rsidR="00AD4F1B" w:rsidRPr="002B0EAA" w:rsidRDefault="00AD4F1B" w:rsidP="00BF7BEE">
      <w:pPr>
        <w:pStyle w:val="NormalHanging12a"/>
        <w:widowControl/>
        <w:rPr>
          <w:shd w:val="clear" w:color="auto" w:fill="FFFFFF"/>
        </w:rPr>
      </w:pPr>
      <w:proofErr w:type="gramStart"/>
      <w:r w:rsidRPr="002B0EAA">
        <w:rPr>
          <w:shd w:val="clear" w:color="auto" w:fill="FFFFFF"/>
        </w:rPr>
        <w:t>13.</w:t>
      </w:r>
      <w:r w:rsidRPr="002B0EAA">
        <w:rPr>
          <w:shd w:val="clear" w:color="auto" w:fill="FFFFFF"/>
        </w:rPr>
        <w:tab/>
      </w:r>
      <w:r w:rsidRPr="002B0EAA">
        <w:t xml:space="preserve">Notes the Court’s recurrent observation, related to the contributions from Schengen associated countries (SAC), that different methods in the agreements for calculating contributions entail a risk of erroneous implementation of those contribution agreements; notes; from the Court’s report; its invitation to the EUAA and </w:t>
      </w:r>
      <w:proofErr w:type="spellStart"/>
      <w:r w:rsidRPr="002B0EAA">
        <w:t>Frontex</w:t>
      </w:r>
      <w:proofErr w:type="spellEnd"/>
      <w:r w:rsidRPr="002B0EAA">
        <w:t xml:space="preserve"> to work with the Commission to clarify the legal basis for calculating SAC contributions to the budgets of those agencies, if necessary by re-negotiating agreements with SAC, </w:t>
      </w:r>
      <w:r w:rsidRPr="002B0EAA">
        <w:lastRenderedPageBreak/>
        <w:t xml:space="preserve">so that their contributions correctly reflect the size of SAC’ economies compared to the size of the Union’s economy; </w:t>
      </w:r>
      <w:r w:rsidRPr="002B0EAA">
        <w:rPr>
          <w:szCs w:val="24"/>
        </w:rPr>
        <w:t xml:space="preserve">calls in this context on the Commission to address this issue in the coming negotiations with the SAC on new agreements that will cover SAC’s participation in the work of the EUAA and </w:t>
      </w:r>
      <w:proofErr w:type="spellStart"/>
      <w:r w:rsidRPr="002B0EAA">
        <w:rPr>
          <w:szCs w:val="24"/>
        </w:rPr>
        <w:t>Frontex</w:t>
      </w:r>
      <w:proofErr w:type="spellEnd"/>
      <w:r w:rsidRPr="002B0EAA">
        <w:rPr>
          <w:szCs w:val="24"/>
        </w:rPr>
        <w:t>, with a view to ensuring more clarity therein;</w:t>
      </w:r>
      <w:proofErr w:type="gramEnd"/>
    </w:p>
    <w:p w14:paraId="48178F1F" w14:textId="77777777" w:rsidR="00AD4F1B" w:rsidRPr="002B0EAA" w:rsidRDefault="00AD4F1B" w:rsidP="00BF7BEE">
      <w:pPr>
        <w:pStyle w:val="NormalHanging12a"/>
        <w:widowControl/>
      </w:pPr>
      <w:proofErr w:type="gramStart"/>
      <w:r w:rsidRPr="002B0EAA">
        <w:t>14.</w:t>
      </w:r>
      <w:r w:rsidRPr="002B0EAA">
        <w:rPr>
          <w:szCs w:val="24"/>
        </w:rPr>
        <w:tab/>
      </w:r>
      <w:r w:rsidRPr="002B0EAA">
        <w:t xml:space="preserve">Notes with concern the Court’s observation regarding weaknesses related to various aspects of budgetary management such as excessive levels of carry-over of appropriations, high rates of late payments and fee/revenue related issues in the case of 16 agencies; notes in particular; the Court’s observation with regard to structural and recurrent high carry-overs in the case of five agencies (ACER, EFCA, ELA, </w:t>
      </w:r>
      <w:proofErr w:type="spellStart"/>
      <w:r w:rsidRPr="002B0EAA">
        <w:t>eu</w:t>
      </w:r>
      <w:proofErr w:type="spellEnd"/>
      <w:r w:rsidRPr="002B0EAA">
        <w:t xml:space="preserve">-LISA and FRA); renews its call for respect for the budgetary principle of </w:t>
      </w:r>
      <w:proofErr w:type="spellStart"/>
      <w:r w:rsidRPr="002B0EAA">
        <w:t>annuality</w:t>
      </w:r>
      <w:proofErr w:type="spellEnd"/>
      <w:r w:rsidRPr="002B0EAA">
        <w:t xml:space="preserve">; echoes the Court’s recommendation that the agencies concerned should further improve their budget planning and their implementation cycles to avoid excessive delays in the implementation of work programmes or procurement plans; welcomes the actions launched and measures implemented in 2022 by several agencies (e.g. ACER, </w:t>
      </w:r>
      <w:proofErr w:type="spellStart"/>
      <w:r w:rsidRPr="002B0EAA">
        <w:t>eu</w:t>
      </w:r>
      <w:proofErr w:type="spellEnd"/>
      <w:r w:rsidRPr="002B0EAA">
        <w:t>-LISA and FRA) aiming to improve their budget planning and implementation cycles;</w:t>
      </w:r>
      <w:proofErr w:type="gramEnd"/>
    </w:p>
    <w:p w14:paraId="4ADA62E4" w14:textId="77777777" w:rsidR="00AD4F1B" w:rsidRPr="002B0EAA" w:rsidRDefault="00AD4F1B" w:rsidP="00BF7BEE">
      <w:pPr>
        <w:pStyle w:val="NormalHanging12a"/>
        <w:widowControl/>
      </w:pPr>
      <w:r w:rsidRPr="002B0EAA">
        <w:t>15.</w:t>
      </w:r>
      <w:r w:rsidRPr="002B0EAA">
        <w:tab/>
        <w:t>Recalls, nevertheless, that in certain cases the level of high carryovers is also a result of factors that are outside of the Agencies' control such as the nature of their activities expanding on multi-annual periods, or the necessity to recur to external contractors over periods that extend beyond the financial year, due to understaffing;</w:t>
      </w:r>
    </w:p>
    <w:p w14:paraId="37109B5F" w14:textId="77777777" w:rsidR="00AD4F1B" w:rsidRPr="002B0EAA" w:rsidRDefault="00AD4F1B" w:rsidP="00BF7BEE">
      <w:pPr>
        <w:pStyle w:val="NormalHanging12a"/>
        <w:widowControl/>
      </w:pPr>
      <w:proofErr w:type="gramStart"/>
      <w:r w:rsidRPr="002B0EAA">
        <w:t>16.</w:t>
      </w:r>
      <w:r w:rsidRPr="002B0EAA">
        <w:tab/>
        <w:t>Notes, from the Court’s report, the observation that, in 2022, several agencies (e.g. ECDC and Europol) included in their payments to the grant beneficiaries a reimbursement of the value-added tax (VAT) associated with the claimed costs, thereby contravening Article 186(4) of the Financial Regulation, because, in the Court’s view, the beneficiaries were public authorities in activities of a public authority and therefore they were not entitled to VAT reimbursement; notes the arguments of the agencies concerned as to why they differ from the Court’s position on this issue; echoes the Court’s recommendation to the agencies to manage grants by ensuring compliance with the applicable rules, in particular regarding reimbursement of VAT to beneficiaries that are public authorities; calls on the European Union Agencies Network (EUAN) to establish a common understanding on VAT reimbursement according to the financial regulation;</w:t>
      </w:r>
      <w:proofErr w:type="gramEnd"/>
    </w:p>
    <w:p w14:paraId="13255D7D" w14:textId="77777777" w:rsidR="00AD4F1B" w:rsidRPr="002B0EAA" w:rsidRDefault="00AD4F1B" w:rsidP="00BF7BEE">
      <w:pPr>
        <w:pStyle w:val="NormalHanging12a"/>
        <w:widowControl/>
      </w:pPr>
      <w:r w:rsidRPr="002B0EAA">
        <w:t>17.</w:t>
      </w:r>
      <w:r w:rsidRPr="002B0EAA">
        <w:tab/>
        <w:t>Recalls the importance of establishing and maintaining an active dialogue between the Commission and the agencies over the allocation of appropriate resources and the design of the respective establishment plans, especially with regard to the grade at which posts are allocated;</w:t>
      </w:r>
    </w:p>
    <w:p w14:paraId="1B802CF3" w14:textId="77777777" w:rsidR="00AD4F1B" w:rsidRPr="002B0EAA" w:rsidRDefault="00AD4F1B" w:rsidP="00BF7BEE">
      <w:pPr>
        <w:pStyle w:val="Normal12Hanging"/>
        <w:widowControl/>
        <w:rPr>
          <w:b/>
          <w:bCs/>
          <w:i/>
          <w:iCs/>
        </w:rPr>
      </w:pPr>
      <w:r w:rsidRPr="002B0EAA">
        <w:rPr>
          <w:b/>
          <w:bCs/>
          <w:i/>
          <w:iCs/>
        </w:rPr>
        <w:t>Performance</w:t>
      </w:r>
    </w:p>
    <w:p w14:paraId="1F492405" w14:textId="77777777" w:rsidR="00AD4F1B" w:rsidRPr="002B0EAA" w:rsidRDefault="00AD4F1B" w:rsidP="00BF7BEE">
      <w:pPr>
        <w:pStyle w:val="NormalHanging12a"/>
        <w:widowControl/>
      </w:pPr>
      <w:proofErr w:type="gramStart"/>
      <w:r w:rsidRPr="002B0EAA">
        <w:t>18.</w:t>
      </w:r>
      <w:r w:rsidRPr="002B0EAA">
        <w:tab/>
        <w:t xml:space="preserve">Notes that all agencies use various systems of key performance indicators (KPIs), planned outputs or strategic targets set as part of their performance measurement; stresses that EUAN could help agencies to use a common system of KPIs; notes that for 15 agencies, the implementation rate of their Annual Working Programme (AWP) exceeded 95 %, while for 14 agencies that rate was below 95 % in 2022; reiterates its call on all the agencies to report to the discharge authority on the implementation rate of their AWP as a consolidated figure expressed in percentage; appreciates the KPI’s fulfilled by the Agencies and the fact that the Agencies have drawn attention to </w:t>
      </w:r>
      <w:r w:rsidRPr="002B0EAA">
        <w:lastRenderedPageBreak/>
        <w:t>measures that can improve the efficiency and effectiveness of their work; however calls on the Agencies to take note of the indicators that have not yet been achieved or are lagging behind; encourages the agencies to use the EUAN facilities to improve the achievement of these indicators;</w:t>
      </w:r>
      <w:proofErr w:type="gramEnd"/>
    </w:p>
    <w:p w14:paraId="53F7A111" w14:textId="77777777" w:rsidR="00AD4F1B" w:rsidRPr="002B0EAA" w:rsidRDefault="00AD4F1B" w:rsidP="00BF7BEE">
      <w:pPr>
        <w:pStyle w:val="NormalHanging12a"/>
        <w:widowControl/>
        <w:rPr>
          <w:szCs w:val="24"/>
        </w:rPr>
      </w:pPr>
      <w:proofErr w:type="gramStart"/>
      <w:r w:rsidRPr="002B0EAA">
        <w:rPr>
          <w:szCs w:val="24"/>
        </w:rPr>
        <w:t>19.</w:t>
      </w:r>
      <w:r w:rsidRPr="002B0EAA">
        <w:rPr>
          <w:szCs w:val="24"/>
        </w:rPr>
        <w:tab/>
        <w:t xml:space="preserve">Notes the achievements and successes of all agencies in 2022, the first year of the unprovoked and unjustified Russian war of aggression against Ukraine; commends, in this context, the swift actions taken by the agencies, in various areas such justice and home affairs (e.g. EUAA, </w:t>
      </w:r>
      <w:proofErr w:type="spellStart"/>
      <w:r w:rsidRPr="002B0EAA">
        <w:rPr>
          <w:szCs w:val="24"/>
        </w:rPr>
        <w:t>Frontex</w:t>
      </w:r>
      <w:proofErr w:type="spellEnd"/>
      <w:r w:rsidRPr="002B0EAA">
        <w:rPr>
          <w:szCs w:val="24"/>
        </w:rPr>
        <w:t xml:space="preserve">, Europol, FRA), supervision of financial systems (e.g. ESMA), security and defence (e.g. EASA), and employment, social affairs and inclusion (e.g. </w:t>
      </w:r>
      <w:proofErr w:type="spellStart"/>
      <w:r w:rsidRPr="002B0EAA">
        <w:rPr>
          <w:szCs w:val="24"/>
        </w:rPr>
        <w:t>Eurofound</w:t>
      </w:r>
      <w:proofErr w:type="spellEnd"/>
      <w:r w:rsidRPr="002B0EAA">
        <w:rPr>
          <w:szCs w:val="24"/>
        </w:rPr>
        <w:t>), despite the challenges posed not only by the illegal war in Ukraine, but also record-high inflation rates across the Union and the energy crisis;</w:t>
      </w:r>
      <w:proofErr w:type="gramEnd"/>
    </w:p>
    <w:p w14:paraId="5DEAED6E" w14:textId="77777777" w:rsidR="00AD4F1B" w:rsidRPr="002B0EAA" w:rsidRDefault="00AD4F1B" w:rsidP="00BF7BEE">
      <w:pPr>
        <w:pStyle w:val="NormalHanging12a"/>
        <w:widowControl/>
      </w:pPr>
      <w:proofErr w:type="gramStart"/>
      <w:r w:rsidRPr="002B0EAA">
        <w:t>20.</w:t>
      </w:r>
      <w:r w:rsidRPr="002B0EAA">
        <w:tab/>
        <w:t>Stresses the valuable role played by Union agencies in helping Union institutions design and implement Union policies, and in carrying out specific technical, scientific, operational and managerial tasks, as well as evidence-based research; reiterates in this regard the need to equip the agencies at a level commensurate to the assigned tasks, with a sufficient number of staff, employed in a stable manner and having sufficient material resources; reiterates therefore the need to ensure adequate human and financial resources to allow them to continue implementing their work programmes with a very high activity completion rate;</w:t>
      </w:r>
      <w:proofErr w:type="gramEnd"/>
    </w:p>
    <w:p w14:paraId="18A37027" w14:textId="77777777" w:rsidR="00AD4F1B" w:rsidRPr="002B0EAA" w:rsidRDefault="00AD4F1B" w:rsidP="00BF7BEE">
      <w:pPr>
        <w:pStyle w:val="NormalHanging12a"/>
        <w:widowControl/>
      </w:pPr>
      <w:proofErr w:type="gramStart"/>
      <w:r w:rsidRPr="002B0EAA">
        <w:t>21.</w:t>
      </w:r>
      <w:r w:rsidRPr="002B0EAA">
        <w:tab/>
        <w:t>Highlights the important role of the EU Justice and Home Affairs (JHA) agencies, as they are indispensable for the implementation of Union policies, and the important support they ensure to the Union institutions and bodies and Member States in the sectors of fundamental rights, security and justice, by carrying out operational, analytical, managerial and monitoring tasks; reiterates therefore the need to ensure adequate financial and human resources to JHA agencies;</w:t>
      </w:r>
      <w:proofErr w:type="gramEnd"/>
    </w:p>
    <w:p w14:paraId="51123DD1" w14:textId="77777777" w:rsidR="00AD4F1B" w:rsidRPr="002B0EAA" w:rsidRDefault="00AD4F1B" w:rsidP="00BF7BEE">
      <w:pPr>
        <w:pStyle w:val="NormalHanging12a"/>
        <w:widowControl/>
      </w:pPr>
      <w:proofErr w:type="gramStart"/>
      <w:r w:rsidRPr="002B0EAA">
        <w:t>22.</w:t>
      </w:r>
      <w:r w:rsidRPr="002B0EAA">
        <w:tab/>
        <w:t xml:space="preserve">Appreciates the high quality work performed by the agencies working in the area of employment, social affairs and inclusion (CEDEFOP, </w:t>
      </w:r>
      <w:proofErr w:type="spellStart"/>
      <w:r w:rsidRPr="002B0EAA">
        <w:t>Eurofound</w:t>
      </w:r>
      <w:proofErr w:type="spellEnd"/>
      <w:r w:rsidRPr="002B0EAA">
        <w:t>, EU-OSHA, ETF and ELA); recalls the particular mandates of these agencies and the specific composition of their management bodies based on the tripartite principle and thus including representatives of the national authorities and social partners; recognises that, through their members, the management bodies ensure the necessary alignment between the agencies’ work and stakeholder needs and priorities; notes with satisfaction the introduction of hybrid meetings and the use of written procedures which contribute to reducing the cost of in-person meetings;</w:t>
      </w:r>
      <w:proofErr w:type="gramEnd"/>
    </w:p>
    <w:p w14:paraId="43DA56DD" w14:textId="77777777" w:rsidR="00AD4F1B" w:rsidRPr="002B0EAA" w:rsidRDefault="00AD4F1B" w:rsidP="00BF7BEE">
      <w:pPr>
        <w:pStyle w:val="NormalHanging12a"/>
        <w:widowControl/>
      </w:pPr>
      <w:proofErr w:type="gramStart"/>
      <w:r w:rsidRPr="002B0EAA">
        <w:t>23.</w:t>
      </w:r>
      <w:r w:rsidRPr="002B0EAA">
        <w:tab/>
        <w:t>Stresses that the agencies are the most qualified in assessing the use of resources in order to implement their annual work programmes and perform their mandates effectively; stresses the need for agencies to co-operate with each other in order to allocate resources correctly; highlights that the agencies play a crucial role in supporting the right projects in line e.g. with the European Green Deal, the European Pillar of Social Rights or the Union’s New Pact on Migration and Asylum;</w:t>
      </w:r>
      <w:proofErr w:type="gramEnd"/>
    </w:p>
    <w:p w14:paraId="2A433141" w14:textId="77777777" w:rsidR="00AD4F1B" w:rsidRPr="002B0EAA" w:rsidRDefault="00AD4F1B" w:rsidP="00BF7BEE">
      <w:pPr>
        <w:pStyle w:val="NormalHanging12a"/>
        <w:widowControl/>
      </w:pPr>
      <w:r w:rsidRPr="002B0EAA">
        <w:t>24.</w:t>
      </w:r>
      <w:r w:rsidRPr="002B0EAA">
        <w:tab/>
        <w:t>Welcomes the cooperation and coordination of the work between agencies dealing in the same field, such as the European Supervisory Authorities (ESAs), the JHA agencies, the agencies in the area of employment, social affairs and inclusion, as well as others, but also cross-cutting cooperation between agencies from different policy areas;</w:t>
      </w:r>
    </w:p>
    <w:p w14:paraId="6EC563B3" w14:textId="77777777" w:rsidR="00AD4F1B" w:rsidRPr="002B0EAA" w:rsidRDefault="00AD4F1B" w:rsidP="00BF7BEE">
      <w:pPr>
        <w:pStyle w:val="NormalHanging12a"/>
        <w:widowControl/>
      </w:pPr>
      <w:proofErr w:type="gramStart"/>
      <w:r w:rsidRPr="002B0EAA">
        <w:lastRenderedPageBreak/>
        <w:t>25.</w:t>
      </w:r>
      <w:r w:rsidRPr="002B0EAA">
        <w:tab/>
        <w:t>Notes with concern, from the Court’s report, the disclosures of two agencies (the EUAA and EUSPA) reporting on the impact that the unprovoked and unfair aggression against Ukraine had on their activities; notes, in this context, the increased demand for assistance from Member States accepting refugees from Ukraine and the interruption in the use of Russian Soyuz launchers for Galileo satellites;</w:t>
      </w:r>
      <w:proofErr w:type="gramEnd"/>
    </w:p>
    <w:p w14:paraId="258EC91C" w14:textId="77777777" w:rsidR="00AD4F1B" w:rsidRPr="002B0EAA" w:rsidRDefault="00AD4F1B" w:rsidP="00BF7BEE">
      <w:pPr>
        <w:pStyle w:val="NormalHanging12a"/>
        <w:widowControl/>
        <w:rPr>
          <w:b/>
          <w:i/>
          <w:szCs w:val="24"/>
        </w:rPr>
      </w:pPr>
      <w:r w:rsidRPr="002B0EAA">
        <w:rPr>
          <w:b/>
          <w:i/>
          <w:szCs w:val="24"/>
        </w:rPr>
        <w:t>Efficiency and gains</w:t>
      </w:r>
    </w:p>
    <w:p w14:paraId="71C5ED0B" w14:textId="77777777" w:rsidR="00AD4F1B" w:rsidRPr="002B0EAA" w:rsidRDefault="00AD4F1B" w:rsidP="00BF7BEE">
      <w:pPr>
        <w:pStyle w:val="NormalHanging12a"/>
        <w:widowControl/>
      </w:pPr>
      <w:proofErr w:type="gramStart"/>
      <w:r w:rsidRPr="002B0EAA">
        <w:t>26.</w:t>
      </w:r>
      <w:r w:rsidRPr="002B0EAA">
        <w:tab/>
        <w:t>Calls on the agencies to continue developing synergies (in areas such as human resources, procurement, digitalisation, building management, IT services and cyber-security), as well as cooperation and exchange of good practices with other Union agencies with a view to improving efficiency, in particular given the impact of the war in Ukraine and inflationary strains; calls on all the agencies to put a system and criteria in place to monitor in objective and granular ways and report to the discharge authority on the evolution, from one year to the next, of the gains and/or savings registered by the agencies in terms of time, staff, energy used, etc.; invites all agencies to coordinate, including with the EUAN, in order to identify and use a common tool allowing for the reporting of such gains/savings in a comparable way;</w:t>
      </w:r>
      <w:proofErr w:type="gramEnd"/>
    </w:p>
    <w:p w14:paraId="5123AFD6" w14:textId="77777777" w:rsidR="00AD4F1B" w:rsidRPr="002B0EAA" w:rsidRDefault="00AD4F1B" w:rsidP="00BF7BEE">
      <w:pPr>
        <w:pStyle w:val="NormalHanging12a"/>
        <w:widowControl/>
      </w:pPr>
      <w:proofErr w:type="gramStart"/>
      <w:r w:rsidRPr="002B0EAA">
        <w:t>27.</w:t>
      </w:r>
      <w:r w:rsidRPr="002B0EAA">
        <w:tab/>
        <w:t>Insists on the important role of the EUAN in the development of synergies, including by helping the agencies to optimise the use of their budgets through coordination, inter alia, of joint procurement procedures, partnerships, reassessment of priorities, cost reductions; acknowledges, in this context, the work done by the ten thematic EUAN sub-networks; further recalls that joint initiatives bring together diverse perspectives, reduce duplication of effort, enhance learning and strengthen relationships between the participants; encourages the EUAN to strengthen its role of coordination and to propose more common tools that can help the agencies;</w:t>
      </w:r>
      <w:proofErr w:type="gramEnd"/>
    </w:p>
    <w:p w14:paraId="611D93DC" w14:textId="77777777" w:rsidR="00AD4F1B" w:rsidRPr="002B0EAA" w:rsidRDefault="00AD4F1B" w:rsidP="00BF7BEE">
      <w:pPr>
        <w:pStyle w:val="NormalHanging12a"/>
        <w:widowControl/>
      </w:pPr>
      <w:proofErr w:type="gramStart"/>
      <w:r w:rsidRPr="002B0EAA">
        <w:t>28.</w:t>
      </w:r>
      <w:r w:rsidRPr="002B0EAA">
        <w:tab/>
        <w:t>Welcomes the Court’s horizontal audit providing an analysis of the agencies’ responses to the climate and energy crises and how they reported on their climate and energy performance; notes from the Court’s report and from the agencies replies to Parliament’s written questions that, at the end of 2022, 10 agencies (6 in 2021) were EMAS (Eco-Management and Audit Scheme)-certified and 22 agencies were not EMAS-certified (of which for 15 agencies the process for EMAS certification was ongoing); calls on all the agencies concerned to speed up the process for receiving the EMAS certification;</w:t>
      </w:r>
      <w:proofErr w:type="gramEnd"/>
    </w:p>
    <w:p w14:paraId="46BE4712" w14:textId="77777777" w:rsidR="00AD4F1B" w:rsidRPr="002B0EAA" w:rsidRDefault="00AD4F1B" w:rsidP="00BF7BEE">
      <w:pPr>
        <w:pStyle w:val="NormalHanging12a"/>
        <w:widowControl/>
      </w:pPr>
      <w:proofErr w:type="gramStart"/>
      <w:r w:rsidRPr="002B0EAA">
        <w:t>29.</w:t>
      </w:r>
      <w:r w:rsidRPr="002B0EAA">
        <w:tab/>
        <w:t>Notes with appreciation that all agencies have put measures in place to varying degrees in order reduce their environmental impact and make a positive contribution to sustainable development; commends the agencies (e.g. ACER) which have formally adopted (and implemented) a greening action plan; reiterates its recommendation for all agencies to adopt multiannual action plans that include commitments regarding CO2 reductions which can be achieved, inter alia, by using sustainable buildings and working spaces, optimising energy consumption, promoting low carbon travel modes, using hybrid working methods, prioritising the purchase of sustainable products and services; calls on all the agencies to consider environmental aspects when looking for new office space; reiterates the potential role of EUAN in this context to assist the agencies by establishing an had hoc multiannual action plan;</w:t>
      </w:r>
      <w:proofErr w:type="gramEnd"/>
    </w:p>
    <w:p w14:paraId="0CB969D0" w14:textId="77777777" w:rsidR="00AD4F1B" w:rsidRPr="002B0EAA" w:rsidRDefault="00AD4F1B" w:rsidP="00BF7BEE">
      <w:pPr>
        <w:pStyle w:val="NormalHanging12a"/>
        <w:widowControl/>
      </w:pPr>
      <w:proofErr w:type="gramStart"/>
      <w:r w:rsidRPr="002B0EAA">
        <w:t>30.</w:t>
      </w:r>
      <w:r w:rsidRPr="002B0EAA">
        <w:tab/>
        <w:t xml:space="preserve">Welcomes that 19 out of 33 decentralised Agencies have implemented corporate plans to improve energy efficiency and climate neutrality; regrets however from the Court’s </w:t>
      </w:r>
      <w:r w:rsidRPr="002B0EAA">
        <w:lastRenderedPageBreak/>
        <w:t xml:space="preserve">report that, 14 out of 33 decentralised Agencies have not yet implemented any corporate plans to improve energy efficiency and climate neutrality of their operations; notes that, in 2022, no agency published a sustainability report, with </w:t>
      </w:r>
      <w:proofErr w:type="spellStart"/>
      <w:r w:rsidRPr="002B0EAA">
        <w:t>Cedefop</w:t>
      </w:r>
      <w:proofErr w:type="spellEnd"/>
      <w:r w:rsidRPr="002B0EAA">
        <w:t xml:space="preserve">, EIT and </w:t>
      </w:r>
      <w:proofErr w:type="spellStart"/>
      <w:r w:rsidRPr="002B0EAA">
        <w:t>Eurofound</w:t>
      </w:r>
      <w:proofErr w:type="spellEnd"/>
      <w:r w:rsidRPr="002B0EAA">
        <w:t xml:space="preserve"> having plans to do so by 2024; echoes, in this context, the Court’s recommendation and urges all agencies to improve their climate neutrality and energy efficiency through up-to-date corporate plans that foresee clearly defined, quantified baselines and targets for reducing carbon footprint and energy consumption, as well as to report on their climate, energy and environmental performance through the publication of sustainability reports or environmental statements;</w:t>
      </w:r>
      <w:proofErr w:type="gramEnd"/>
    </w:p>
    <w:p w14:paraId="401D1619" w14:textId="77777777" w:rsidR="00AD4F1B" w:rsidRPr="002B0EAA" w:rsidRDefault="00AD4F1B" w:rsidP="00BF7BEE">
      <w:pPr>
        <w:pStyle w:val="NormalHanging12a"/>
        <w:widowControl/>
      </w:pPr>
      <w:proofErr w:type="gramStart"/>
      <w:r w:rsidRPr="002B0EAA">
        <w:t>31.</w:t>
      </w:r>
      <w:r w:rsidRPr="002B0EAA">
        <w:tab/>
        <w:t>Recalls the importance of increasing the level of digitalisation of the agencies in terms of internal operation and management, as well procedures, in order transition to paperless processes; notes that this positive development has an impact on cost-effectiveness; is pleased that, in 2022, further progress has been made with regard to digitalisation and optimisation of their workflows and procedures, in particular in the fields of HR and procurement procedures; encourages all agencies to adopt and implement the Advanced Qualified Signature and Qualified Electronic Signature software to obtain approvals and signatures from both internal and external counterparties in procurement and contractual documents; asks the EUAN to support all initiatives to speed up this process of digitalisation and to keep reporting to the discharge authority on the progress made in digitalisation matters;</w:t>
      </w:r>
      <w:proofErr w:type="gramEnd"/>
    </w:p>
    <w:p w14:paraId="36E58623" w14:textId="77777777" w:rsidR="00AD4F1B" w:rsidRPr="002B0EAA" w:rsidRDefault="00AD4F1B" w:rsidP="00BF7BEE">
      <w:pPr>
        <w:pStyle w:val="NormalHanging12a"/>
        <w:widowControl/>
      </w:pPr>
      <w:proofErr w:type="gramStart"/>
      <w:r w:rsidRPr="002B0EAA">
        <w:t>32.</w:t>
      </w:r>
      <w:r w:rsidRPr="002B0EAA">
        <w:tab/>
        <w:t>Calls on the Commission to ensure better use of the Agencies’ expertise in relevant policy areas regarding, for example, elaboration of reports and studies, conducting research and surveys, which can allow for more efficient utilisation of Union budget resources compared to alternative solutions; stresses, in this regard, the unused potential of the agencies working in the area of employment, social affairs and inclusion in providing for specific, relevant information and the same quality products as external consultants, when their mandates allow it;</w:t>
      </w:r>
      <w:proofErr w:type="gramEnd"/>
    </w:p>
    <w:p w14:paraId="1E57CA61" w14:textId="77777777" w:rsidR="00AD4F1B" w:rsidRPr="002B0EAA" w:rsidRDefault="00AD4F1B" w:rsidP="00BF7BEE">
      <w:pPr>
        <w:pStyle w:val="NormalHanging12a"/>
        <w:widowControl/>
        <w:rPr>
          <w:b/>
          <w:i/>
        </w:rPr>
      </w:pPr>
      <w:r w:rsidRPr="002B0EAA">
        <w:rPr>
          <w:b/>
          <w:i/>
        </w:rPr>
        <w:t>Staff policy</w:t>
      </w:r>
    </w:p>
    <w:p w14:paraId="28FBA0AA" w14:textId="77777777" w:rsidR="00AD4F1B" w:rsidRPr="002B0EAA" w:rsidRDefault="00AD4F1B" w:rsidP="00BF7BEE">
      <w:pPr>
        <w:widowControl/>
        <w:spacing w:after="240"/>
        <w:ind w:left="567" w:hanging="567"/>
      </w:pPr>
      <w:proofErr w:type="gramStart"/>
      <w:r w:rsidRPr="002B0EAA">
        <w:t>33.</w:t>
      </w:r>
      <w:r w:rsidRPr="002B0EAA">
        <w:tab/>
        <w:t xml:space="preserve">Notes that, in 2022, the 33 decentralised agencies reported that they employ a total of 10 146 members of staff, comprising officials, temporary agents, contract agents and seconded national experts (SNEs) (compared to 9 631 in 2021), representing an increase of 5,34 % compared to 2021; notes from the Court's report that most of the increase in the number of staff members employed since 2021 is attributable to the continuing build-up of the agencies set up recently (e.g. ELA) and to the growth of agencies which were assigned new tasks (EFCA, the EUAA and </w:t>
      </w:r>
      <w:proofErr w:type="spellStart"/>
      <w:r w:rsidRPr="002B0EAA">
        <w:t>Frontex</w:t>
      </w:r>
      <w:proofErr w:type="spellEnd"/>
      <w:r w:rsidRPr="002B0EAA">
        <w:t>); commends the agencies (EIGE and EUSPA) having achieved a 100 % execution rate of their establishment plan in 2022;</w:t>
      </w:r>
      <w:proofErr w:type="gramEnd"/>
    </w:p>
    <w:p w14:paraId="584F60CA" w14:textId="77777777" w:rsidR="00AD4F1B" w:rsidRPr="002B0EAA" w:rsidRDefault="00AD4F1B" w:rsidP="00BF7BEE">
      <w:pPr>
        <w:widowControl/>
        <w:spacing w:after="240"/>
        <w:ind w:left="567" w:hanging="567"/>
      </w:pPr>
      <w:r w:rsidRPr="002B0EAA">
        <w:t>34.</w:t>
      </w:r>
      <w:r w:rsidRPr="002B0EAA">
        <w:tab/>
        <w:t xml:space="preserve">Notes that burnout cases (in total 16) were registered in 5 agencies and overtime was taken by several employees in 19 agencies in 2022 (13 in 2021); highlights that not all burnout cases are recorded officially; notes in particular that a high number of employees haven taken overtime in EFSA (81 % of staff) and </w:t>
      </w:r>
      <w:proofErr w:type="spellStart"/>
      <w:r w:rsidRPr="002B0EAA">
        <w:t>Eurofound</w:t>
      </w:r>
      <w:proofErr w:type="spellEnd"/>
      <w:r w:rsidRPr="002B0EAA">
        <w:t xml:space="preserve"> (97 % of staff);</w:t>
      </w:r>
    </w:p>
    <w:p w14:paraId="784106B6" w14:textId="77777777" w:rsidR="00AD4F1B" w:rsidRPr="002B0EAA" w:rsidRDefault="00AD4F1B" w:rsidP="00BF7BEE">
      <w:pPr>
        <w:widowControl/>
        <w:spacing w:after="240"/>
        <w:ind w:left="567" w:hanging="567"/>
      </w:pPr>
      <w:proofErr w:type="gramStart"/>
      <w:r w:rsidRPr="002B0EAA">
        <w:t>35.</w:t>
      </w:r>
      <w:r w:rsidRPr="002B0EAA">
        <w:tab/>
        <w:t xml:space="preserve">Notes with concern that, in 2022, the staff turnover rate was more than 5 % in 15 out of 33 agencies, whereas four of them exceeded the 10 % rate; commends the agencies (e.g. EBA) for the targeted measures they took to prevent high staff turnover rates; highlights </w:t>
      </w:r>
      <w:r w:rsidRPr="002B0EAA">
        <w:lastRenderedPageBreak/>
        <w:t>the importance for all agencies to implement measures with a view to improving talent management and retention; counts on the EUAN to be a forum for its member agencies with regard to exchanging good practices and, where possible, joining forces in this matter;</w:t>
      </w:r>
      <w:proofErr w:type="gramEnd"/>
    </w:p>
    <w:p w14:paraId="71AB7272" w14:textId="77777777" w:rsidR="00AD4F1B" w:rsidRPr="002B0EAA" w:rsidRDefault="00AD4F1B" w:rsidP="00BF7BEE">
      <w:pPr>
        <w:widowControl/>
        <w:spacing w:after="240"/>
        <w:ind w:left="567" w:hanging="567"/>
      </w:pPr>
      <w:proofErr w:type="gramStart"/>
      <w:r w:rsidRPr="002B0EAA">
        <w:t>36.</w:t>
      </w:r>
      <w:r w:rsidRPr="002B0EAA">
        <w:tab/>
        <w:t>Notes that the geographical balance of staff of Union decentralised agencies follows the population of the Member States as a percentage of the EU27 more closely than the geographical balance of staff of the Commission; regrets an under-representation for seven Member States, an over-representation for seventeen Member States and an approximate balance for three Member States; recalls that the Agencies need to take concrete measures for geographical balance to be improved; notes from the study on ‘The use of contract agents in decentralised agencies’ published on 15 May 2023 (hereinafter the ‘Study’) that the financial attractiveness of the CA posts in various regions can impact the geographical diversity of applicants;</w:t>
      </w:r>
      <w:proofErr w:type="gramEnd"/>
    </w:p>
    <w:p w14:paraId="595262D8" w14:textId="77777777" w:rsidR="00AD4F1B" w:rsidRPr="002B0EAA" w:rsidRDefault="00AD4F1B" w:rsidP="00BF7BEE">
      <w:pPr>
        <w:widowControl/>
        <w:spacing w:after="240"/>
        <w:ind w:left="567" w:hanging="567"/>
      </w:pPr>
      <w:proofErr w:type="gramStart"/>
      <w:r w:rsidRPr="002B0EAA">
        <w:t>37.</w:t>
      </w:r>
      <w:r w:rsidRPr="002B0EAA">
        <w:tab/>
        <w:t>Highlights that geographical balance is still a challenge for several agencies for which considerable percentages of their staff are nationals of the Member State where the agencies are located, e.g. BEREC (58 % Latvians), CEDEFOP (47 % Greeks), EFSA (49 % Italians), EU-OSHA (46 % Spanish); acknowledges that the agencies use merit-based selection procedures, whereby in presence of equal merits, the agencies would favour the under-represented nationalities; calls on the agencies to take the necessary measures to have a balanced and fair geographical representation;</w:t>
      </w:r>
      <w:proofErr w:type="gramEnd"/>
    </w:p>
    <w:p w14:paraId="48A6D3CE" w14:textId="77777777" w:rsidR="00AD4F1B" w:rsidRPr="002B0EAA" w:rsidRDefault="00AD4F1B" w:rsidP="00BF7BEE">
      <w:pPr>
        <w:widowControl/>
        <w:spacing w:after="240"/>
        <w:ind w:left="567" w:hanging="567"/>
      </w:pPr>
      <w:proofErr w:type="gramStart"/>
      <w:r w:rsidRPr="002B0EAA">
        <w:t>38.</w:t>
      </w:r>
      <w:r w:rsidRPr="002B0EAA">
        <w:tab/>
        <w:t>Acknowledges that attracting talent and ensuring a geographically diverse workforce are linked to agencies’ individual specificities (e.g. location, infrastructure, schooling, policy area), as well as to external limiting factors (e.g. competition with the private sector, job uncertainty due to short term contracts, low correction coefficients); notes with appreciation from the EUAN’s follow-up report to the discharge for 2021, the actions taken by the EUAN to remedy the lack of attractiveness and improve the representativeness of the agencies’ staff in terms of age, gender and geographical origin;</w:t>
      </w:r>
      <w:proofErr w:type="gramEnd"/>
    </w:p>
    <w:p w14:paraId="43186FC9" w14:textId="77777777" w:rsidR="00AD4F1B" w:rsidRPr="002B0EAA" w:rsidRDefault="00AD4F1B" w:rsidP="00BF7BEE">
      <w:pPr>
        <w:widowControl/>
        <w:spacing w:after="240"/>
        <w:ind w:left="567" w:hanging="567"/>
      </w:pPr>
      <w:proofErr w:type="gramStart"/>
      <w:r w:rsidRPr="002B0EAA">
        <w:t>39.</w:t>
      </w:r>
      <w:r w:rsidRPr="002B0EAA">
        <w:tab/>
        <w:t>Notes with concern the observations from the Court’s report on the weaknesses related to allowances to SNEs, traineeship grants and recruitment procedures, and notes that the Court made 8 observations of which 3 linked to irregular payments; calls on the agencies concerned to improve their ex-ante checks so that payments are made based on documentary evidence and the rules in force;</w:t>
      </w:r>
      <w:proofErr w:type="gramEnd"/>
    </w:p>
    <w:p w14:paraId="1B8545B8" w14:textId="77777777" w:rsidR="00AD4F1B" w:rsidRPr="002B0EAA" w:rsidRDefault="00AD4F1B" w:rsidP="00BF7BEE">
      <w:pPr>
        <w:widowControl/>
        <w:spacing w:after="240"/>
        <w:ind w:left="567" w:hanging="567"/>
      </w:pPr>
      <w:proofErr w:type="gramStart"/>
      <w:r w:rsidRPr="002B0EAA">
        <w:t>40.</w:t>
      </w:r>
      <w:r w:rsidRPr="002B0EAA">
        <w:tab/>
        <w:t>Notes a slightly improved gender distribution in 2022, compared to 2021 at the level of senior and middle management, with 66,59 % men and 33,41 % women (68 % and 32 %, respectively in 2021) and within the management board members, with 60,33 % men and 39,67 % women (62 % and 38 %, respectively in 2021); notes that the gender balance reported for staff overall deteriorated, with 54,26 % men and 46,74 % women (50,3 % and 49,7 %, respectively in 2021); calls on the agencies to work on improving further the gender balance in senior management; reiterates its calls on the Commission and Member States to observe gender balance when nominating and appointing members of the management or administrative boards; recalls the ambition of the agencies to align with the Commission to reach a gender balance of 50 % at all levels of its management by the end of 2024;</w:t>
      </w:r>
      <w:proofErr w:type="gramEnd"/>
    </w:p>
    <w:p w14:paraId="62D05332" w14:textId="77777777" w:rsidR="00AD4F1B" w:rsidRPr="002B0EAA" w:rsidRDefault="00AD4F1B" w:rsidP="00BF7BEE">
      <w:pPr>
        <w:widowControl/>
        <w:spacing w:after="240"/>
        <w:ind w:left="567" w:hanging="567"/>
      </w:pPr>
      <w:proofErr w:type="gramStart"/>
      <w:r w:rsidRPr="002B0EAA">
        <w:t>41.</w:t>
      </w:r>
      <w:r w:rsidRPr="002B0EAA">
        <w:tab/>
        <w:t xml:space="preserve">Notes that all agencies have put in place measures to improve staff’s well-being at work and work-life balance; notes that the number and impact of such measures varies </w:t>
      </w:r>
      <w:r w:rsidRPr="002B0EAA">
        <w:lastRenderedPageBreak/>
        <w:t xml:space="preserve">significantly from one agency to another and that no common framework of reference across agencies appears to exist; calls on the EUAN to coordinate efforts for the development of a common framework of reference in this this regard; notes with satisfaction that a large majority of agencies have put measures for integration of persons with disabilities in place, </w:t>
      </w:r>
      <w:proofErr w:type="spellStart"/>
      <w:r w:rsidRPr="002B0EAA">
        <w:t>where as</w:t>
      </w:r>
      <w:proofErr w:type="spellEnd"/>
      <w:r w:rsidRPr="002B0EAA">
        <w:t xml:space="preserve"> such measures range from physical adaptations such as making buildings wheelchair-accessible and installing ramps at main access points, to adaptations in staff workstations, specific working arrangements for employees with disabilities, and provision of specific equipment based on individual needs; welcomes in addition other measures that include integrating inclusive practices into HR policies, such as encouraging applications from candidates with disabilities, ensuring that recruitment procedures are non-discriminatory in the case of disabilities, providing training for HR staff and Selection Boards on diversity and inclusion issues, and offering guidance on detecting and counteracting unconscious biases; calls on the agencies with larger budgets to reflect their investment in measures for the integration of persons with disabilities and for the improvement of staff’s well-being at work and work-life balance, accordingly;</w:t>
      </w:r>
      <w:proofErr w:type="gramEnd"/>
    </w:p>
    <w:p w14:paraId="6D149D92" w14:textId="77777777" w:rsidR="00AD4F1B" w:rsidRPr="002B0EAA" w:rsidRDefault="00AD4F1B" w:rsidP="00BF7BEE">
      <w:pPr>
        <w:widowControl/>
        <w:spacing w:after="240"/>
        <w:ind w:left="567" w:hanging="567"/>
      </w:pPr>
      <w:proofErr w:type="gramStart"/>
      <w:r w:rsidRPr="002B0EAA">
        <w:t>42.</w:t>
      </w:r>
      <w:r w:rsidRPr="002B0EAA">
        <w:tab/>
        <w:t>Notes that 17 agencies have already adopted the Charter on Diversity and Inclusion (D&amp;I) that had been endorsed by the Working Group (WGDI) dedicated to issues in the area of D&amp;I; invites the remaining agencies to adopt that Charter without delay; welcomes the active evolution of the Working Group (WGDI) dedicated to issues in the area of diversity and inclusion (D&amp;I) created by the EUAN; notes with appreciation in this context the various activities and events organised by the EUAN in 2022, such as: - online talks on “Redefining Leadership – Women at the helm of the EU Agencies”, on “Overcoming alpha leadership culture: how everyone can become a successful leader”, and on the commemoration of the International Day of People with Disabilities, under the name “Finding our Strength in Vulnerability”; - the EUAN D&amp;I Awards that will reward administrative and HR initiatives that foster awareness and implementation of D&amp;I practices currently taking place within the agencies; calls on the EUAN to provide the discharge authority with the results of the survey on D&amp;I amongst the agencies staff; invites the EUAN to keep reporting to the discharge authority on the progress made in D&amp;I related matters;</w:t>
      </w:r>
      <w:proofErr w:type="gramEnd"/>
    </w:p>
    <w:p w14:paraId="4AEDE645" w14:textId="77777777" w:rsidR="00AD4F1B" w:rsidRPr="002B0EAA" w:rsidRDefault="00AD4F1B" w:rsidP="00BF7BEE">
      <w:pPr>
        <w:widowControl/>
        <w:spacing w:after="240"/>
        <w:ind w:left="567" w:hanging="567"/>
      </w:pPr>
      <w:proofErr w:type="gramStart"/>
      <w:r w:rsidRPr="002B0EAA">
        <w:t>43.</w:t>
      </w:r>
      <w:r w:rsidRPr="002B0EAA">
        <w:tab/>
        <w:t>Recalls the importance of developing a long term HR policy on work-life balance, lifelong guidance and the offer of specific training possibilities for career development, gender balance at all staff levels, teleworking, the right to disconnect, the enhancement of a geographical balance to have an appropriate representation from all Member States, and the recruitment and integration of people with disabilities as well as the promotion of their equal treatment and their opportunities;</w:t>
      </w:r>
      <w:proofErr w:type="gramEnd"/>
    </w:p>
    <w:p w14:paraId="23A7C534" w14:textId="77777777" w:rsidR="00AD4F1B" w:rsidRPr="002B0EAA" w:rsidRDefault="00AD4F1B" w:rsidP="00BF7BEE">
      <w:pPr>
        <w:widowControl/>
        <w:spacing w:after="240"/>
        <w:ind w:left="567" w:hanging="567"/>
      </w:pPr>
      <w:proofErr w:type="gramStart"/>
      <w:r w:rsidRPr="002B0EAA">
        <w:t>44.</w:t>
      </w:r>
      <w:r w:rsidRPr="002B0EAA">
        <w:tab/>
        <w:t>Notes that all agencies have put in place for all their staff a policy and measures to prevent and fight against harassment, with some of the agencies having specific measures (e.g. training courses, awareness or coaching sessions) in place for senior and middle management; further notes that 8 agencies reported to have 23 ongoing or closed harassment cases in 2022; observes that in some agencies (e.g. ECDC, ENISA, EUAA), for staff related procedures (e.g. harassment cases), support from external law firms specialised in Union Civil service law (Union Staff Regulations) is sought, even when the agencies have their own legal services department/unit; notes from the EUAN’s follow-up report to the discharge for 2021 that in the majority of cases, agencies did not face any cases of harassment where they needed to seek support from external law firms or counsels;</w:t>
      </w:r>
      <w:proofErr w:type="gramEnd"/>
    </w:p>
    <w:p w14:paraId="76451116" w14:textId="77777777" w:rsidR="00AD4F1B" w:rsidRPr="002B0EAA" w:rsidRDefault="00AD4F1B" w:rsidP="00BF7BEE">
      <w:pPr>
        <w:widowControl/>
        <w:spacing w:after="240"/>
        <w:ind w:left="567" w:hanging="567"/>
      </w:pPr>
      <w:proofErr w:type="gramStart"/>
      <w:r w:rsidRPr="002B0EAA">
        <w:lastRenderedPageBreak/>
        <w:t>45.</w:t>
      </w:r>
      <w:r w:rsidRPr="002B0EAA">
        <w:tab/>
        <w:t>Notes that the Supreme Court of Lithuania, in its decision of 23 February 2022, upheld the judgment of the Court of Justice of the European Union in Case C-948/19 which considered temporary agency workers to Union agencies as part of the scope of the application of Directive 2008/104/EC; calls on all the agencies to prioritise permanent staff over external consultants, in order to guarantee high quality working conditions and to prevent knowledge and experience from being lost;</w:t>
      </w:r>
      <w:proofErr w:type="gramEnd"/>
    </w:p>
    <w:p w14:paraId="52AD77D8" w14:textId="77777777" w:rsidR="00AD4F1B" w:rsidRPr="002B0EAA" w:rsidRDefault="00AD4F1B" w:rsidP="00BF7BEE">
      <w:pPr>
        <w:pStyle w:val="NormalHanging12a"/>
        <w:widowControl/>
      </w:pPr>
      <w:proofErr w:type="gramStart"/>
      <w:r w:rsidRPr="002B0EAA">
        <w:t>46.</w:t>
      </w:r>
      <w:r w:rsidRPr="002B0EAA">
        <w:tab/>
        <w:t>Recalls that decentralised agencies have the possibility for up to 65 % of their total staff number to be made up of contract agents (CAs), in accordance with the Union’s Staff Regulations, a provision which aims at flexibility; notes, in this context, from the exchange of views expressed during the public hearing (called ‘Personnel and other resources at Union agencies, Bodies and Joint Undertakings’, hereinafter the ‘Public Hearing’) held in Parliament on 27/06/2023, as well as from the Study, that the Commission’s uniform procedures for defining the number of CAs leaves no flexibility to hire CAs based on workload assessment in line with the mandate of the agencies and limits their ability to adapt to emerging needs in an agile way; notes also from the Public Hearing that the costs associated with interim staff services, used to address short-term business needs and absences, significantly exceed the costs associated with CAs which is a challenge in light of the judgement of the Court of Justice of the European Union of 11 November 2021 (Case C-948/19), given that it obliges the agencies to follow the principle of equal pay for equal tasks, regardless of their contractual situation; reiterates its call on the agencies to rely as much as possible on permanent staff in order to guarantee quality working conditions, and to prevent knowledge and experience from being lost and on the Commission to ensure appropriate allocations of human resources;</w:t>
      </w:r>
      <w:proofErr w:type="gramEnd"/>
    </w:p>
    <w:p w14:paraId="63DB873D" w14:textId="77777777" w:rsidR="00AD4F1B" w:rsidRPr="002B0EAA" w:rsidRDefault="00AD4F1B" w:rsidP="00BF7BEE">
      <w:pPr>
        <w:widowControl/>
        <w:spacing w:after="240"/>
        <w:ind w:left="567" w:hanging="567"/>
      </w:pPr>
      <w:proofErr w:type="gramStart"/>
      <w:r w:rsidRPr="002B0EAA">
        <w:t>47.</w:t>
      </w:r>
      <w:r w:rsidRPr="002B0EAA">
        <w:tab/>
        <w:t xml:space="preserve">Notes, from the Study, that in terms of workforce composition, the number of CAs has been increasing over the last decade across decentralised agencies, both in absolute terms and as a relative share of the total workforce: from 17 % in 2012 to 21 % in 2021, whereas the number of CA staff in category IV has seen the largest increase over time (with a share of up to 46 % across all function groups in 2019), potentially indicating that agencies may be employing CAs to perform core tasks within the agencies’ mandate; understands that employing CAs as an integral part of the workforce helps agencies address the exhaustion of options for efficiency gains while accommodating the increased scope of responsibilities with fewer posts; points, however, to the fact that discrepancies in contract types for similar tasks have important implications for the overall work experience of CAs and their motivation and the higher rotation of CAs working within more specialised roles could pose challenges for the retention of organisational knowledge; notes in addition from the Study the differences between the CA and local salaries across Member States, whereas for some agencies (EEA, </w:t>
      </w:r>
      <w:proofErr w:type="spellStart"/>
      <w:r w:rsidRPr="002B0EAA">
        <w:t>Eurofound</w:t>
      </w:r>
      <w:proofErr w:type="spellEnd"/>
      <w:r w:rsidRPr="002B0EAA">
        <w:t>, Europol) the CA salaries of all function groups were lower than the average salaries on the Member States (DK, IE, NL), while the salaries of CAs employed in other agencies (e.g. ENISA, EIGE) were higher than the local salaries (EL, LT); observes that the recruitment process for CAs varies from three to nine months or more and the differences between the salaries for the variety of roles can impact the recruitment procedures and their success rates;</w:t>
      </w:r>
      <w:proofErr w:type="gramEnd"/>
    </w:p>
    <w:p w14:paraId="77E00CF8" w14:textId="77777777" w:rsidR="00AD4F1B" w:rsidRPr="002B0EAA" w:rsidRDefault="00AD4F1B" w:rsidP="00BF7BEE">
      <w:pPr>
        <w:pStyle w:val="Normal12Hanging"/>
        <w:widowControl/>
        <w:rPr>
          <w:b/>
          <w:bCs/>
          <w:i/>
          <w:iCs/>
        </w:rPr>
      </w:pPr>
      <w:r w:rsidRPr="002B0EAA">
        <w:rPr>
          <w:b/>
          <w:bCs/>
          <w:i/>
          <w:iCs/>
        </w:rPr>
        <w:t>Prevention and management of conflicts of interest and transparency</w:t>
      </w:r>
    </w:p>
    <w:p w14:paraId="695E6FD1" w14:textId="77777777" w:rsidR="00AD4F1B" w:rsidRPr="002B0EAA" w:rsidRDefault="00AD4F1B" w:rsidP="00BF7BEE">
      <w:pPr>
        <w:pStyle w:val="NormalHanging12a"/>
        <w:widowControl/>
      </w:pPr>
      <w:proofErr w:type="gramStart"/>
      <w:r w:rsidRPr="002B0EAA">
        <w:t>48.</w:t>
      </w:r>
      <w:r w:rsidRPr="002B0EAA">
        <w:rPr>
          <w:szCs w:val="24"/>
        </w:rPr>
        <w:tab/>
      </w:r>
      <w:r w:rsidRPr="002B0EAA">
        <w:t xml:space="preserve">Notes that, with the exception of one agency, all agencies have a policy for prevention and management of conflicts of interest in place; welcomes the steps taken by most </w:t>
      </w:r>
      <w:r w:rsidRPr="002B0EAA">
        <w:lastRenderedPageBreak/>
        <w:t>agencies to strengthen their internal procedures and controls covering potential ‘revolving door’ situations and ensure full compliance with the applicable rules foreseen in the Union’s Staff Regulations; notes from the EUAN’s follow-up report to the discharge for 2021, that agencies’ members of the management boards come, in most cases, from public institutions at national level, which places the potential conflict of interest to a relatively low level; notes from the same report that for the most part, management board members are responsible for governance and supervision (only in very few cases they take operational decisions) and when such members are going to work in regulated industries, certain restrictive measures addressed to them are taken, taking into account that there is no legal obligation for those members to e.g. apply for authorisation to take up a job; calls on the EUAN to provide the Parliament with an exhaustive list of such restrictive measures that are taken in practice by the agencies; observes lastly from the Study, that CAs do not seem to be at higher risk of contributing to the ‘revolving door’ issue;</w:t>
      </w:r>
      <w:proofErr w:type="gramEnd"/>
    </w:p>
    <w:p w14:paraId="66F48A27" w14:textId="77777777" w:rsidR="00AD4F1B" w:rsidRPr="002B0EAA" w:rsidRDefault="00AD4F1B" w:rsidP="00BF7BEE">
      <w:pPr>
        <w:pStyle w:val="NormalHanging12a"/>
        <w:widowControl/>
      </w:pPr>
      <w:proofErr w:type="gramStart"/>
      <w:r w:rsidRPr="002B0EAA">
        <w:t>49.</w:t>
      </w:r>
      <w:r w:rsidRPr="002B0EAA">
        <w:tab/>
        <w:t>Notes from the EUAN’s follow-up report to the discharge for 2021 that in some cases, agencies consider their degree of exposure to risk of conflicts of interest and lobbyist pressure to be low, due to their missions, tasks they perform and the environment and context in which they operate, which has an impact on their consideration to what extent they need an anticorruption strategy, while other agencies, due to their higher exposure to such risk, have introduced fully fledged anticorruption strategies, in some cases developed with OLAF; reiterates, in this context, the need to regularly update the rules on transparency, incompatibilities, conflicts of interest and ‘revolving door’ situations, and illegal lobbying, as well as anti-fraud strategies; notes from the agencies’ follow-up report to the discharge for 2021, that most agencies do not plan to develop an internal anticorruption strategy, while in the case of some agencies (e.g.</w:t>
      </w:r>
      <w:proofErr w:type="gramEnd"/>
      <w:r w:rsidRPr="002B0EAA">
        <w:t xml:space="preserve">  EBA, EIOPA), their anti-fraud strategies include an anti-corruption strategy</w:t>
      </w:r>
      <w:proofErr w:type="gramStart"/>
      <w:r w:rsidRPr="002B0EAA">
        <w:t>;</w:t>
      </w:r>
      <w:proofErr w:type="gramEnd"/>
    </w:p>
    <w:p w14:paraId="4E64E338" w14:textId="77777777" w:rsidR="00AD4F1B" w:rsidRPr="002B0EAA" w:rsidRDefault="00AD4F1B" w:rsidP="00BF7BEE">
      <w:pPr>
        <w:pStyle w:val="NormalHanging12a"/>
        <w:widowControl/>
      </w:pPr>
      <w:proofErr w:type="gramStart"/>
      <w:r w:rsidRPr="002B0EAA">
        <w:rPr>
          <w:szCs w:val="24"/>
        </w:rPr>
        <w:t>50.</w:t>
      </w:r>
      <w:r w:rsidRPr="002B0EAA">
        <w:rPr>
          <w:szCs w:val="24"/>
        </w:rPr>
        <w:tab/>
        <w:t xml:space="preserve">Welcomes the publication of the record of all the meetings of interest representatives, stakeholders and lobbyists with the agencies where such meetings are applicable; calls on the agencies (e.g. EASA) who haven’t set up a webpage for the publication of such meetings to do so without delay; </w:t>
      </w:r>
      <w:r w:rsidRPr="002B0EAA">
        <w:t xml:space="preserve">notes that, due to the nature of their business, some agencies (e.g. BEREC, CEPOL, </w:t>
      </w:r>
      <w:proofErr w:type="spellStart"/>
      <w:r w:rsidRPr="002B0EAA">
        <w:t>CdT</w:t>
      </w:r>
      <w:proofErr w:type="spellEnd"/>
      <w:r w:rsidRPr="002B0EAA">
        <w:t>, EU-OSHA) do not organise meetings with lobbyists;</w:t>
      </w:r>
      <w:proofErr w:type="gramEnd"/>
    </w:p>
    <w:p w14:paraId="0F6DA826" w14:textId="77777777" w:rsidR="00AD4F1B" w:rsidRPr="002B0EAA" w:rsidRDefault="00AD4F1B" w:rsidP="00BF7BEE">
      <w:pPr>
        <w:pStyle w:val="NormalHanging12a"/>
        <w:widowControl/>
      </w:pPr>
      <w:proofErr w:type="gramStart"/>
      <w:r w:rsidRPr="002B0EAA">
        <w:t>51.</w:t>
      </w:r>
      <w:r w:rsidRPr="002B0EAA">
        <w:tab/>
        <w:t>Notes that all agencies request declarations of interest for their management board members and senior management and that they publish them on their website; notes further that most agencies publish on their website the curriculum vitae (CV) or a short description of the background of their management board members, management staff, external experts and in-house experts; highlights that in the case of some agencies (</w:t>
      </w:r>
      <w:proofErr w:type="spellStart"/>
      <w:r w:rsidRPr="002B0EAA">
        <w:t>e,g</w:t>
      </w:r>
      <w:proofErr w:type="spellEnd"/>
      <w:r w:rsidRPr="002B0EAA">
        <w:t xml:space="preserve">. </w:t>
      </w:r>
      <w:proofErr w:type="spellStart"/>
      <w:r w:rsidRPr="002B0EAA">
        <w:t>Cedefop</w:t>
      </w:r>
      <w:proofErr w:type="spellEnd"/>
      <w:r w:rsidRPr="002B0EAA">
        <w:t>, EFSA, ELA, ENISA), the CVs of some of the management board members and alternates are not published; calls on those agencies to publish all those CVs on their websites without delay;</w:t>
      </w:r>
      <w:proofErr w:type="gramEnd"/>
    </w:p>
    <w:p w14:paraId="7CD8743F" w14:textId="77777777" w:rsidR="00AD4F1B" w:rsidRPr="002B0EAA" w:rsidRDefault="00AD4F1B" w:rsidP="00BF7BEE">
      <w:pPr>
        <w:pStyle w:val="NormalHanging12a"/>
        <w:widowControl/>
      </w:pPr>
      <w:proofErr w:type="gramStart"/>
      <w:r w:rsidRPr="002B0EAA">
        <w:t>52.</w:t>
      </w:r>
      <w:r w:rsidRPr="002B0EAA">
        <w:tab/>
        <w:t>Highlights that most agencies reported that they did not have cases of conflicts of interest in 2022, while 9 agencies have reported such cases; notes that the cases investigated concerned former employment (ACER), failure to declare financial interests regarding e.g. honorarium received or a close family member interest (EMA), recruitment procedures (EMSA), involvement of management board members in staff related procedures (</w:t>
      </w:r>
      <w:proofErr w:type="spellStart"/>
      <w:r w:rsidRPr="002B0EAA">
        <w:t>Eurojust</w:t>
      </w:r>
      <w:proofErr w:type="spellEnd"/>
      <w:r w:rsidRPr="002B0EAA">
        <w:t xml:space="preserve">) and employment after leaving the service (Europol); commends the agencies’ overall closure rate (19 cases concluded out of 21 reported and </w:t>
      </w:r>
      <w:r w:rsidRPr="002B0EAA">
        <w:lastRenderedPageBreak/>
        <w:t>investigated) of such cases, with response measures taken with a view to avoid adverse impact on those agencies’ interests in 2022; reiterates the importance of having robust internal rules and frameworks in place aiming to prevent any phenomena of harassment, conflict of interest or revolving doors, thus ensuring utmost ethical standards and increasing public trust in the Union institutions;</w:t>
      </w:r>
      <w:proofErr w:type="gramEnd"/>
    </w:p>
    <w:p w14:paraId="16F088CE" w14:textId="77777777" w:rsidR="00AD4F1B" w:rsidRPr="002B0EAA" w:rsidRDefault="00AD4F1B" w:rsidP="00BF7BEE">
      <w:pPr>
        <w:pStyle w:val="NormalHanging12a"/>
        <w:widowControl/>
      </w:pPr>
      <w:proofErr w:type="gramStart"/>
      <w:r w:rsidRPr="002B0EAA">
        <w:t>53.</w:t>
      </w:r>
      <w:r w:rsidRPr="002B0EAA">
        <w:tab/>
        <w:t>Notes that all agencies have a whistle-blower policy in place; observes that 52 whistleblowing cases were reported and investigated, of which 47 cases concluded (including 37 external whistleblowing received by EMA) and 2 cases (</w:t>
      </w:r>
      <w:proofErr w:type="spellStart"/>
      <w:r w:rsidRPr="002B0EAA">
        <w:t>Frontex</w:t>
      </w:r>
      <w:proofErr w:type="spellEnd"/>
      <w:r w:rsidRPr="002B0EAA">
        <w:t>) under investigation by OLAF in 2022; calls on all the agencies to ensure they have specific, safe and effective reporting channels in place in line with the relevant requirements of Directive (EU) 2019/1937 of the European Parliament and of the Council</w:t>
      </w:r>
      <w:r w:rsidRPr="002B0EAA">
        <w:rPr>
          <w:rStyle w:val="FootnoteReference"/>
        </w:rPr>
        <w:footnoteReference w:id="4"/>
      </w:r>
      <w:r w:rsidRPr="002B0EAA">
        <w:t xml:space="preserve"> on whistleblowing;</w:t>
      </w:r>
      <w:proofErr w:type="gramEnd"/>
    </w:p>
    <w:p w14:paraId="24BCFA50" w14:textId="77777777" w:rsidR="00AD4F1B" w:rsidRPr="002B0EAA" w:rsidRDefault="00AD4F1B" w:rsidP="00BF7BEE">
      <w:pPr>
        <w:pStyle w:val="NormalHanging12a"/>
        <w:widowControl/>
        <w:rPr>
          <w:b/>
          <w:i/>
        </w:rPr>
      </w:pPr>
      <w:r w:rsidRPr="002B0EAA">
        <w:rPr>
          <w:b/>
          <w:i/>
        </w:rPr>
        <w:t>Procurement</w:t>
      </w:r>
    </w:p>
    <w:p w14:paraId="00DBA0BD" w14:textId="77777777" w:rsidR="00AD4F1B" w:rsidRPr="002B0EAA" w:rsidRDefault="00AD4F1B" w:rsidP="00BF7BEE">
      <w:pPr>
        <w:pStyle w:val="NormalHanging12a"/>
        <w:widowControl/>
      </w:pPr>
      <w:proofErr w:type="gramStart"/>
      <w:r w:rsidRPr="002B0EAA">
        <w:t>54.</w:t>
      </w:r>
      <w:r w:rsidRPr="002B0EAA">
        <w:tab/>
        <w:t>Notes with great concern that the Court observed 48 weaknesses in public procurement in 2022 (compared to 34 in 2021 and 18 in 2020) and that the number of agencies concerned is increasing with 24 agencies concerned in 2022 (compared to 22 agencies in 2021 and 14 agencies in 2020); is concerned that such weaknesses remain the largest source of irregular payments, stemming from irregular procurement procedures reported either in 2022 or in previous years; echoes the Court’s recommendation that, when implementing framework contracts, the agencies concerned should only use specific contracts to procure goods or services covered by the associated framework contract; further echoes the Court’s recommendation that the agencies concerned should further improve their public procurement procedures, ensuring full compliance with the applicable rules, including with regard to the conditions for modifying existing contracts;</w:t>
      </w:r>
      <w:proofErr w:type="gramEnd"/>
    </w:p>
    <w:p w14:paraId="04B225B1" w14:textId="77777777" w:rsidR="00AD4F1B" w:rsidRPr="002B0EAA" w:rsidRDefault="00AD4F1B" w:rsidP="00BF7BEE">
      <w:pPr>
        <w:pStyle w:val="NormalHanging12a"/>
        <w:widowControl/>
      </w:pPr>
      <w:proofErr w:type="gramStart"/>
      <w:r w:rsidRPr="002B0EAA">
        <w:t>55.</w:t>
      </w:r>
      <w:r w:rsidRPr="002B0EAA">
        <w:tab/>
        <w:t>Welcomes the increased use of e-procurement tools by Union agencies; notes that the most common e-PRIOR modules used by agencies are e-Tendering, e-Submission and e-Invoicing; notes moreover that in 2022, 20 agencies adopted and implemented the Public Procurement Management Tool, 7 agencies were testing it and 23 agencies have implemented the qualified electronic signature tools; calls on all the agencies to implement those tools, work further toward the full digitalisation of their procurement processes and keep the discharge authority updated on the progress in this matter;</w:t>
      </w:r>
      <w:proofErr w:type="gramEnd"/>
    </w:p>
    <w:p w14:paraId="415C9F2A" w14:textId="77777777" w:rsidR="00AD4F1B" w:rsidRPr="002B0EAA" w:rsidRDefault="00AD4F1B" w:rsidP="00BF7BEE">
      <w:pPr>
        <w:pStyle w:val="NormalHanging12a"/>
        <w:widowControl/>
        <w:rPr>
          <w:b/>
          <w:i/>
        </w:rPr>
      </w:pPr>
      <w:proofErr w:type="gramStart"/>
      <w:r w:rsidRPr="002B0EAA">
        <w:t>56.</w:t>
      </w:r>
      <w:r w:rsidRPr="002B0EAA">
        <w:tab/>
        <w:t xml:space="preserve">Recalls the importance for all procurement procedures, to ensure fair competition between tenderers and to procure goods and services at the best price, respecting the principles of transparency, proportionality, equal treatment and non-discrimination; invites all agencies to implement all the e-procurement IT tools developed by the Commission; calls on all agencies to further improve their public procurement procedures as well as to lead by example and make use of the social clause in the existing EU Public Procurement Directive to ensure that economic operators involved in public contracts comply with all applicable obligations in the fields of environmental, </w:t>
      </w:r>
      <w:r w:rsidRPr="002B0EAA">
        <w:lastRenderedPageBreak/>
        <w:t>social and labour law established by Union law, national law or collective agreement, or by applicable international environmental, social or labour law provisions;</w:t>
      </w:r>
      <w:proofErr w:type="gramEnd"/>
    </w:p>
    <w:p w14:paraId="1952E583" w14:textId="77777777" w:rsidR="00AD4F1B" w:rsidRPr="002B0EAA" w:rsidRDefault="00AD4F1B" w:rsidP="00BF7BEE">
      <w:pPr>
        <w:pStyle w:val="NormalHanging12a"/>
        <w:widowControl/>
        <w:rPr>
          <w:b/>
          <w:i/>
          <w:szCs w:val="24"/>
        </w:rPr>
      </w:pPr>
      <w:r w:rsidRPr="002B0EAA">
        <w:rPr>
          <w:b/>
          <w:i/>
        </w:rPr>
        <w:t>Internal control</w:t>
      </w:r>
    </w:p>
    <w:p w14:paraId="1C3B7F40" w14:textId="77777777" w:rsidR="00AD4F1B" w:rsidRPr="002B0EAA" w:rsidRDefault="00AD4F1B" w:rsidP="00BF7BEE">
      <w:pPr>
        <w:pStyle w:val="NormalHanging12a"/>
        <w:widowControl/>
      </w:pPr>
      <w:proofErr w:type="gramStart"/>
      <w:r w:rsidRPr="002B0EAA">
        <w:t>57.</w:t>
      </w:r>
      <w:r w:rsidRPr="002B0EAA">
        <w:tab/>
        <w:t>Notes with concern the Court’s findings in the area of management and control systems (other than procurement and HR issues), where weaknesses were observed in 2022 regarding deficiencies in data quality and completeness, expenditure implemented without the proper delegation of power of an authorising officer, absence of adequate ex-post/ex-ante checks, and weaknesses in the management of allowances, grants and commitments; notes that from the total of 24 findings in these areas, 3 were linked to irregular payments; strongly insists on the requirement of effective management and control systems to avoid such deficiencies; reiterates its call for the strengthening of management and control systems in order to ensure the proper functioning of the agencies;</w:t>
      </w:r>
      <w:proofErr w:type="gramEnd"/>
    </w:p>
    <w:p w14:paraId="318D779E" w14:textId="77777777" w:rsidR="00AD4F1B" w:rsidRPr="002B0EAA" w:rsidRDefault="00AD4F1B" w:rsidP="00BF7BEE">
      <w:pPr>
        <w:pStyle w:val="NormalHanging12a"/>
        <w:widowControl/>
      </w:pPr>
      <w:proofErr w:type="gramStart"/>
      <w:r w:rsidRPr="002B0EAA">
        <w:t>58.</w:t>
      </w:r>
      <w:r w:rsidRPr="002B0EAA">
        <w:tab/>
        <w:t>Notes that, at the end of 2022, all agencies reported that they had implemented the revised, COSO-based, internal control framework (ICF) and that they had performed the annual assessment of the ICF; reiterates its call on all agencies to provide as a minimum the results of the assessment at component level, encourages the agencies however to report on a more detailed level, such as per internal control principle;</w:t>
      </w:r>
      <w:proofErr w:type="gramEnd"/>
    </w:p>
    <w:p w14:paraId="1B32B92C" w14:textId="77777777" w:rsidR="00AD4F1B" w:rsidRPr="002B0EAA" w:rsidRDefault="00AD4F1B" w:rsidP="00BF7BEE">
      <w:pPr>
        <w:pStyle w:val="NormalHanging12a"/>
        <w:widowControl/>
      </w:pPr>
      <w:proofErr w:type="gramStart"/>
      <w:r w:rsidRPr="002B0EAA">
        <w:t>59.</w:t>
      </w:r>
      <w:r w:rsidRPr="002B0EAA">
        <w:tab/>
        <w:t>Notes that, in 2022, according to the Court’s report concerning follow-up of previous years’ observations, 64 observations were closed and 57 observations were still being implemented or outstanding; calls on the agencies to diligently implement the observations and further improve their internal control frameworks; notes finally that 8 agencies reported to have 23 cases handled by OLAF in 2022, with 11 of those cases closed that year;</w:t>
      </w:r>
      <w:proofErr w:type="gramEnd"/>
    </w:p>
    <w:p w14:paraId="03F69F7C" w14:textId="77777777" w:rsidR="00AD4F1B" w:rsidRPr="002B0EAA" w:rsidRDefault="00AD4F1B" w:rsidP="00BF7BEE">
      <w:pPr>
        <w:pStyle w:val="NormalHanging12a"/>
        <w:widowControl/>
        <w:rPr>
          <w:b/>
          <w:i/>
        </w:rPr>
      </w:pPr>
      <w:r w:rsidRPr="002B0EAA">
        <w:rPr>
          <w:b/>
          <w:i/>
        </w:rPr>
        <w:t>Other</w:t>
      </w:r>
    </w:p>
    <w:p w14:paraId="27510B00" w14:textId="77777777" w:rsidR="00AD4F1B" w:rsidRPr="002B0EAA" w:rsidRDefault="00AD4F1B" w:rsidP="00BF7BEE">
      <w:pPr>
        <w:pStyle w:val="NormalHanging12a"/>
        <w:widowControl/>
      </w:pPr>
      <w:proofErr w:type="gramStart"/>
      <w:r w:rsidRPr="002B0EAA">
        <w:t>60.</w:t>
      </w:r>
      <w:r w:rsidRPr="002B0EAA">
        <w:tab/>
        <w:t>Welcomes the further steps taken by the agencies in 2022 to strengthen their cybersecurity and protection of the digital records in their possession; commends the agencies (ECDC, ECHA, EIGE, ENISA) having adopted or updated their cybersecurity and information security policies, in light of the Union regulations on cybersecurity and information security in Union institutions and bodies; notes that some agencies (e.g. CEPOL) have not yet adopted such policies due to absence in their establishment plan of allocated posts that would be needed to implement those regulations; calls on the agencies concerned to find temporary solutions (such as sharing the relevant resources with other agencies) as soon as possible and identify a way to a permanent solution; asks the EUAN to facilitate a better exchange between agencies in this context; calls on the agencies concerned to keep the discharge authority on the progress made in this matter;</w:t>
      </w:r>
      <w:proofErr w:type="gramEnd"/>
    </w:p>
    <w:p w14:paraId="6B1FC641" w14:textId="77777777" w:rsidR="00AD4F1B" w:rsidRPr="002B0EAA" w:rsidRDefault="00AD4F1B" w:rsidP="00BF7BEE">
      <w:pPr>
        <w:pStyle w:val="NormalHanging12a"/>
        <w:widowControl/>
        <w:rPr>
          <w:szCs w:val="24"/>
        </w:rPr>
      </w:pPr>
      <w:proofErr w:type="gramStart"/>
      <w:r w:rsidRPr="002B0EAA">
        <w:rPr>
          <w:szCs w:val="24"/>
        </w:rPr>
        <w:t>61.</w:t>
      </w:r>
      <w:r w:rsidRPr="002B0EAA">
        <w:rPr>
          <w:szCs w:val="24"/>
        </w:rPr>
        <w:tab/>
        <w:t xml:space="preserve">Notes from the exchange of views expressed during the Public Hearing that (1) cyber threats are ever increasing and ENISA’s budget should increase accordingly, even if it is not entrusted with new tasks, but simply undergo an increase in the scope thereof; (2) with the Commission’s cyber solidarity and cyber resilience acts, ENISA would receive new tasks without additional resources; (3) it is very important to carry out and formalise together with agencies, through a clear and transparent method, an assessment of the resources needed when the agencies’ mandates are reinforced or their scope </w:t>
      </w:r>
      <w:r w:rsidRPr="002B0EAA">
        <w:rPr>
          <w:szCs w:val="24"/>
        </w:rPr>
        <w:lastRenderedPageBreak/>
        <w:t>increases; calls on the Commission to take into account these aspects and recalls that, when it comes to cybersecurity, investments need to be made by each agency in order to comply with the legal requirements;</w:t>
      </w:r>
      <w:proofErr w:type="gramEnd"/>
    </w:p>
    <w:p w14:paraId="3D05A1DA" w14:textId="77777777" w:rsidR="00AD4F1B" w:rsidRPr="002B0EAA" w:rsidRDefault="00AD4F1B" w:rsidP="00BF7BEE">
      <w:pPr>
        <w:pStyle w:val="NormalHanging12a"/>
        <w:widowControl/>
      </w:pPr>
      <w:proofErr w:type="gramStart"/>
      <w:r w:rsidRPr="002B0EAA">
        <w:t>62.</w:t>
      </w:r>
      <w:r w:rsidRPr="002B0EAA">
        <w:tab/>
        <w:t>Welcomes the steps taken by the agencies to disclose and publish the results of their work through various channels, including their websites and social media; invites the agencies to continue their efforts to report relevant performance information to the Union citizens and the general public in clear and accessible language to ensure greater transparency and public accountability by better-utilising media and social media channels; expects the agencies to report to the discharge authority in this regard;</w:t>
      </w:r>
      <w:proofErr w:type="gramEnd"/>
    </w:p>
    <w:p w14:paraId="1C1EF3F3" w14:textId="77777777" w:rsidR="00AD4F1B" w:rsidRPr="002B0EAA" w:rsidRDefault="00AD4F1B" w:rsidP="00BF7BEE">
      <w:pPr>
        <w:pStyle w:val="NormalHanging12a"/>
        <w:widowControl/>
        <w:rPr>
          <w:szCs w:val="24"/>
        </w:rPr>
      </w:pPr>
      <w:r w:rsidRPr="002B0EAA">
        <w:t>63.</w:t>
      </w:r>
      <w:r w:rsidRPr="002B0EAA">
        <w:tab/>
        <w:t>Welcomes the Commission communication entitled ‘Long-term competitiveness of the EU: looking beyond 2030’ aiming to rationalise and simplify reporting requirements by 25 % for each of the green, digital and economic thematic areas, and calls on the Union agencies to streamline their internal procedures to reduce unnecessary administrative burdens;</w:t>
      </w:r>
    </w:p>
    <w:p w14:paraId="6A817D41" w14:textId="77777777" w:rsidR="00AD4F1B" w:rsidRPr="002B0EAA" w:rsidRDefault="00AD4F1B" w:rsidP="00BF7BEE">
      <w:pPr>
        <w:pStyle w:val="NormalCenter12a"/>
        <w:widowControl/>
        <w:ind w:left="567" w:hanging="567"/>
      </w:pPr>
      <w:r w:rsidRPr="002B0EAA">
        <w:t>°</w:t>
      </w:r>
    </w:p>
    <w:p w14:paraId="04AF0780" w14:textId="0626105F" w:rsidR="00AD4F1B" w:rsidRPr="002B0EAA" w:rsidRDefault="0007051C" w:rsidP="00BF7BEE">
      <w:pPr>
        <w:pStyle w:val="NormalCenter12a"/>
        <w:widowControl/>
        <w:ind w:left="567" w:hanging="567"/>
      </w:pPr>
      <w:r>
        <w:t xml:space="preserve">°         </w:t>
      </w:r>
      <w:r w:rsidR="00AD4F1B" w:rsidRPr="002B0EAA">
        <w:t>°</w:t>
      </w:r>
    </w:p>
    <w:p w14:paraId="49BF67A8" w14:textId="77777777" w:rsidR="00AD4F1B" w:rsidRPr="00F879E9" w:rsidRDefault="00AD4F1B" w:rsidP="00BF7BEE">
      <w:pPr>
        <w:pStyle w:val="NormalHanging12a"/>
        <w:widowControl/>
      </w:pPr>
      <w:r w:rsidRPr="002B0EAA">
        <w:t>64.</w:t>
      </w:r>
      <w:r w:rsidRPr="002B0EAA">
        <w:tab/>
        <w:t>Instructs its President to forward this resolution to the agencies subject to this discharge procedure, the Council, the Commission and the Cour</w:t>
      </w:r>
      <w:bookmarkStart w:id="8" w:name="_GoBack"/>
      <w:bookmarkEnd w:id="8"/>
      <w:r w:rsidRPr="002B0EAA">
        <w:t xml:space="preserve">t of Auditors, and to arrange for its publication in the </w:t>
      </w:r>
      <w:r w:rsidRPr="002B0EAA">
        <w:rPr>
          <w:i/>
        </w:rPr>
        <w:t>Official Journal of the European Union</w:t>
      </w:r>
      <w:r w:rsidRPr="002B0EAA">
        <w:t xml:space="preserve"> (L series).</w:t>
      </w:r>
    </w:p>
    <w:p w14:paraId="4EF86DAC" w14:textId="77777777" w:rsidR="00AD4F1B" w:rsidRPr="00F879E9" w:rsidRDefault="00AD4F1B" w:rsidP="00BF7BEE">
      <w:pPr>
        <w:widowControl/>
        <w:spacing w:after="240"/>
        <w:ind w:left="567" w:hanging="567"/>
      </w:pPr>
    </w:p>
    <w:p w14:paraId="2B9450ED" w14:textId="77777777" w:rsidR="00E365E1" w:rsidRPr="00F879E9" w:rsidRDefault="00E365E1" w:rsidP="00BF7BEE">
      <w:pPr>
        <w:widowControl/>
        <w:spacing w:after="240"/>
      </w:pPr>
      <w:bookmarkStart w:id="9" w:name="TextBodyEnd"/>
      <w:bookmarkEnd w:id="9"/>
    </w:p>
    <w:sectPr w:rsidR="00E365E1" w:rsidRPr="00F879E9" w:rsidSect="00F879E9">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DD4A14" w14:textId="77777777" w:rsidR="00D33788" w:rsidRPr="00F879E9" w:rsidRDefault="00D33788">
      <w:r w:rsidRPr="00F879E9">
        <w:separator/>
      </w:r>
    </w:p>
  </w:endnote>
  <w:endnote w:type="continuationSeparator" w:id="0">
    <w:p w14:paraId="2397CA6A" w14:textId="77777777" w:rsidR="00D33788" w:rsidRPr="00F879E9" w:rsidRDefault="00D33788">
      <w:r w:rsidRPr="00F879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pitch w:val="variable"/>
    <w:sig w:usb0="00000000"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91449" w14:textId="77777777" w:rsidR="00064002" w:rsidRPr="00F879E9"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8E37B4" w14:textId="77777777" w:rsidR="00064002" w:rsidRPr="00F879E9"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E48726" w14:textId="77777777" w:rsidR="00064002" w:rsidRPr="00F879E9"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CA9BF0" w14:textId="77777777" w:rsidR="00D33788" w:rsidRPr="00F879E9" w:rsidRDefault="00D33788">
      <w:r w:rsidRPr="00F879E9">
        <w:separator/>
      </w:r>
    </w:p>
  </w:footnote>
  <w:footnote w:type="continuationSeparator" w:id="0">
    <w:p w14:paraId="0954DB8F" w14:textId="77777777" w:rsidR="00D33788" w:rsidRPr="00F879E9" w:rsidRDefault="00D33788">
      <w:r w:rsidRPr="00F879E9">
        <w:continuationSeparator/>
      </w:r>
    </w:p>
  </w:footnote>
  <w:footnote w:id="1">
    <w:p w14:paraId="209D9194" w14:textId="77777777" w:rsidR="00AD4F1B" w:rsidRPr="006E3B9A" w:rsidRDefault="00AD4F1B" w:rsidP="00BF7BEE">
      <w:pPr>
        <w:pStyle w:val="FootnoteText"/>
        <w:keepLines w:val="0"/>
        <w:ind w:left="567" w:hanging="567"/>
        <w:rPr>
          <w:sz w:val="24"/>
          <w:lang w:val="pl-PL"/>
        </w:rPr>
      </w:pPr>
      <w:r w:rsidRPr="00F879E9">
        <w:rPr>
          <w:rStyle w:val="FootnoteReference"/>
          <w:sz w:val="24"/>
          <w:lang w:val="en-GB"/>
        </w:rPr>
        <w:footnoteRef/>
      </w:r>
      <w:r w:rsidR="00F879E9" w:rsidRPr="006E3B9A">
        <w:rPr>
          <w:sz w:val="24"/>
          <w:lang w:val="pl-PL"/>
        </w:rPr>
        <w:t xml:space="preserve"> </w:t>
      </w:r>
      <w:r w:rsidR="00F879E9" w:rsidRPr="006E3B9A">
        <w:rPr>
          <w:sz w:val="24"/>
          <w:lang w:val="pl-PL"/>
        </w:rPr>
        <w:tab/>
      </w:r>
      <w:r w:rsidRPr="006E3B9A">
        <w:rPr>
          <w:sz w:val="24"/>
          <w:lang w:val="pl-PL"/>
        </w:rPr>
        <w:t>OJ C, C/2023/594, 27.10.2023.</w:t>
      </w:r>
    </w:p>
  </w:footnote>
  <w:footnote w:id="2">
    <w:p w14:paraId="57E69C2D" w14:textId="77777777" w:rsidR="00AD4F1B" w:rsidRPr="006E3B9A" w:rsidRDefault="00AD4F1B" w:rsidP="00BF7BEE">
      <w:pPr>
        <w:pStyle w:val="FootnoteText"/>
        <w:keepLines w:val="0"/>
        <w:ind w:left="567" w:hanging="567"/>
        <w:rPr>
          <w:sz w:val="24"/>
          <w:lang w:val="pl-PL"/>
        </w:rPr>
      </w:pPr>
      <w:r w:rsidRPr="00F879E9">
        <w:rPr>
          <w:rStyle w:val="FootnoteReference"/>
          <w:sz w:val="24"/>
          <w:lang w:val="en-GB"/>
        </w:rPr>
        <w:footnoteRef/>
      </w:r>
      <w:r w:rsidR="00F879E9" w:rsidRPr="006E3B9A">
        <w:rPr>
          <w:sz w:val="24"/>
          <w:lang w:val="pl-PL"/>
        </w:rPr>
        <w:t xml:space="preserve"> </w:t>
      </w:r>
      <w:r w:rsidR="00F879E9" w:rsidRPr="006E3B9A">
        <w:rPr>
          <w:sz w:val="24"/>
          <w:lang w:val="pl-PL"/>
        </w:rPr>
        <w:tab/>
      </w:r>
      <w:r w:rsidRPr="006E3B9A">
        <w:rPr>
          <w:sz w:val="24"/>
          <w:lang w:val="pl-PL"/>
        </w:rPr>
        <w:t xml:space="preserve">OJ L 193, 30.7.2018, </w:t>
      </w:r>
      <w:proofErr w:type="gramStart"/>
      <w:r w:rsidRPr="006E3B9A">
        <w:rPr>
          <w:sz w:val="24"/>
          <w:lang w:val="pl-PL"/>
        </w:rPr>
        <w:t>p</w:t>
      </w:r>
      <w:proofErr w:type="gramEnd"/>
      <w:r w:rsidRPr="006E3B9A">
        <w:rPr>
          <w:sz w:val="24"/>
          <w:lang w:val="pl-PL"/>
        </w:rPr>
        <w:t>. 1.</w:t>
      </w:r>
    </w:p>
  </w:footnote>
  <w:footnote w:id="3">
    <w:p w14:paraId="45025A24" w14:textId="77777777" w:rsidR="00AD4F1B" w:rsidRPr="006E3B9A" w:rsidRDefault="00AD4F1B" w:rsidP="00BF7BEE">
      <w:pPr>
        <w:pStyle w:val="FootnoteText"/>
        <w:keepLines w:val="0"/>
        <w:ind w:left="567" w:hanging="567"/>
        <w:rPr>
          <w:sz w:val="24"/>
          <w:lang w:val="pl-PL"/>
        </w:rPr>
      </w:pPr>
      <w:r w:rsidRPr="00F879E9">
        <w:rPr>
          <w:rStyle w:val="FootnoteReference"/>
          <w:sz w:val="24"/>
          <w:lang w:val="en-GB"/>
        </w:rPr>
        <w:footnoteRef/>
      </w:r>
      <w:r w:rsidR="00F879E9" w:rsidRPr="006E3B9A">
        <w:rPr>
          <w:sz w:val="24"/>
          <w:lang w:val="pl-PL"/>
        </w:rPr>
        <w:t xml:space="preserve"> </w:t>
      </w:r>
      <w:r w:rsidR="00F879E9" w:rsidRPr="006E3B9A">
        <w:rPr>
          <w:sz w:val="24"/>
          <w:lang w:val="pl-PL"/>
        </w:rPr>
        <w:tab/>
      </w:r>
      <w:r w:rsidRPr="006E3B9A">
        <w:rPr>
          <w:sz w:val="24"/>
          <w:lang w:val="pl-PL"/>
        </w:rPr>
        <w:t xml:space="preserve">OJ L 122, 10.5.2019, </w:t>
      </w:r>
      <w:proofErr w:type="gramStart"/>
      <w:r w:rsidRPr="006E3B9A">
        <w:rPr>
          <w:sz w:val="24"/>
          <w:lang w:val="pl-PL"/>
        </w:rPr>
        <w:t>p</w:t>
      </w:r>
      <w:proofErr w:type="gramEnd"/>
      <w:r w:rsidRPr="006E3B9A">
        <w:rPr>
          <w:sz w:val="24"/>
          <w:lang w:val="pl-PL"/>
        </w:rPr>
        <w:t>. 1.</w:t>
      </w:r>
    </w:p>
  </w:footnote>
  <w:footnote w:id="4">
    <w:p w14:paraId="0648F139" w14:textId="77777777" w:rsidR="00AD4F1B" w:rsidRPr="00F879E9" w:rsidRDefault="00AD4F1B" w:rsidP="00BF7BEE">
      <w:pPr>
        <w:pStyle w:val="FootnoteText"/>
        <w:keepLines w:val="0"/>
        <w:ind w:left="567" w:hanging="567"/>
        <w:rPr>
          <w:sz w:val="24"/>
          <w:lang w:val="en-GB"/>
        </w:rPr>
      </w:pPr>
      <w:r w:rsidRPr="00F879E9">
        <w:rPr>
          <w:rStyle w:val="FootnoteReference"/>
          <w:sz w:val="24"/>
          <w:lang w:val="en-GB"/>
        </w:rPr>
        <w:footnoteRef/>
      </w:r>
      <w:r w:rsidR="00F879E9" w:rsidRPr="00F879E9">
        <w:rPr>
          <w:bCs/>
          <w:sz w:val="24"/>
          <w:lang w:val="en-GB"/>
        </w:rPr>
        <w:t xml:space="preserve"> </w:t>
      </w:r>
      <w:r w:rsidR="00F879E9" w:rsidRPr="00F879E9">
        <w:rPr>
          <w:bCs/>
          <w:sz w:val="24"/>
          <w:lang w:val="en-GB"/>
        </w:rPr>
        <w:tab/>
      </w:r>
      <w:r w:rsidRPr="00F879E9">
        <w:rPr>
          <w:bCs/>
          <w:sz w:val="24"/>
          <w:lang w:val="en-GB"/>
        </w:rPr>
        <w:t xml:space="preserve">Directive (EU) 2019/1937 of the European Parliament and of the Council of 23 October 2019 on the protection of persons who report breaches of Union law (OJ L </w:t>
      </w:r>
      <w:r w:rsidRPr="00F879E9">
        <w:rPr>
          <w:bCs/>
          <w:iCs/>
          <w:sz w:val="24"/>
          <w:lang w:val="en-GB"/>
        </w:rPr>
        <w:t>305, 26.11.2019, p. 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8EFE5F" w14:textId="77777777" w:rsidR="00064002" w:rsidRPr="00F879E9"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22F94" w14:textId="77777777" w:rsidR="00064002" w:rsidRPr="00F879E9"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254C3" w14:textId="77777777" w:rsidR="00064002" w:rsidRPr="00F879E9"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18/2024"/>
    <w:docVar w:name="dvlangue" w:val="EN"/>
    <w:docVar w:name="dvnumam" w:val="0"/>
    <w:docVar w:name="dvpe" w:val="753.545"/>
    <w:docVar w:name="dvrapporteur" w:val="Rapporteur: "/>
    <w:docVar w:name="dvtitre" w:val="European Parliament decision of 11 April 2024 on discharge in respect of the implementation of the budget of the European Union agencies for the financial year 2022: performance, financial management and control(2023/2182(DEC))"/>
  </w:docVars>
  <w:rsids>
    <w:rsidRoot w:val="00D33788"/>
    <w:rsid w:val="00002272"/>
    <w:rsid w:val="00064002"/>
    <w:rsid w:val="000677B9"/>
    <w:rsid w:val="0007051C"/>
    <w:rsid w:val="000831BA"/>
    <w:rsid w:val="000A42CC"/>
    <w:rsid w:val="000E7DD9"/>
    <w:rsid w:val="0010095E"/>
    <w:rsid w:val="00125B37"/>
    <w:rsid w:val="00187494"/>
    <w:rsid w:val="001F32AE"/>
    <w:rsid w:val="002767FF"/>
    <w:rsid w:val="002B0EAA"/>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E3B9A"/>
    <w:rsid w:val="006F74FA"/>
    <w:rsid w:val="00731ADD"/>
    <w:rsid w:val="00734777"/>
    <w:rsid w:val="00747932"/>
    <w:rsid w:val="00751A4A"/>
    <w:rsid w:val="00756632"/>
    <w:rsid w:val="00762C74"/>
    <w:rsid w:val="00786EC0"/>
    <w:rsid w:val="007C72D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D4F1B"/>
    <w:rsid w:val="00AE0928"/>
    <w:rsid w:val="00AF3B82"/>
    <w:rsid w:val="00B12E95"/>
    <w:rsid w:val="00B22876"/>
    <w:rsid w:val="00B558F0"/>
    <w:rsid w:val="00BB4969"/>
    <w:rsid w:val="00BD48FE"/>
    <w:rsid w:val="00BD7BD8"/>
    <w:rsid w:val="00BE6ADC"/>
    <w:rsid w:val="00BF7BEE"/>
    <w:rsid w:val="00C05BFE"/>
    <w:rsid w:val="00C23CD4"/>
    <w:rsid w:val="00C61C0C"/>
    <w:rsid w:val="00C941CB"/>
    <w:rsid w:val="00CC2357"/>
    <w:rsid w:val="00CF071A"/>
    <w:rsid w:val="00D058B8"/>
    <w:rsid w:val="00D3378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879E9"/>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zh-TW"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B3C901"/>
  <w15:chartTrackingRefBased/>
  <w15:docId w15:val="{F8CC88AD-A249-4D2A-85AE-29FAEF816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AD4F1B"/>
    <w:pPr>
      <w:spacing w:before="480" w:after="240"/>
    </w:pPr>
  </w:style>
  <w:style w:type="paragraph" w:customStyle="1" w:styleId="NormalHanging12a">
    <w:name w:val="NormalHanging12a"/>
    <w:basedOn w:val="Normal"/>
    <w:link w:val="NormalHanging12aChar"/>
    <w:rsid w:val="00AD4F1B"/>
    <w:pPr>
      <w:spacing w:after="240"/>
      <w:ind w:left="567" w:hanging="567"/>
    </w:pPr>
  </w:style>
  <w:style w:type="paragraph" w:customStyle="1" w:styleId="NormalCenter12a">
    <w:name w:val="NormalCenter12a"/>
    <w:basedOn w:val="Normal"/>
    <w:rsid w:val="00AD4F1B"/>
    <w:pPr>
      <w:spacing w:after="240"/>
      <w:jc w:val="center"/>
    </w:pPr>
  </w:style>
  <w:style w:type="character" w:customStyle="1" w:styleId="NormalHanging12aChar">
    <w:name w:val="NormalHanging12a Char"/>
    <w:link w:val="NormalHanging12a"/>
    <w:locked/>
    <w:rsid w:val="00AD4F1B"/>
    <w:rPr>
      <w:sz w:val="24"/>
    </w:rPr>
  </w:style>
  <w:style w:type="paragraph" w:customStyle="1" w:styleId="Normal12Hanging">
    <w:name w:val="Normal12Hanging"/>
    <w:basedOn w:val="Normal"/>
    <w:rsid w:val="00AD4F1B"/>
    <w:pPr>
      <w:spacing w:after="240"/>
      <w:ind w:left="567" w:hanging="567"/>
    </w:pPr>
  </w:style>
  <w:style w:type="character" w:styleId="CommentReference">
    <w:name w:val="annotation reference"/>
    <w:basedOn w:val="DefaultParagraphFont"/>
    <w:rsid w:val="007C72D0"/>
    <w:rPr>
      <w:sz w:val="16"/>
      <w:szCs w:val="16"/>
    </w:rPr>
  </w:style>
  <w:style w:type="paragraph" w:styleId="CommentText">
    <w:name w:val="annotation text"/>
    <w:basedOn w:val="Normal"/>
    <w:link w:val="CommentTextChar"/>
    <w:rsid w:val="007C72D0"/>
    <w:rPr>
      <w:sz w:val="20"/>
    </w:rPr>
  </w:style>
  <w:style w:type="character" w:customStyle="1" w:styleId="CommentTextChar">
    <w:name w:val="Comment Text Char"/>
    <w:basedOn w:val="DefaultParagraphFont"/>
    <w:link w:val="CommentText"/>
    <w:rsid w:val="007C72D0"/>
  </w:style>
  <w:style w:type="paragraph" w:styleId="CommentSubject">
    <w:name w:val="annotation subject"/>
    <w:basedOn w:val="CommentText"/>
    <w:next w:val="CommentText"/>
    <w:link w:val="CommentSubjectChar"/>
    <w:rsid w:val="007C72D0"/>
    <w:rPr>
      <w:b/>
      <w:bCs/>
    </w:rPr>
  </w:style>
  <w:style w:type="character" w:customStyle="1" w:styleId="CommentSubjectChar">
    <w:name w:val="Comment Subject Char"/>
    <w:basedOn w:val="CommentTextChar"/>
    <w:link w:val="CommentSubject"/>
    <w:rsid w:val="007C72D0"/>
    <w:rPr>
      <w:b/>
      <w:bCs/>
    </w:rPr>
  </w:style>
  <w:style w:type="paragraph" w:styleId="BalloonText">
    <w:name w:val="Balloon Text"/>
    <w:basedOn w:val="Normal"/>
    <w:link w:val="BalloonTextChar"/>
    <w:rsid w:val="007C72D0"/>
    <w:rPr>
      <w:rFonts w:ascii="Segoe UI" w:hAnsi="Segoe UI" w:cs="Segoe UI"/>
      <w:sz w:val="18"/>
      <w:szCs w:val="18"/>
    </w:rPr>
  </w:style>
  <w:style w:type="character" w:customStyle="1" w:styleId="BalloonTextChar">
    <w:name w:val="Balloon Text Char"/>
    <w:basedOn w:val="DefaultParagraphFont"/>
    <w:link w:val="BalloonText"/>
    <w:rsid w:val="007C72D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ACF5D6-CA46-4CF4-856D-3BEEAAD89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7673</Words>
  <Characters>41864</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49439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2004-11-19T15:42:00Z</cp:lastPrinted>
  <dcterms:created xsi:type="dcterms:W3CDTF">2024-04-11T11:46:00Z</dcterms:created>
  <dcterms:modified xsi:type="dcterms:W3CDTF">2024-04-11T11:46:00Z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A9-0118/2024</vt:lpwstr>
  </property>
  <property fmtid="{D5CDD505-2E9C-101B-9397-08002B2CF9AE}" pid="4" name="&lt;Type&gt;">
    <vt:lpwstr>RR</vt:lpwstr>
  </property>
</Properties>
</file>