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3D1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3D1F" w:rsidRDefault="001C68F9" w:rsidP="0010095E">
            <w:pPr>
              <w:pStyle w:val="EPName"/>
            </w:pPr>
            <w:r w:rsidRPr="00053D1F">
              <w:t>Evropský parlament</w:t>
            </w:r>
          </w:p>
          <w:p w:rsidR="00751A4A" w:rsidRPr="00053D1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3D1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53D1F" w:rsidRDefault="00187494" w:rsidP="0010095E">
            <w:pPr>
              <w:pStyle w:val="EPLogo"/>
            </w:pPr>
            <w:r w:rsidRPr="00053D1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3D1F" w:rsidRDefault="00D058B8" w:rsidP="004C5D52">
      <w:pPr>
        <w:pStyle w:val="LineTop"/>
      </w:pPr>
    </w:p>
    <w:p w:rsidR="00680577" w:rsidRPr="00053D1F" w:rsidRDefault="001C68F9" w:rsidP="00680577">
      <w:pPr>
        <w:pStyle w:val="EPBodyTA1"/>
      </w:pPr>
      <w:r w:rsidRPr="00053D1F">
        <w:t>PŘIJATÉ TEXTY</w:t>
      </w:r>
    </w:p>
    <w:p w:rsidR="00D058B8" w:rsidRPr="00053D1F" w:rsidRDefault="00D058B8" w:rsidP="00D058B8">
      <w:pPr>
        <w:pStyle w:val="LineBottom"/>
      </w:pPr>
    </w:p>
    <w:p w:rsidR="001C68F9" w:rsidRPr="00053D1F" w:rsidRDefault="001C68F9" w:rsidP="001C68F9">
      <w:pPr>
        <w:pStyle w:val="ATHeading1"/>
      </w:pPr>
      <w:bookmarkStart w:id="0" w:name="TANumber"/>
      <w:r w:rsidRPr="00053D1F">
        <w:t>P9_TA(2024)0</w:t>
      </w:r>
      <w:r w:rsidR="00716856">
        <w:t>282</w:t>
      </w:r>
      <w:bookmarkEnd w:id="0"/>
    </w:p>
    <w:p w:rsidR="001C68F9" w:rsidRPr="00053D1F" w:rsidRDefault="001C68F9" w:rsidP="001C68F9">
      <w:pPr>
        <w:pStyle w:val="ATHeading2"/>
      </w:pPr>
      <w:bookmarkStart w:id="1" w:name="title"/>
      <w:r w:rsidRPr="00053D1F">
        <w:t>Vnitřní trhy s plyny z obnovitelných zdrojů, se zemním plynem a s vodíkem (přepracování)</w:t>
      </w:r>
      <w:bookmarkEnd w:id="1"/>
    </w:p>
    <w:p w:rsidR="001C68F9" w:rsidRPr="00053D1F" w:rsidRDefault="001C68F9" w:rsidP="001C68F9">
      <w:pPr>
        <w:rPr>
          <w:i/>
          <w:vanish/>
        </w:rPr>
      </w:pPr>
      <w:r w:rsidRPr="00053D1F">
        <w:rPr>
          <w:i/>
        </w:rPr>
        <w:fldChar w:fldCharType="begin"/>
      </w:r>
      <w:r w:rsidRPr="00053D1F">
        <w:rPr>
          <w:i/>
        </w:rPr>
        <w:instrText xml:space="preserve"> TC"(</w:instrText>
      </w:r>
      <w:bookmarkStart w:id="2" w:name="DocNumber"/>
      <w:r w:rsidRPr="00053D1F">
        <w:rPr>
          <w:i/>
        </w:rPr>
        <w:instrText>A9-0032/2023</w:instrText>
      </w:r>
      <w:bookmarkEnd w:id="2"/>
      <w:r w:rsidRPr="00053D1F">
        <w:rPr>
          <w:i/>
        </w:rPr>
        <w:instrText xml:space="preserve"> - Zpravodaj: Jerzy Buzek)"\l3 \n&gt; \* MERGEFORMAT </w:instrText>
      </w:r>
      <w:r w:rsidRPr="00053D1F">
        <w:rPr>
          <w:i/>
        </w:rPr>
        <w:fldChar w:fldCharType="end"/>
      </w:r>
    </w:p>
    <w:p w:rsidR="001C68F9" w:rsidRPr="00053D1F" w:rsidRDefault="001C68F9" w:rsidP="001C68F9">
      <w:pPr>
        <w:rPr>
          <w:vanish/>
        </w:rPr>
      </w:pPr>
      <w:bookmarkStart w:id="3" w:name="Commission"/>
      <w:r w:rsidRPr="00053D1F">
        <w:rPr>
          <w:vanish/>
        </w:rPr>
        <w:t>Výbor pro průmysl, výzkum a energetiku</w:t>
      </w:r>
      <w:bookmarkEnd w:id="3"/>
    </w:p>
    <w:p w:rsidR="001C68F9" w:rsidRPr="00053D1F" w:rsidRDefault="001C68F9" w:rsidP="001C68F9">
      <w:pPr>
        <w:rPr>
          <w:vanish/>
        </w:rPr>
      </w:pPr>
      <w:bookmarkStart w:id="4" w:name="PE"/>
      <w:r w:rsidRPr="00053D1F">
        <w:rPr>
          <w:vanish/>
        </w:rPr>
        <w:t>PE734.108</w:t>
      </w:r>
      <w:bookmarkEnd w:id="4"/>
    </w:p>
    <w:p w:rsidR="001C68F9" w:rsidRPr="00053D1F" w:rsidRDefault="001C68F9" w:rsidP="001C68F9">
      <w:pPr>
        <w:pStyle w:val="ATHeading3"/>
      </w:pPr>
      <w:bookmarkStart w:id="5" w:name="Sujet"/>
      <w:r w:rsidRPr="00053D1F">
        <w:t xml:space="preserve">Legislativní usnesení </w:t>
      </w:r>
      <w:r w:rsidR="003876D6">
        <w:t>Evropského parlamentu ze dne 11. dubna</w:t>
      </w:r>
      <w:r w:rsidRPr="00053D1F">
        <w:t xml:space="preserve"> 2024 o návrhu nařízení Evropského parlamentu a Rady o vnitřním trhu s plyny z obnovitelných zdrojů, se zemním plynem a s vodíkem (přepracované znění)</w:t>
      </w:r>
      <w:bookmarkEnd w:id="5"/>
      <w:r w:rsidRPr="00053D1F">
        <w:t xml:space="preserve"> </w:t>
      </w:r>
      <w:bookmarkStart w:id="6" w:name="References"/>
      <w:r w:rsidRPr="00053D1F">
        <w:t>(COM(2021)0804 – C9-0470/2021 – 2021/0424(COD))</w:t>
      </w:r>
      <w:bookmarkEnd w:id="6"/>
    </w:p>
    <w:p w:rsidR="001C68F9" w:rsidRPr="00053D1F" w:rsidRDefault="001C68F9" w:rsidP="001C68F9"/>
    <w:p w:rsidR="009F6B94" w:rsidRPr="00053D1F" w:rsidRDefault="009F6B94" w:rsidP="009F6B94">
      <w:pPr>
        <w:pStyle w:val="NormalBold"/>
      </w:pPr>
      <w:bookmarkStart w:id="7" w:name="TextBodyBegin"/>
      <w:bookmarkEnd w:id="7"/>
      <w:r w:rsidRPr="00053D1F">
        <w:t>(Řádný legislativní postup – přepracování)</w:t>
      </w:r>
    </w:p>
    <w:p w:rsidR="009F6B94" w:rsidRPr="00053D1F" w:rsidRDefault="009F6B94" w:rsidP="009F6B94">
      <w:pPr>
        <w:pStyle w:val="EPComma"/>
      </w:pPr>
      <w:r w:rsidRPr="00053D1F">
        <w:rPr>
          <w:i/>
          <w:iCs/>
        </w:rPr>
        <w:t>Evropský parlament</w:t>
      </w:r>
      <w:r w:rsidRPr="00053D1F">
        <w:t>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 ohledem na návrh Komise předložený Evropskému parlamentu a Radě (COM(2021)0804),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 ohledem na čl. 294 odst. 2 a článek 194 odst. 2 Smlouvy o fungování Evropské unie, v souladu se kterými Komise předložila svůj návrh Parlamentu (C9</w:t>
      </w:r>
      <w:r w:rsidRPr="00053D1F">
        <w:noBreakHyphen/>
        <w:t>0470/2021),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 ohledem na čl. 294 odst. 3 Smlouvy o fungování Evropské unie,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 ohledem na odůvodněná stanoviska předložená Poslaneckou sněmovnou a Senátem Parlamentu České republiky v rámci protokolu č. 2 o používání zásad subsidiarity a proporcionality uvádějící, že návrh legislativního aktu není v souladu se zásadou subsidiarity,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 ohledem na stanovisko Evropského hospodářského a sociálního výboru ze dne 19. května 2022</w:t>
      </w:r>
      <w:r w:rsidRPr="00053D1F">
        <w:rPr>
          <w:rStyle w:val="FootnoteReference"/>
        </w:rPr>
        <w:footnoteReference w:id="1"/>
      </w:r>
      <w:r w:rsidRPr="00053D1F">
        <w:t>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 ohledem na stanovisko Výboru regionů ze dne 1</w:t>
      </w:r>
      <w:r w:rsidR="0011319D">
        <w:t>2</w:t>
      </w:r>
      <w:r w:rsidRPr="00053D1F">
        <w:t>. října 2022</w:t>
      </w:r>
      <w:r w:rsidRPr="00053D1F">
        <w:rPr>
          <w:rStyle w:val="FootnoteReference"/>
        </w:rPr>
        <w:footnoteReference w:id="2"/>
      </w:r>
      <w:r w:rsidRPr="00053D1F">
        <w:t>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 ohledem na interinstitucionální dohodu ze dne 28. listopadu 2001 o systematičtějším využívání metody přepracování právních aktů</w:t>
      </w:r>
      <w:r w:rsidRPr="00053D1F">
        <w:rPr>
          <w:rStyle w:val="FootnoteReference"/>
        </w:rPr>
        <w:footnoteReference w:id="3"/>
      </w:r>
      <w:r w:rsidRPr="00053D1F">
        <w:t>,</w:t>
      </w:r>
    </w:p>
    <w:p w:rsidR="009F6B94" w:rsidRDefault="009F6B94" w:rsidP="009F6B94">
      <w:pPr>
        <w:pStyle w:val="NormalHanging12a"/>
      </w:pPr>
      <w:r w:rsidRPr="00053D1F">
        <w:t>–</w:t>
      </w:r>
      <w:r w:rsidRPr="00053D1F">
        <w:tab/>
        <w:t>s ohledem na dopis Výboru pro právní záležitosti ze dne 2. února 2023 určený Výboru pro průmysl, výzkum a energetiku v souladu s čl. 110 odst. 3 jednacího řádu,</w:t>
      </w:r>
    </w:p>
    <w:p w:rsidR="00475925" w:rsidRPr="00053D1F" w:rsidRDefault="00475925" w:rsidP="009F6B94">
      <w:pPr>
        <w:pStyle w:val="NormalHanging12a"/>
      </w:pPr>
      <w:r w:rsidRPr="00475925">
        <w:t>–</w:t>
      </w:r>
      <w:r w:rsidRPr="00475925">
        <w:tab/>
        <w:t xml:space="preserve">s ohledem na předběžnou dohodu přijatou příslušnými výbory podle čl. 74 odst. 4 </w:t>
      </w:r>
      <w:r w:rsidRPr="00475925">
        <w:lastRenderedPageBreak/>
        <w:t>jednacího řádu a s ohledem na to, že s</w:t>
      </w:r>
      <w:r>
        <w:t>e zástupce Rady dopisem ze dne 20. prosince</w:t>
      </w:r>
      <w:r w:rsidRPr="00475925">
        <w:t xml:space="preserve"> 2023 zavázal schválit postoj Parlamentu v souladu s čl. 294 odst. 4 Smlouvy o fungování Evropské unie,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 ohledem na články 110 a 59 jednacího řádu,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 ohledem na stanovisko Výboru pro zemědělství a rozvoj venkova,</w:t>
      </w:r>
    </w:p>
    <w:p w:rsidR="009F6B94" w:rsidRPr="00053D1F" w:rsidRDefault="009F6B94" w:rsidP="009F6B94">
      <w:pPr>
        <w:pStyle w:val="NormalHanging12a"/>
      </w:pPr>
      <w:r w:rsidRPr="00053D1F">
        <w:t>–</w:t>
      </w:r>
      <w:r w:rsidRPr="00053D1F">
        <w:tab/>
        <w:t>s ohledem na zprávu Výboru pro průmysl, výzkum a energetiku (A9-0032/2023),</w:t>
      </w:r>
    </w:p>
    <w:p w:rsidR="009F6B94" w:rsidRPr="00053D1F" w:rsidRDefault="009F6B94" w:rsidP="009F6B94">
      <w:pPr>
        <w:pStyle w:val="NormalHanging12a"/>
      </w:pPr>
      <w:r w:rsidRPr="00053D1F">
        <w:t>A.</w:t>
      </w:r>
      <w:r w:rsidRPr="00053D1F">
        <w:tab/>
        <w:t>vzhledem k tomu, že podle poradní skupiny složené z právních služeb Evropského parlamentu, Rady a Komise návrh Komise neobsahuje žádnou věcnou změnu kromě těch, které v něm byly jako takové označeny, a vzhledem k tomu, že pokud jde o nezměněná ustanovení stávajících znění, je návrh jejich prostou kodifikací bez jakékoli změny jejich věcného obsahu;</w:t>
      </w:r>
    </w:p>
    <w:p w:rsidR="009F6B94" w:rsidRPr="00053D1F" w:rsidRDefault="009F6B94" w:rsidP="009F6B94">
      <w:pPr>
        <w:pStyle w:val="NormalHanging12a"/>
      </w:pPr>
      <w:r w:rsidRPr="00053D1F">
        <w:t>1.</w:t>
      </w:r>
      <w:r w:rsidRPr="00053D1F">
        <w:tab/>
        <w:t>přijímá níže uvedený postoj v prvním čtení a bere na vědomí doporučení poradní skupiny složené z právních služeb Evropského parlamentu, Rady a Komise;</w:t>
      </w:r>
    </w:p>
    <w:p w:rsidR="009F6B94" w:rsidRPr="00053D1F" w:rsidRDefault="00BD4FF9" w:rsidP="009F6B94">
      <w:pPr>
        <w:pStyle w:val="NormalHanging12a"/>
      </w:pPr>
      <w:r>
        <w:t>2</w:t>
      </w:r>
      <w:r w:rsidR="009F6B94" w:rsidRPr="00053D1F">
        <w:t>.</w:t>
      </w:r>
      <w:r w:rsidR="009F6B94" w:rsidRPr="00053D1F">
        <w:tab/>
        <w:t>vyzývá Komisi, aby věc znovu postoupila Parlamentu, jestliže svůj návrh nahradí jiným textem, podstatně jej změní nebo má v úmyslu jej podstatně změnit;</w:t>
      </w:r>
    </w:p>
    <w:p w:rsidR="009F6B94" w:rsidRPr="00053D1F" w:rsidRDefault="00BD4FF9" w:rsidP="009F6B94">
      <w:pPr>
        <w:pStyle w:val="NormalHanging12a"/>
      </w:pPr>
      <w:r>
        <w:t>3</w:t>
      </w:r>
      <w:r w:rsidR="009F6B94" w:rsidRPr="00053D1F">
        <w:t>.</w:t>
      </w:r>
      <w:r w:rsidR="009F6B94" w:rsidRPr="00053D1F">
        <w:tab/>
        <w:t>pověřuje svou předsedkyni, aby předala postoj Parlamentu Radě</w:t>
      </w:r>
      <w:r w:rsidR="00475925">
        <w:t xml:space="preserve"> a </w:t>
      </w:r>
      <w:r w:rsidR="009F6B94" w:rsidRPr="00053D1F">
        <w:t>Komisi, jakož i vnitrostátním parlamentům.</w:t>
      </w:r>
    </w:p>
    <w:p w:rsidR="006E6D2D" w:rsidRDefault="006E6D2D">
      <w:pPr>
        <w:widowControl/>
        <w:sectPr w:rsidR="006E6D2D" w:rsidSect="006E6D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11319D" w:rsidRPr="009D129C" w:rsidRDefault="0011319D" w:rsidP="0011319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P9_TC1-COD(2021</w:t>
      </w:r>
      <w:r w:rsidRPr="009D129C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424</w:t>
      </w:r>
    </w:p>
    <w:p w:rsidR="006E6D2D" w:rsidRDefault="006E6D2D" w:rsidP="006E6D2D">
      <w:pPr>
        <w:widowControl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Postoj Evropského parlamentu přijatý v prvním čtení dne 11. dubna 2024 k přijetí nařízení Evropského parlamentu a Rady </w:t>
      </w:r>
      <w:r w:rsidRPr="006E6D2D">
        <w:rPr>
          <w:rFonts w:eastAsia="Calibri"/>
          <w:b/>
          <w:szCs w:val="22"/>
          <w:lang w:eastAsia="en-US"/>
        </w:rPr>
        <w:t>(EU) 2024/...</w:t>
      </w:r>
      <w:r>
        <w:rPr>
          <w:rFonts w:eastAsia="Calibri"/>
          <w:b/>
          <w:szCs w:val="22"/>
          <w:lang w:eastAsia="en-US"/>
        </w:rPr>
        <w:t xml:space="preserve"> </w:t>
      </w:r>
      <w:r w:rsidRPr="006E6D2D">
        <w:rPr>
          <w:rFonts w:eastAsia="Calibri"/>
          <w:b/>
          <w:szCs w:val="22"/>
          <w:lang w:eastAsia="en-US"/>
        </w:rPr>
        <w:t xml:space="preserve">o vnitřním trhu </w:t>
      </w:r>
      <w:r w:rsidRPr="00365B0A">
        <w:rPr>
          <w:rFonts w:eastAsia="Calibri"/>
          <w:b/>
          <w:szCs w:val="22"/>
          <w:lang w:eastAsia="en-US"/>
        </w:rPr>
        <w:t xml:space="preserve">s </w:t>
      </w:r>
      <w:r w:rsidRPr="00365B0A">
        <w:rPr>
          <w:rFonts w:eastAsia="Calibri"/>
          <w:b/>
          <w:iCs/>
          <w:szCs w:val="22"/>
          <w:lang w:eastAsia="en-US"/>
        </w:rPr>
        <w:t>plynem</w:t>
      </w:r>
      <w:r w:rsidRPr="00365B0A">
        <w:rPr>
          <w:rFonts w:eastAsia="Calibri"/>
          <w:b/>
          <w:szCs w:val="22"/>
          <w:lang w:eastAsia="en-US"/>
        </w:rPr>
        <w:t xml:space="preserve"> z</w:t>
      </w:r>
      <w:r w:rsidRPr="006E6D2D">
        <w:rPr>
          <w:rFonts w:eastAsia="Calibri"/>
          <w:b/>
          <w:szCs w:val="22"/>
          <w:lang w:eastAsia="en-US"/>
        </w:rPr>
        <w:t xml:space="preserve"> obnovitelných zdrojů, se zemním plynem a s vodíkem</w:t>
      </w:r>
      <w:r w:rsidRPr="00365B0A">
        <w:rPr>
          <w:rFonts w:eastAsia="Calibri"/>
          <w:b/>
          <w:szCs w:val="22"/>
          <w:lang w:eastAsia="en-US"/>
        </w:rPr>
        <w:t xml:space="preserve">, o změně nařízení (EU) </w:t>
      </w:r>
      <w:r w:rsidR="00084658" w:rsidRPr="00365B0A">
        <w:rPr>
          <w:rFonts w:eastAsia="Calibri"/>
          <w:b/>
          <w:szCs w:val="22"/>
          <w:lang w:eastAsia="en-US"/>
        </w:rPr>
        <w:t xml:space="preserve">č. </w:t>
      </w:r>
      <w:r w:rsidRPr="00365B0A">
        <w:rPr>
          <w:rFonts w:eastAsia="Calibri"/>
          <w:b/>
          <w:szCs w:val="22"/>
          <w:lang w:eastAsia="en-US"/>
        </w:rPr>
        <w:t xml:space="preserve">1227/2011, (EU) 2017/1938, (EU) 2019/942 a (EU) 2022/869 a rozhodnutí (EU) 2017/684 </w:t>
      </w:r>
      <w:r w:rsidRPr="00365B0A">
        <w:rPr>
          <w:rFonts w:eastAsia="Calibri"/>
          <w:b/>
          <w:iCs/>
          <w:szCs w:val="22"/>
          <w:lang w:eastAsia="en-US"/>
        </w:rPr>
        <w:t>a o zrušení nařízení</w:t>
      </w:r>
      <w:r w:rsidRPr="00365B0A">
        <w:rPr>
          <w:rFonts w:eastAsia="Calibri"/>
          <w:b/>
          <w:szCs w:val="22"/>
          <w:lang w:eastAsia="en-US"/>
        </w:rPr>
        <w:t xml:space="preserve"> (ES) </w:t>
      </w:r>
      <w:r w:rsidR="00084658" w:rsidRPr="00365B0A">
        <w:rPr>
          <w:rFonts w:eastAsia="Calibri"/>
          <w:b/>
          <w:szCs w:val="22"/>
          <w:lang w:eastAsia="en-US"/>
        </w:rPr>
        <w:t xml:space="preserve">č. </w:t>
      </w:r>
      <w:r w:rsidRPr="00365B0A">
        <w:rPr>
          <w:rFonts w:eastAsia="Calibri"/>
          <w:b/>
          <w:szCs w:val="22"/>
          <w:lang w:eastAsia="en-US"/>
        </w:rPr>
        <w:t>715/2009</w:t>
      </w:r>
      <w:r w:rsidRPr="00084658">
        <w:rPr>
          <w:rFonts w:eastAsia="Calibri"/>
          <w:i/>
          <w:szCs w:val="22"/>
          <w:lang w:eastAsia="en-US"/>
        </w:rPr>
        <w:t xml:space="preserve"> </w:t>
      </w:r>
      <w:r w:rsidRPr="00084658">
        <w:rPr>
          <w:rFonts w:eastAsia="Calibri"/>
          <w:b/>
          <w:szCs w:val="22"/>
          <w:lang w:eastAsia="en-US"/>
        </w:rPr>
        <w:t>(přepracované znění)</w:t>
      </w:r>
    </w:p>
    <w:p w:rsidR="00365B0A" w:rsidRPr="00365B0A" w:rsidRDefault="00365B0A" w:rsidP="00365B0A">
      <w:pPr>
        <w:widowControl/>
        <w:spacing w:before="480"/>
        <w:jc w:val="both"/>
        <w:rPr>
          <w:i/>
          <w:szCs w:val="24"/>
        </w:rPr>
      </w:pPr>
      <w:r w:rsidRPr="00365B0A">
        <w:rPr>
          <w:i/>
          <w:szCs w:val="24"/>
        </w:rPr>
        <w:t>(Vzhledem k tomu,</w:t>
      </w:r>
      <w:bookmarkStart w:id="8" w:name="_GoBack"/>
      <w:bookmarkEnd w:id="8"/>
      <w:r w:rsidRPr="00365B0A">
        <w:rPr>
          <w:i/>
          <w:szCs w:val="24"/>
        </w:rPr>
        <w:t xml:space="preserve"> že bylo dosaženo dohody mezi Parlamentem a Radou, postoj Parlamentu odpovídá konečnému znění legislativního aktu, nařízení (EU) 2024/</w:t>
      </w:r>
      <w:r>
        <w:rPr>
          <w:i/>
          <w:szCs w:val="24"/>
        </w:rPr>
        <w:t>1789</w:t>
      </w:r>
      <w:r w:rsidRPr="00365B0A">
        <w:rPr>
          <w:i/>
          <w:szCs w:val="24"/>
        </w:rPr>
        <w:t>.)</w:t>
      </w:r>
    </w:p>
    <w:p w:rsidR="00365B0A" w:rsidRPr="00084658" w:rsidRDefault="00365B0A" w:rsidP="006E6D2D">
      <w:pPr>
        <w:widowControl/>
        <w:rPr>
          <w:rFonts w:eastAsia="Calibri"/>
          <w:b/>
          <w:szCs w:val="22"/>
          <w:lang w:eastAsia="en-US"/>
        </w:rPr>
      </w:pPr>
    </w:p>
    <w:sectPr w:rsidR="00365B0A" w:rsidRPr="00084658" w:rsidSect="006E6D2D"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D2D" w:rsidRPr="00053D1F" w:rsidRDefault="006E6D2D">
      <w:r w:rsidRPr="00053D1F">
        <w:separator/>
      </w:r>
    </w:p>
  </w:endnote>
  <w:endnote w:type="continuationSeparator" w:id="0">
    <w:p w:rsidR="006E6D2D" w:rsidRPr="00053D1F" w:rsidRDefault="006E6D2D">
      <w:r w:rsidRPr="00053D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2D" w:rsidRPr="00053D1F" w:rsidRDefault="006E6D2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2D" w:rsidRPr="00053D1F" w:rsidRDefault="006E6D2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2D" w:rsidRPr="00053D1F" w:rsidRDefault="006E6D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D2D" w:rsidRPr="00053D1F" w:rsidRDefault="006E6D2D">
      <w:r w:rsidRPr="00053D1F">
        <w:separator/>
      </w:r>
    </w:p>
  </w:footnote>
  <w:footnote w:type="continuationSeparator" w:id="0">
    <w:p w:rsidR="006E6D2D" w:rsidRPr="00053D1F" w:rsidRDefault="006E6D2D">
      <w:r w:rsidRPr="00053D1F">
        <w:continuationSeparator/>
      </w:r>
    </w:p>
  </w:footnote>
  <w:footnote w:id="1">
    <w:p w:rsidR="006E6D2D" w:rsidRPr="006E6D2D" w:rsidRDefault="006E6D2D" w:rsidP="006E6D2D">
      <w:pPr>
        <w:pStyle w:val="FootnoteText"/>
        <w:tabs>
          <w:tab w:val="left" w:pos="851"/>
        </w:tabs>
        <w:ind w:left="851" w:hanging="851"/>
        <w:rPr>
          <w:sz w:val="24"/>
          <w:szCs w:val="24"/>
          <w:lang w:val="cs-CZ"/>
        </w:rPr>
      </w:pPr>
      <w:r w:rsidRPr="006E6D2D">
        <w:rPr>
          <w:rStyle w:val="FootnoteReference"/>
          <w:sz w:val="24"/>
          <w:szCs w:val="24"/>
          <w:lang w:val="cs-CZ"/>
        </w:rPr>
        <w:footnoteRef/>
      </w:r>
      <w:r w:rsidRPr="006E6D2D">
        <w:rPr>
          <w:sz w:val="24"/>
          <w:szCs w:val="24"/>
          <w:lang w:val="cs-CZ"/>
        </w:rPr>
        <w:t xml:space="preserve"> </w:t>
      </w:r>
      <w:r w:rsidRPr="006E6D2D">
        <w:rPr>
          <w:sz w:val="24"/>
          <w:szCs w:val="24"/>
          <w:lang w:val="cs-CZ"/>
        </w:rPr>
        <w:tab/>
        <w:t xml:space="preserve">Úř. věst. C 323, 26.8.2022, s. 101. </w:t>
      </w:r>
    </w:p>
  </w:footnote>
  <w:footnote w:id="2">
    <w:p w:rsidR="006E6D2D" w:rsidRPr="006E6D2D" w:rsidRDefault="006E6D2D" w:rsidP="006E6D2D">
      <w:pPr>
        <w:pStyle w:val="FootnoteText"/>
        <w:tabs>
          <w:tab w:val="left" w:pos="851"/>
        </w:tabs>
        <w:ind w:left="851" w:hanging="851"/>
        <w:rPr>
          <w:sz w:val="24"/>
          <w:szCs w:val="24"/>
          <w:lang w:val="cs-CZ"/>
        </w:rPr>
      </w:pPr>
      <w:r w:rsidRPr="006E6D2D">
        <w:rPr>
          <w:rStyle w:val="FootnoteReference"/>
          <w:sz w:val="24"/>
          <w:szCs w:val="24"/>
          <w:lang w:val="cs-CZ"/>
        </w:rPr>
        <w:footnoteRef/>
      </w:r>
      <w:r w:rsidRPr="006E6D2D">
        <w:rPr>
          <w:sz w:val="24"/>
          <w:szCs w:val="24"/>
          <w:lang w:val="cs-CZ"/>
        </w:rPr>
        <w:t xml:space="preserve"> </w:t>
      </w:r>
      <w:r w:rsidRPr="006E6D2D">
        <w:rPr>
          <w:sz w:val="24"/>
          <w:szCs w:val="24"/>
          <w:lang w:val="cs-CZ"/>
        </w:rPr>
        <w:tab/>
        <w:t>Úř. věst. C 498, 30.12.2022, s. 83.</w:t>
      </w:r>
    </w:p>
  </w:footnote>
  <w:footnote w:id="3">
    <w:p w:rsidR="006E6D2D" w:rsidRPr="006E6D2D" w:rsidRDefault="006E6D2D" w:rsidP="006E6D2D">
      <w:pPr>
        <w:pStyle w:val="FootnoteText"/>
        <w:tabs>
          <w:tab w:val="left" w:pos="851"/>
        </w:tabs>
        <w:ind w:left="851" w:hanging="851"/>
        <w:rPr>
          <w:sz w:val="24"/>
          <w:szCs w:val="24"/>
          <w:lang w:val="cs-CZ"/>
        </w:rPr>
      </w:pPr>
      <w:r w:rsidRPr="006E6D2D">
        <w:rPr>
          <w:rStyle w:val="FootnoteReference"/>
          <w:sz w:val="24"/>
          <w:szCs w:val="24"/>
          <w:lang w:val="cs-CZ"/>
        </w:rPr>
        <w:footnoteRef/>
      </w:r>
      <w:r w:rsidRPr="006E6D2D">
        <w:rPr>
          <w:sz w:val="24"/>
          <w:szCs w:val="24"/>
          <w:lang w:val="cs-CZ"/>
        </w:rPr>
        <w:t xml:space="preserve"> </w:t>
      </w:r>
      <w:r w:rsidRPr="006E6D2D">
        <w:rPr>
          <w:sz w:val="24"/>
          <w:szCs w:val="24"/>
          <w:lang w:val="cs-CZ"/>
        </w:rPr>
        <w:tab/>
        <w:t>Úř. věst.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2D" w:rsidRPr="00053D1F" w:rsidRDefault="006E6D2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2D" w:rsidRPr="00053D1F" w:rsidRDefault="006E6D2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2D" w:rsidRPr="00053D1F" w:rsidRDefault="006E6D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6FD251AC"/>
    <w:lvl w:ilvl="0">
      <w:start w:val="1"/>
      <w:numFmt w:val="bullet"/>
      <w:pStyle w:val="Tabletalkingpoints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0C0A1BC2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4"/>
  </w:num>
  <w:num w:numId="2">
    <w:abstractNumId w:val="19"/>
  </w:num>
  <w:num w:numId="3">
    <w:abstractNumId w:val="1"/>
  </w:num>
  <w:num w:numId="4">
    <w:abstractNumId w:val="17"/>
  </w:num>
  <w:num w:numId="5">
    <w:abstractNumId w:val="26"/>
  </w:num>
  <w:num w:numId="6">
    <w:abstractNumId w:val="25"/>
  </w:num>
  <w:num w:numId="7">
    <w:abstractNumId w:val="6"/>
  </w:num>
  <w:num w:numId="8">
    <w:abstractNumId w:val="18"/>
  </w:num>
  <w:num w:numId="9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</w:num>
  <w:num w:numId="11">
    <w:abstractNumId w:val="20"/>
  </w:num>
  <w:num w:numId="12">
    <w:abstractNumId w:val="36"/>
  </w:num>
  <w:num w:numId="13">
    <w:abstractNumId w:val="16"/>
  </w:num>
  <w:num w:numId="14">
    <w:abstractNumId w:val="21"/>
  </w:num>
  <w:num w:numId="15">
    <w:abstractNumId w:val="2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0"/>
  </w:num>
  <w:num w:numId="20">
    <w:abstractNumId w:val="31"/>
  </w:num>
  <w:num w:numId="21">
    <w:abstractNumId w:val="15"/>
  </w:num>
  <w:num w:numId="22">
    <w:abstractNumId w:val="27"/>
  </w:num>
  <w:num w:numId="23">
    <w:abstractNumId w:val="44"/>
    <w:lvlOverride w:ilvl="0">
      <w:startOverride w:val="1"/>
    </w:lvlOverride>
  </w:num>
  <w:num w:numId="24">
    <w:abstractNumId w:val="38"/>
  </w:num>
  <w:num w:numId="25">
    <w:abstractNumId w:val="3"/>
  </w:num>
  <w:num w:numId="26">
    <w:abstractNumId w:val="39"/>
  </w:num>
  <w:num w:numId="27">
    <w:abstractNumId w:val="33"/>
  </w:num>
  <w:num w:numId="28">
    <w:abstractNumId w:val="5"/>
  </w:num>
  <w:num w:numId="29">
    <w:abstractNumId w:val="41"/>
  </w:num>
  <w:num w:numId="30">
    <w:abstractNumId w:val="43"/>
  </w:num>
  <w:num w:numId="31">
    <w:abstractNumId w:val="28"/>
  </w:num>
  <w:num w:numId="32">
    <w:abstractNumId w:val="40"/>
  </w:num>
  <w:num w:numId="33">
    <w:abstractNumId w:val="35"/>
  </w:num>
  <w:num w:numId="34">
    <w:abstractNumId w:val="23"/>
  </w:num>
  <w:num w:numId="35">
    <w:abstractNumId w:val="42"/>
  </w:num>
  <w:num w:numId="36">
    <w:abstractNumId w:val="2"/>
  </w:num>
  <w:num w:numId="37">
    <w:abstractNumId w:val="13"/>
  </w:num>
  <w:num w:numId="38">
    <w:abstractNumId w:val="8"/>
  </w:num>
  <w:num w:numId="39">
    <w:abstractNumId w:val="14"/>
  </w:num>
  <w:num w:numId="40">
    <w:abstractNumId w:val="29"/>
  </w:num>
  <w:num w:numId="41">
    <w:abstractNumId w:val="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CS"/>
    <w:docVar w:name="dvnumam" w:val="0"/>
    <w:docVar w:name="dvpe" w:val="734.108"/>
    <w:docVar w:name="dvrapporteur" w:val="Zpravodaj: "/>
    <w:docVar w:name="dvstar" w:val="***I"/>
    <w:docVar w:name="dvtitre" w:val="Legislativní usnesení Evropského parlamentu ze dne.... 2024 o návrhu nařízení Evropského parlamentu a Rady o vnitřním trhu s plyny z obnovitelných zdrojů, se zemním plynem a s vodíkem (přepracované znění)(COM(2021)0804 – C9-0470/2021 – 2021/0424(COD))"/>
  </w:docVars>
  <w:rsids>
    <w:rsidRoot w:val="001C68F9"/>
    <w:rsid w:val="00002272"/>
    <w:rsid w:val="00053D1F"/>
    <w:rsid w:val="00064002"/>
    <w:rsid w:val="000677B9"/>
    <w:rsid w:val="00067EEA"/>
    <w:rsid w:val="000831BA"/>
    <w:rsid w:val="00084658"/>
    <w:rsid w:val="000A42CC"/>
    <w:rsid w:val="000E7DD9"/>
    <w:rsid w:val="0010095E"/>
    <w:rsid w:val="0011319D"/>
    <w:rsid w:val="00125B37"/>
    <w:rsid w:val="00187494"/>
    <w:rsid w:val="001C68F9"/>
    <w:rsid w:val="001F32AE"/>
    <w:rsid w:val="002149CE"/>
    <w:rsid w:val="002767FF"/>
    <w:rsid w:val="002B18FE"/>
    <w:rsid w:val="002B5493"/>
    <w:rsid w:val="00343214"/>
    <w:rsid w:val="00361C00"/>
    <w:rsid w:val="00365B0A"/>
    <w:rsid w:val="003876D6"/>
    <w:rsid w:val="00395FA1"/>
    <w:rsid w:val="003E15D4"/>
    <w:rsid w:val="00411CCE"/>
    <w:rsid w:val="0041666E"/>
    <w:rsid w:val="00421060"/>
    <w:rsid w:val="00471C19"/>
    <w:rsid w:val="00475925"/>
    <w:rsid w:val="004867E3"/>
    <w:rsid w:val="00494A28"/>
    <w:rsid w:val="004C0004"/>
    <w:rsid w:val="004C5D52"/>
    <w:rsid w:val="0050519A"/>
    <w:rsid w:val="005072A1"/>
    <w:rsid w:val="00514517"/>
    <w:rsid w:val="00544770"/>
    <w:rsid w:val="00545827"/>
    <w:rsid w:val="00560270"/>
    <w:rsid w:val="005C2568"/>
    <w:rsid w:val="006037C0"/>
    <w:rsid w:val="006631B6"/>
    <w:rsid w:val="00680577"/>
    <w:rsid w:val="006E6D2D"/>
    <w:rsid w:val="006F74FA"/>
    <w:rsid w:val="00716856"/>
    <w:rsid w:val="00731ADD"/>
    <w:rsid w:val="00734777"/>
    <w:rsid w:val="00747932"/>
    <w:rsid w:val="00751A4A"/>
    <w:rsid w:val="00756632"/>
    <w:rsid w:val="00762C74"/>
    <w:rsid w:val="00786EC0"/>
    <w:rsid w:val="007C51FF"/>
    <w:rsid w:val="007D1690"/>
    <w:rsid w:val="007E22AD"/>
    <w:rsid w:val="00817416"/>
    <w:rsid w:val="00842779"/>
    <w:rsid w:val="00865F67"/>
    <w:rsid w:val="00867374"/>
    <w:rsid w:val="00881A7B"/>
    <w:rsid w:val="008840E5"/>
    <w:rsid w:val="00887B3E"/>
    <w:rsid w:val="008C2AC6"/>
    <w:rsid w:val="008C4A9A"/>
    <w:rsid w:val="00930C23"/>
    <w:rsid w:val="0093193B"/>
    <w:rsid w:val="009509D8"/>
    <w:rsid w:val="00950B64"/>
    <w:rsid w:val="00960C9C"/>
    <w:rsid w:val="00981893"/>
    <w:rsid w:val="009F6B94"/>
    <w:rsid w:val="00A1687D"/>
    <w:rsid w:val="00A43E52"/>
    <w:rsid w:val="00A4678D"/>
    <w:rsid w:val="00A778C7"/>
    <w:rsid w:val="00A87369"/>
    <w:rsid w:val="00AB441E"/>
    <w:rsid w:val="00AB6293"/>
    <w:rsid w:val="00AE0928"/>
    <w:rsid w:val="00AF3B82"/>
    <w:rsid w:val="00B12E95"/>
    <w:rsid w:val="00B22876"/>
    <w:rsid w:val="00B558F0"/>
    <w:rsid w:val="00BD48FE"/>
    <w:rsid w:val="00BD4FF9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C9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8F19C"/>
  <w15:chartTrackingRefBased/>
  <w15:docId w15:val="{9D1A360F-62A4-4D29-BCA2-EAB7802C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F6B9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B9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B9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B9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B9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B94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B94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9F6B94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9F6B94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9F6B94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9F6B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uiPriority w:val="99"/>
    <w:rsid w:val="009F6B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uiPriority w:val="99"/>
    <w:rsid w:val="009F6B94"/>
    <w:pPr>
      <w:spacing w:after="240"/>
    </w:pPr>
  </w:style>
  <w:style w:type="paragraph" w:customStyle="1" w:styleId="TOCPage">
    <w:name w:val="TOC Page"/>
    <w:basedOn w:val="Normal"/>
    <w:next w:val="TOC1"/>
    <w:uiPriority w:val="99"/>
    <w:rsid w:val="009F6B94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uiPriority w:val="99"/>
    <w:rsid w:val="009F6B94"/>
    <w:pPr>
      <w:spacing w:after="240"/>
    </w:pPr>
    <w:rPr>
      <w:b/>
    </w:rPr>
  </w:style>
  <w:style w:type="paragraph" w:customStyle="1" w:styleId="NormalHanging12a">
    <w:name w:val="NormalHanging12a"/>
    <w:basedOn w:val="Normal"/>
    <w:uiPriority w:val="99"/>
    <w:rsid w:val="009F6B94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9F6B94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9F6B94"/>
    <w:pPr>
      <w:ind w:left="1418"/>
    </w:pPr>
  </w:style>
  <w:style w:type="paragraph" w:customStyle="1" w:styleId="NormalCenter12a">
    <w:name w:val="NormalCenter12a"/>
    <w:basedOn w:val="Normal"/>
    <w:uiPriority w:val="99"/>
    <w:rsid w:val="009F6B94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9F6B9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9F6B9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9F6B9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9F6B94"/>
    <w:pPr>
      <w:spacing w:before="240" w:after="1200"/>
    </w:pPr>
  </w:style>
  <w:style w:type="paragraph" w:customStyle="1" w:styleId="AmNumberTabs">
    <w:name w:val="AmNumberTabs"/>
    <w:basedOn w:val="Normal"/>
    <w:uiPriority w:val="99"/>
    <w:rsid w:val="009F6B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uiPriority w:val="99"/>
    <w:rsid w:val="009F6B94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9F6B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uiPriority w:val="99"/>
    <w:rsid w:val="009F6B94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uiPriority w:val="99"/>
    <w:rsid w:val="009F6B94"/>
    <w:pPr>
      <w:spacing w:before="240" w:after="480"/>
      <w:jc w:val="right"/>
    </w:pPr>
  </w:style>
  <w:style w:type="paragraph" w:customStyle="1" w:styleId="AnnexWPSmall">
    <w:name w:val="AnnexWPSmall"/>
    <w:basedOn w:val="Normal"/>
    <w:uiPriority w:val="99"/>
    <w:rsid w:val="009F6B94"/>
    <w:rPr>
      <w:smallCaps/>
      <w:sz w:val="20"/>
    </w:rPr>
  </w:style>
  <w:style w:type="paragraph" w:customStyle="1" w:styleId="AnnexWPDocType">
    <w:name w:val="AnnexWPDocType"/>
    <w:basedOn w:val="Normal"/>
    <w:uiPriority w:val="99"/>
    <w:rsid w:val="009F6B94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uiPriority w:val="99"/>
    <w:rsid w:val="009F6B94"/>
    <w:pPr>
      <w:spacing w:before="480"/>
    </w:pPr>
    <w:rPr>
      <w:b/>
    </w:rPr>
  </w:style>
  <w:style w:type="paragraph" w:customStyle="1" w:styleId="AnnexWPLogo">
    <w:name w:val="AnnexWPLogo"/>
    <w:basedOn w:val="Normal"/>
    <w:uiPriority w:val="99"/>
    <w:rsid w:val="009F6B94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9F6B94"/>
    <w:rPr>
      <w:b/>
    </w:rPr>
  </w:style>
  <w:style w:type="paragraph" w:customStyle="1" w:styleId="EPFooter">
    <w:name w:val="EPFooter"/>
    <w:basedOn w:val="Normal"/>
    <w:uiPriority w:val="99"/>
    <w:rsid w:val="009F6B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9F6B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B94"/>
    <w:rPr>
      <w:sz w:val="24"/>
      <w:lang w:val="cs-CZ"/>
    </w:rPr>
  </w:style>
  <w:style w:type="paragraph" w:customStyle="1" w:styleId="EPComma">
    <w:name w:val="EPComma"/>
    <w:basedOn w:val="Normal"/>
    <w:uiPriority w:val="99"/>
    <w:rsid w:val="009F6B94"/>
    <w:pPr>
      <w:spacing w:before="480" w:after="240"/>
    </w:pPr>
  </w:style>
  <w:style w:type="paragraph" w:customStyle="1" w:styleId="Lgendesigne">
    <w:name w:val="Légende signe"/>
    <w:basedOn w:val="Normal"/>
    <w:uiPriority w:val="99"/>
    <w:rsid w:val="009F6B9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uiPriority w:val="99"/>
    <w:rsid w:val="009F6B9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uiPriority w:val="99"/>
    <w:rsid w:val="009F6B94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9F6B94"/>
    <w:rPr>
      <w:b/>
      <w:sz w:val="24"/>
      <w:lang w:val="cs-CZ"/>
    </w:rPr>
  </w:style>
  <w:style w:type="paragraph" w:customStyle="1" w:styleId="Normal24a">
    <w:name w:val="Normal24a"/>
    <w:basedOn w:val="Normal"/>
    <w:uiPriority w:val="99"/>
    <w:rsid w:val="009F6B94"/>
    <w:pPr>
      <w:spacing w:after="480"/>
    </w:pPr>
  </w:style>
  <w:style w:type="character" w:styleId="Emphasis">
    <w:name w:val="Emphasis"/>
    <w:basedOn w:val="DefaultParagraphFont"/>
    <w:uiPriority w:val="20"/>
    <w:qFormat/>
    <w:rsid w:val="009F6B94"/>
    <w:rPr>
      <w:i/>
      <w:iCs/>
    </w:rPr>
  </w:style>
  <w:style w:type="character" w:styleId="Hyperlink">
    <w:name w:val="Hyperlink"/>
    <w:uiPriority w:val="99"/>
    <w:unhideWhenUsed/>
    <w:rsid w:val="009F6B9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F6B94"/>
    <w:rPr>
      <w:color w:val="800080"/>
      <w:u w:val="single"/>
    </w:rPr>
  </w:style>
  <w:style w:type="paragraph" w:customStyle="1" w:styleId="Text1">
    <w:name w:val="Text 1"/>
    <w:basedOn w:val="Normal"/>
    <w:rsid w:val="009F6B94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9F6B9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9F6B9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F6B9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F6B94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F6B94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F6B94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F6B94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F6B94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F6B94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9F6B94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B94"/>
    <w:rPr>
      <w:rFonts w:eastAsia="Calibri"/>
      <w:lang w:val="cs-CZ" w:eastAsia="en-US"/>
    </w:rPr>
  </w:style>
  <w:style w:type="paragraph" w:customStyle="1" w:styleId="LetterSignature">
    <w:name w:val="LetterSignature"/>
    <w:basedOn w:val="Normal"/>
    <w:next w:val="Normal"/>
    <w:uiPriority w:val="99"/>
    <w:rsid w:val="009F6B94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9F6B94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9F6B94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9F6B9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9F6B9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F6B9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F6B9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F6B9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9F6B9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9F6B9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9F6B9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F6B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F6B94"/>
    <w:rPr>
      <w:rFonts w:eastAsia="Calibri"/>
      <w:b/>
      <w:bCs/>
      <w:lang w:val="cs-CZ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9F6B94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F6B94"/>
    <w:rPr>
      <w:rFonts w:ascii="Segoe UI" w:eastAsia="Calibri" w:hAnsi="Segoe UI" w:cs="Segoe UI"/>
      <w:sz w:val="18"/>
      <w:szCs w:val="18"/>
      <w:lang w:val="cs-CZ" w:eastAsia="en-US"/>
    </w:rPr>
  </w:style>
  <w:style w:type="paragraph" w:styleId="Revision">
    <w:name w:val="Revision"/>
    <w:uiPriority w:val="99"/>
    <w:semiHidden/>
    <w:rsid w:val="009F6B94"/>
    <w:rPr>
      <w:rFonts w:eastAsia="Calibri"/>
      <w:sz w:val="24"/>
      <w:szCs w:val="22"/>
      <w:lang w:val="cs-CZ" w:eastAsia="en-US"/>
    </w:rPr>
  </w:style>
  <w:style w:type="paragraph" w:customStyle="1" w:styleId="IntrtEEE">
    <w:name w:val="Intérêt EEE"/>
    <w:basedOn w:val="Normal"/>
    <w:uiPriority w:val="99"/>
    <w:rsid w:val="009F6B94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rsid w:val="009F6B94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9F6B9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9F6B9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semiHidden/>
    <w:rsid w:val="009F6B94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9F6B9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9F6B94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9F6B94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9F6B94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9F6B94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9F6B94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9F6B94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9F6B94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9F6B94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9F6B94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9F6B9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9F6B94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9F6B94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9F6B94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9F6B9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9F6B9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9F6B9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9F6B94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9F6B9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9F6B9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9F6B9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9F6B94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9F6B94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9F6B94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9F6B94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9F6B9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9F6B94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uiPriority w:val="99"/>
    <w:rsid w:val="009F6B9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9F6B94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9F6B94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9F6B94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9F6B94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9F6B94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9F6B94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9F6B9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9F6B94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9F6B94"/>
  </w:style>
  <w:style w:type="character" w:customStyle="1" w:styleId="FooterCoverPageChar">
    <w:name w:val="Footer Cover Page Char"/>
    <w:link w:val="FooterCoverPage"/>
    <w:semiHidden/>
    <w:locked/>
    <w:rsid w:val="009F6B94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9F6B9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9F6B94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9F6B94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9F6B94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9F6B9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9F6B9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9F6B9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9F6B9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9F6B94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9F6B94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9F6B94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9F6B9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9F6B94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9F6B9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uiPriority w:val="99"/>
    <w:rsid w:val="009F6B9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F6B9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9F6B94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9F6B94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9F6B94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9F6B94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9F6B94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9F6B94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9F6B94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9F6B94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9F6B94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9F6B94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9F6B9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9F6B9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9F6B9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9F6B9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9F6B9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9F6B9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9F6B9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9F6B9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9F6B9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9F6B9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qFormat/>
    <w:rsid w:val="009F6B94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9F6B94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9F6B94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9F6B94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9F6B94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9F6B94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9F6B94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9F6B9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9F6B9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9F6B9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9F6B9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9F6B9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9F6B9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9F6B9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9F6B9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9F6B9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9F6B9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9F6B9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9F6B9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9F6B9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9F6B9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9F6B9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9F6B94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9F6B94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9F6B94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9F6B94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uiPriority w:val="99"/>
    <w:qFormat/>
    <w:rsid w:val="009F6B94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uiPriority w:val="99"/>
    <w:rsid w:val="009F6B94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uiPriority w:val="99"/>
    <w:qFormat/>
    <w:rsid w:val="009F6B94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uiPriority w:val="99"/>
    <w:rsid w:val="009F6B94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uiPriority w:val="99"/>
    <w:rsid w:val="009F6B94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9F6B94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uiPriority w:val="99"/>
    <w:rsid w:val="009F6B94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uiPriority w:val="99"/>
    <w:rsid w:val="009F6B94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uiPriority w:val="99"/>
    <w:rsid w:val="009F6B94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F6B94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9F6B94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9F6B94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9F6B94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9F6B94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9F6B9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9F6B9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9F6B9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9F6B9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9F6B9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9F6B9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9F6B9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9F6B94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9F6B94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9F6B94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9F6B9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9F6B9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9F6B9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9F6B9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9F6B9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9F6B9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9F6B9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9F6B9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9F6B9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9F6B9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9F6B94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9F6B94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9F6B94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9F6B94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9F6B9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9F6B9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9F6B94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9F6B9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9F6B9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9F6B9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9F6B94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9F6B94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9F6B94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9F6B94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9F6B9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9F6B9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9F6B9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9F6B9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9F6B9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9F6B94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9F6B94"/>
  </w:style>
  <w:style w:type="paragraph" w:customStyle="1" w:styleId="Volume">
    <w:name w:val="Volume"/>
    <w:basedOn w:val="Normal"/>
    <w:next w:val="Confidentialit"/>
    <w:uiPriority w:val="99"/>
    <w:rsid w:val="009F6B9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9F6B9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9F6B9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9F6B9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9F6B94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9F6B94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9F6B94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9F6B94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iPriority w:val="99"/>
    <w:unhideWhenUsed/>
    <w:rsid w:val="009F6B94"/>
    <w:rPr>
      <w:sz w:val="16"/>
      <w:szCs w:val="16"/>
    </w:rPr>
  </w:style>
  <w:style w:type="character" w:customStyle="1" w:styleId="normaltextrun">
    <w:name w:val="normaltextrun"/>
    <w:basedOn w:val="DefaultParagraphFont"/>
    <w:rsid w:val="009F6B94"/>
  </w:style>
  <w:style w:type="character" w:customStyle="1" w:styleId="super">
    <w:name w:val="super"/>
    <w:basedOn w:val="DefaultParagraphFont"/>
    <w:rsid w:val="009F6B94"/>
  </w:style>
  <w:style w:type="character" w:customStyle="1" w:styleId="tw4winMark">
    <w:name w:val="tw4winMark"/>
    <w:rsid w:val="009F6B94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9F6B94"/>
    <w:rPr>
      <w:color w:val="00FF00"/>
      <w:sz w:val="40"/>
      <w:lang w:val="cs-CZ" w:eastAsia="en-GB"/>
    </w:rPr>
  </w:style>
  <w:style w:type="character" w:customStyle="1" w:styleId="tw4winTerm">
    <w:name w:val="tw4winTerm"/>
    <w:rsid w:val="009F6B94"/>
    <w:rPr>
      <w:color w:val="0000FF"/>
      <w:lang w:val="cs-CZ" w:eastAsia="en-GB"/>
    </w:rPr>
  </w:style>
  <w:style w:type="character" w:customStyle="1" w:styleId="tw4winPopup">
    <w:name w:val="tw4winPopup"/>
    <w:rsid w:val="009F6B94"/>
    <w:rPr>
      <w:noProof/>
      <w:color w:val="008000"/>
      <w:lang w:val="cs-CZ" w:eastAsia="en-GB"/>
    </w:rPr>
  </w:style>
  <w:style w:type="character" w:customStyle="1" w:styleId="tw4winJump">
    <w:name w:val="tw4winJump"/>
    <w:rsid w:val="009F6B94"/>
    <w:rPr>
      <w:noProof/>
      <w:color w:val="008080"/>
      <w:lang w:val="cs-CZ" w:eastAsia="en-GB"/>
    </w:rPr>
  </w:style>
  <w:style w:type="character" w:customStyle="1" w:styleId="tw4winExternal">
    <w:name w:val="tw4winExternal"/>
    <w:rsid w:val="009F6B94"/>
    <w:rPr>
      <w:noProof/>
      <w:color w:val="808080"/>
      <w:lang w:val="cs-CZ" w:eastAsia="en-GB"/>
    </w:rPr>
  </w:style>
  <w:style w:type="character" w:customStyle="1" w:styleId="tw4winInternal">
    <w:name w:val="tw4winInternal"/>
    <w:rsid w:val="009F6B94"/>
    <w:rPr>
      <w:noProof/>
      <w:color w:val="FF0000"/>
      <w:lang w:val="cs-CZ" w:eastAsia="en-GB"/>
    </w:rPr>
  </w:style>
  <w:style w:type="character" w:customStyle="1" w:styleId="DONOTTRANSLATE">
    <w:name w:val="DO_NOT_TRANSLATE"/>
    <w:rsid w:val="009F6B94"/>
    <w:rPr>
      <w:noProof/>
      <w:color w:val="800000"/>
      <w:lang w:val="cs-CZ" w:eastAsia="en-GB"/>
    </w:rPr>
  </w:style>
  <w:style w:type="character" w:customStyle="1" w:styleId="Marker">
    <w:name w:val="Marker"/>
    <w:rsid w:val="009F6B94"/>
    <w:rPr>
      <w:color w:val="0000FF"/>
    </w:rPr>
  </w:style>
  <w:style w:type="character" w:customStyle="1" w:styleId="Marker1">
    <w:name w:val="Marker1"/>
    <w:rsid w:val="009F6B94"/>
    <w:rPr>
      <w:color w:val="008000"/>
    </w:rPr>
  </w:style>
  <w:style w:type="character" w:customStyle="1" w:styleId="Marker2">
    <w:name w:val="Marker2"/>
    <w:rsid w:val="009F6B94"/>
    <w:rPr>
      <w:color w:val="FF0000"/>
    </w:rPr>
  </w:style>
  <w:style w:type="character" w:customStyle="1" w:styleId="Added">
    <w:name w:val="Added"/>
    <w:rsid w:val="009F6B94"/>
    <w:rPr>
      <w:b/>
      <w:bCs w:val="0"/>
      <w:u w:val="single"/>
    </w:rPr>
  </w:style>
  <w:style w:type="character" w:customStyle="1" w:styleId="Deleted">
    <w:name w:val="Deleted"/>
    <w:rsid w:val="009F6B94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9F6B9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9F6B94"/>
  </w:style>
  <w:style w:type="paragraph" w:customStyle="1" w:styleId="Sous-titre">
    <w:name w:val="Sous-titre"/>
    <w:basedOn w:val="Soustitr"/>
    <w:uiPriority w:val="99"/>
    <w:semiHidden/>
    <w:rsid w:val="009F6B94"/>
  </w:style>
  <w:style w:type="paragraph" w:customStyle="1" w:styleId="ListNumber3Level2">
    <w:name w:val="List Number 3 (Level 2)"/>
    <w:basedOn w:val="Text3"/>
    <w:uiPriority w:val="99"/>
    <w:semiHidden/>
    <w:rsid w:val="009F6B9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9F6B9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9F6B94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9F6B9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9F6B94"/>
    <w:pPr>
      <w:spacing w:before="120" w:after="120" w:line="360" w:lineRule="auto"/>
      <w:jc w:val="both"/>
    </w:pPr>
    <w:rPr>
      <w:rFonts w:eastAsiaTheme="minorHAnsi"/>
      <w:sz w:val="24"/>
      <w:szCs w:val="22"/>
      <w:lang w:val="cs-CZ" w:eastAsia="en-US"/>
    </w:rPr>
  </w:style>
  <w:style w:type="paragraph" w:customStyle="1" w:styleId="HeaderDisclaimer">
    <w:name w:val="HeaderDisclaimer"/>
    <w:basedOn w:val="Normal"/>
    <w:uiPriority w:val="99"/>
    <w:qFormat/>
    <w:rsid w:val="009F6B9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9F6B9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9F6B9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9F6B9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9F6B94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9F6B94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9F6B94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9F6B94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9F6B94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9F6B9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9F6B94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9F6B9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9F6B94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9F6B94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9F6B94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9F6B94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9F6B94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9F6B94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9F6B94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9F6B94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9F6B94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9F6B94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9F6B94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9F6B94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9F6B94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9F6B94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9F6B94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9F6B94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uiPriority w:val="99"/>
    <w:rsid w:val="009F6B9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uiPriority w:val="99"/>
    <w:qFormat/>
    <w:rsid w:val="009F6B9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uiPriority w:val="99"/>
    <w:rsid w:val="009F6B9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uiPriority w:val="99"/>
    <w:rsid w:val="009F6B94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uiPriority w:val="99"/>
    <w:rsid w:val="009F6B94"/>
    <w:pPr>
      <w:spacing w:before="600" w:after="360"/>
    </w:pPr>
  </w:style>
  <w:style w:type="paragraph" w:customStyle="1" w:styleId="LetterSubject">
    <w:name w:val="LetterSubject"/>
    <w:basedOn w:val="Normal"/>
    <w:uiPriority w:val="99"/>
    <w:rsid w:val="009F6B9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uiPriority w:val="99"/>
    <w:rsid w:val="009F6B94"/>
    <w:pPr>
      <w:spacing w:before="1320"/>
    </w:pPr>
  </w:style>
  <w:style w:type="paragraph" w:styleId="BodyText">
    <w:name w:val="Body Text"/>
    <w:basedOn w:val="Normal"/>
    <w:link w:val="BodyTextChar"/>
    <w:uiPriority w:val="99"/>
    <w:unhideWhenUsed/>
    <w:qFormat/>
    <w:rsid w:val="009F6B94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uiPriority w:val="99"/>
    <w:rsid w:val="009F6B94"/>
    <w:rPr>
      <w:color w:val="262626"/>
      <w:sz w:val="24"/>
      <w:szCs w:val="24"/>
      <w:shd w:val="clear" w:color="auto" w:fill="FFFFFF"/>
      <w:lang w:val="cs-CZ" w:bidi="en-GB"/>
    </w:rPr>
  </w:style>
  <w:style w:type="character" w:customStyle="1" w:styleId="Bodytext2">
    <w:name w:val="Body text (2)_"/>
    <w:link w:val="Bodytext20"/>
    <w:locked/>
    <w:rsid w:val="009F6B94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F6B94"/>
    <w:pPr>
      <w:shd w:val="clear" w:color="auto" w:fill="FFFFFF"/>
      <w:ind w:left="2200" w:hanging="1800"/>
    </w:pPr>
    <w:rPr>
      <w:color w:val="262626"/>
      <w:sz w:val="20"/>
      <w:lang w:val="en-GB"/>
    </w:rPr>
  </w:style>
  <w:style w:type="paragraph" w:customStyle="1" w:styleId="Normal12">
    <w:name w:val="Normal12"/>
    <w:basedOn w:val="Normal"/>
    <w:link w:val="Normal12Char"/>
    <w:rsid w:val="009F6B94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9F6B94"/>
    <w:rPr>
      <w:rFonts w:ascii="Arial" w:hAnsi="Arial" w:cs="Arial"/>
      <w:b/>
      <w:sz w:val="24"/>
      <w:lang w:val="cs-CZ"/>
    </w:rPr>
  </w:style>
  <w:style w:type="character" w:customStyle="1" w:styleId="Normal12Char">
    <w:name w:val="Normal12 Char"/>
    <w:basedOn w:val="PageHeadingChar"/>
    <w:link w:val="Normal12"/>
    <w:rsid w:val="009F6B94"/>
    <w:rPr>
      <w:rFonts w:ascii="Arial" w:hAnsi="Arial" w:cs="Arial"/>
      <w:b w:val="0"/>
      <w:sz w:val="24"/>
      <w:lang w:val="cs-CZ"/>
    </w:rPr>
  </w:style>
  <w:style w:type="paragraph" w:styleId="Footer">
    <w:name w:val="footer"/>
    <w:basedOn w:val="Normal"/>
    <w:link w:val="FooterChar"/>
    <w:uiPriority w:val="99"/>
    <w:unhideWhenUsed/>
    <w:rsid w:val="009F6B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B94"/>
    <w:rPr>
      <w:sz w:val="24"/>
      <w:lang w:val="cs-CZ"/>
    </w:rPr>
  </w:style>
  <w:style w:type="paragraph" w:customStyle="1" w:styleId="NormalJustified">
    <w:name w:val="Normal Justified"/>
    <w:basedOn w:val="Normal"/>
    <w:uiPriority w:val="99"/>
    <w:rsid w:val="006E6D2D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uiPriority w:val="99"/>
    <w:rsid w:val="006E6D2D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uiPriority w:val="99"/>
    <w:rsid w:val="006E6D2D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E6D2D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uiPriority w:val="99"/>
    <w:rsid w:val="006E6D2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uiPriority w:val="99"/>
    <w:rsid w:val="006E6D2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uiPriority w:val="99"/>
    <w:rsid w:val="006E6D2D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uiPriority w:val="99"/>
    <w:rsid w:val="006E6D2D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uiPriority w:val="99"/>
    <w:rsid w:val="006E6D2D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uiPriority w:val="99"/>
    <w:rsid w:val="006E6D2D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uiPriority w:val="99"/>
    <w:rsid w:val="006E6D2D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uiPriority w:val="99"/>
    <w:rsid w:val="006E6D2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uiPriority w:val="99"/>
    <w:rsid w:val="006E6D2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uiPriority w:val="99"/>
    <w:rsid w:val="006E6D2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uiPriority w:val="99"/>
    <w:rsid w:val="006E6D2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uiPriority w:val="99"/>
    <w:rsid w:val="006E6D2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uiPriority w:val="99"/>
    <w:rsid w:val="006E6D2D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6E6D2D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6E6D2D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6E6D2D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6E6D2D"/>
    <w:pPr>
      <w:widowControl/>
      <w:numPr>
        <w:ilvl w:val="8"/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uiPriority w:val="99"/>
    <w:rsid w:val="006E6D2D"/>
    <w:pPr>
      <w:widowControl/>
      <w:numPr>
        <w:ilvl w:val="1"/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6E6D2D"/>
    <w:pPr>
      <w:widowControl/>
      <w:numPr>
        <w:ilvl w:val="3"/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6E6D2D"/>
    <w:pPr>
      <w:widowControl/>
      <w:numPr>
        <w:ilvl w:val="5"/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6E6D2D"/>
    <w:pPr>
      <w:widowControl/>
      <w:numPr>
        <w:ilvl w:val="7"/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uiPriority w:val="99"/>
    <w:rsid w:val="006E6D2D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uiPriority w:val="99"/>
    <w:rsid w:val="006E6D2D"/>
    <w:pPr>
      <w:widowControl/>
      <w:numPr>
        <w:ilvl w:val="1"/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uiPriority w:val="99"/>
    <w:rsid w:val="006E6D2D"/>
    <w:pPr>
      <w:widowControl/>
      <w:numPr>
        <w:ilvl w:val="2"/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uiPriority w:val="99"/>
    <w:rsid w:val="006E6D2D"/>
    <w:pPr>
      <w:widowControl/>
      <w:numPr>
        <w:ilvl w:val="3"/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uiPriority w:val="99"/>
    <w:rsid w:val="006E6D2D"/>
    <w:pPr>
      <w:widowControl/>
      <w:numPr>
        <w:ilvl w:val="4"/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uiPriority w:val="99"/>
    <w:rsid w:val="006E6D2D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uiPriority w:val="99"/>
    <w:rsid w:val="006E6D2D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uiPriority w:val="99"/>
    <w:rsid w:val="006E6D2D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uiPriority w:val="99"/>
    <w:rsid w:val="006E6D2D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uiPriority w:val="99"/>
    <w:rsid w:val="006E6D2D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uiPriority w:val="99"/>
    <w:rsid w:val="006E6D2D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uiPriority w:val="99"/>
    <w:rsid w:val="006E6D2D"/>
    <w:pPr>
      <w:numPr>
        <w:numId w:val="29"/>
      </w:numPr>
    </w:pPr>
  </w:style>
  <w:style w:type="paragraph" w:customStyle="1" w:styleId="DashEqual1">
    <w:name w:val="Dash Equal 1"/>
    <w:basedOn w:val="Dash1"/>
    <w:uiPriority w:val="99"/>
    <w:rsid w:val="006E6D2D"/>
    <w:pPr>
      <w:numPr>
        <w:numId w:val="30"/>
      </w:numPr>
    </w:pPr>
  </w:style>
  <w:style w:type="paragraph" w:customStyle="1" w:styleId="DashEqual2">
    <w:name w:val="Dash Equal 2"/>
    <w:basedOn w:val="Dash2"/>
    <w:uiPriority w:val="99"/>
    <w:rsid w:val="006E6D2D"/>
    <w:pPr>
      <w:numPr>
        <w:numId w:val="31"/>
      </w:numPr>
    </w:pPr>
  </w:style>
  <w:style w:type="paragraph" w:customStyle="1" w:styleId="DashEqual3">
    <w:name w:val="Dash Equal 3"/>
    <w:basedOn w:val="Dash3"/>
    <w:uiPriority w:val="99"/>
    <w:rsid w:val="006E6D2D"/>
    <w:pPr>
      <w:numPr>
        <w:numId w:val="32"/>
      </w:numPr>
    </w:pPr>
  </w:style>
  <w:style w:type="paragraph" w:customStyle="1" w:styleId="DashEqual4">
    <w:name w:val="Dash Equal 4"/>
    <w:basedOn w:val="Dash4"/>
    <w:uiPriority w:val="99"/>
    <w:rsid w:val="006E6D2D"/>
    <w:pPr>
      <w:numPr>
        <w:numId w:val="33"/>
      </w:numPr>
    </w:pPr>
  </w:style>
  <w:style w:type="paragraph" w:customStyle="1" w:styleId="HeadingLeft">
    <w:name w:val="Heading Left"/>
    <w:basedOn w:val="Normal"/>
    <w:next w:val="Normal"/>
    <w:uiPriority w:val="99"/>
    <w:rsid w:val="006E6D2D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uiPriority w:val="99"/>
    <w:rsid w:val="006E6D2D"/>
    <w:pPr>
      <w:numPr>
        <w:numId w:val="40"/>
      </w:numPr>
    </w:pPr>
  </w:style>
  <w:style w:type="paragraph" w:customStyle="1" w:styleId="Heading123">
    <w:name w:val="Heading 123"/>
    <w:basedOn w:val="HeadingLeft"/>
    <w:next w:val="Normal"/>
    <w:uiPriority w:val="99"/>
    <w:rsid w:val="006E6D2D"/>
    <w:pPr>
      <w:numPr>
        <w:numId w:val="39"/>
      </w:numPr>
    </w:pPr>
  </w:style>
  <w:style w:type="paragraph" w:customStyle="1" w:styleId="HeadingABC">
    <w:name w:val="Heading ABC"/>
    <w:basedOn w:val="HeadingLeft"/>
    <w:next w:val="Normal"/>
    <w:uiPriority w:val="99"/>
    <w:rsid w:val="006E6D2D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uiPriority w:val="99"/>
    <w:rsid w:val="006E6D2D"/>
    <w:pPr>
      <w:jc w:val="center"/>
    </w:pPr>
  </w:style>
  <w:style w:type="paragraph" w:customStyle="1" w:styleId="Jardin">
    <w:name w:val="Jardin"/>
    <w:basedOn w:val="Normal"/>
    <w:uiPriority w:val="99"/>
    <w:rsid w:val="006E6D2D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uiPriority w:val="99"/>
    <w:rsid w:val="006E6D2D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uiPriority w:val="99"/>
    <w:rsid w:val="006E6D2D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uiPriority w:val="99"/>
    <w:rsid w:val="006E6D2D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uiPriority w:val="99"/>
    <w:rsid w:val="006E6D2D"/>
    <w:rPr>
      <w:b/>
    </w:rPr>
  </w:style>
  <w:style w:type="paragraph" w:customStyle="1" w:styleId="Annex">
    <w:name w:val="Annex"/>
    <w:basedOn w:val="Normal"/>
    <w:next w:val="Normal"/>
    <w:uiPriority w:val="99"/>
    <w:rsid w:val="006E6D2D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uiPriority w:val="99"/>
    <w:rsid w:val="006E6D2D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uiPriority w:val="99"/>
    <w:rsid w:val="006E6D2D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uiPriority w:val="99"/>
    <w:rsid w:val="006E6D2D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E6D2D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E6D2D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6E6D2D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E6D2D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E6D2D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E6D2D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uiPriority w:val="99"/>
    <w:rsid w:val="006E6D2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E6D2D"/>
    <w:rPr>
      <w:color w:val="808080"/>
    </w:rPr>
  </w:style>
  <w:style w:type="paragraph" w:styleId="ListParagraph">
    <w:name w:val="List Paragraph"/>
    <w:aliases w:val="1st elvel bullet green,List Paragraph compact,Normal bullet 2,Paragraphe de liste 2,Reference list,Bullet list,Numbered List,List Paragraph1,1st level - Bullet List Paragraph,Lettre d'introduction,Paragraph,Bullet EY,List Paragraph11"/>
    <w:basedOn w:val="Normal"/>
    <w:link w:val="ListParagraphChar"/>
    <w:uiPriority w:val="34"/>
    <w:qFormat/>
    <w:rsid w:val="006E6D2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Par-dash">
    <w:name w:val="Par-dash"/>
    <w:basedOn w:val="Normal"/>
    <w:next w:val="Normal"/>
    <w:uiPriority w:val="99"/>
    <w:rsid w:val="006E6D2D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"/>
    <w:basedOn w:val="DefaultParagraphFont"/>
    <w:link w:val="ListParagraph"/>
    <w:uiPriority w:val="34"/>
    <w:qFormat/>
    <w:rsid w:val="006E6D2D"/>
    <w:rPr>
      <w:rFonts w:asciiTheme="minorHAnsi" w:eastAsiaTheme="minorHAnsi" w:hAnsiTheme="minorHAnsi" w:cstheme="minorBidi"/>
      <w:kern w:val="2"/>
      <w:sz w:val="22"/>
      <w:szCs w:val="22"/>
      <w:lang w:val="cs-CZ" w:eastAsia="en-US"/>
      <w14:ligatures w14:val="standardContextual"/>
    </w:rPr>
  </w:style>
  <w:style w:type="paragraph" w:customStyle="1" w:styleId="EntText">
    <w:name w:val="EntText"/>
    <w:basedOn w:val="Normal"/>
    <w:uiPriority w:val="99"/>
    <w:rsid w:val="006E6D2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6E6D2D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6D2D"/>
    <w:rPr>
      <w:rFonts w:ascii="Calibri" w:eastAsiaTheme="minorHAnsi" w:hAnsi="Calibri" w:cstheme="minorBidi"/>
      <w:sz w:val="22"/>
      <w:szCs w:val="21"/>
      <w:lang w:val="cs-CZ" w:eastAsia="en-US"/>
    </w:rPr>
  </w:style>
  <w:style w:type="character" w:customStyle="1" w:styleId="cf01">
    <w:name w:val="cf01"/>
    <w:basedOn w:val="DefaultParagraphFont"/>
    <w:rsid w:val="006E6D2D"/>
    <w:rPr>
      <w:rFonts w:ascii="Segoe UI" w:hAnsi="Segoe UI" w:cs="Segoe UI" w:hint="default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E6D2D"/>
    <w:pPr>
      <w:widowControl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6D2D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paragraph" w:customStyle="1" w:styleId="Tabletalkingpoints">
    <w:name w:val="Table talking points"/>
    <w:basedOn w:val="ListParagraph"/>
    <w:uiPriority w:val="99"/>
    <w:qFormat/>
    <w:rsid w:val="006E6D2D"/>
    <w:pPr>
      <w:numPr>
        <w:numId w:val="41"/>
      </w:numPr>
      <w:tabs>
        <w:tab w:val="clear" w:pos="1209"/>
        <w:tab w:val="num" w:pos="3118"/>
      </w:tabs>
      <w:spacing w:before="120" w:after="120" w:line="240" w:lineRule="auto"/>
      <w:ind w:left="3118" w:hanging="567"/>
    </w:pPr>
    <w:rPr>
      <w:rFonts w:ascii="Arial" w:eastAsia="Times New Roman" w:hAnsi="Arial" w:cs="Arial"/>
      <w:kern w:val="0"/>
      <w:lang w:eastAsia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6D2D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6E6D2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cs-CZ" w:eastAsia="en-US"/>
    </w:rPr>
  </w:style>
  <w:style w:type="character" w:customStyle="1" w:styleId="Bodytext1">
    <w:name w:val="Body text|1_"/>
    <w:basedOn w:val="DefaultParagraphFont"/>
    <w:link w:val="Bodytext10"/>
    <w:locked/>
    <w:rsid w:val="006E6D2D"/>
  </w:style>
  <w:style w:type="paragraph" w:customStyle="1" w:styleId="Bodytext10">
    <w:name w:val="Body text|1"/>
    <w:basedOn w:val="Normal"/>
    <w:link w:val="Bodytext1"/>
    <w:rsid w:val="006E6D2D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6E6D2D"/>
    <w:rPr>
      <w:rFonts w:ascii="Arial" w:hAnsi="Arial"/>
      <w:b/>
      <w:sz w:val="48"/>
    </w:rPr>
  </w:style>
  <w:style w:type="paragraph" w:customStyle="1" w:styleId="oj-ti-art">
    <w:name w:val="oj-ti-art"/>
    <w:basedOn w:val="Normal"/>
    <w:uiPriority w:val="99"/>
    <w:rsid w:val="006E6D2D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uiPriority w:val="99"/>
    <w:rsid w:val="006E6D2D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6E6D2D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6E6D2D"/>
    <w:rPr>
      <w:color w:val="2B579A"/>
      <w:shd w:val="clear" w:color="auto" w:fill="E1DFDD"/>
    </w:rPr>
  </w:style>
  <w:style w:type="character" w:customStyle="1" w:styleId="highlight">
    <w:name w:val="highlight"/>
    <w:basedOn w:val="DefaultParagraphFont"/>
    <w:rsid w:val="006E6D2D"/>
  </w:style>
  <w:style w:type="character" w:customStyle="1" w:styleId="tabbedrightnegativecell">
    <w:name w:val="tabbedrightnegativecell"/>
    <w:basedOn w:val="DefaultParagraphFont"/>
    <w:rsid w:val="006E6D2D"/>
  </w:style>
  <w:style w:type="numbering" w:customStyle="1" w:styleId="NoList1">
    <w:name w:val="No List1"/>
    <w:next w:val="NoList"/>
    <w:uiPriority w:val="99"/>
    <w:semiHidden/>
    <w:unhideWhenUsed/>
    <w:rsid w:val="006E6D2D"/>
  </w:style>
  <w:style w:type="table" w:customStyle="1" w:styleId="TableGrid1">
    <w:name w:val="Table Grid1"/>
    <w:basedOn w:val="TableNormal"/>
    <w:next w:val="TableGrid"/>
    <w:uiPriority w:val="39"/>
    <w:rsid w:val="006E6D2D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F1FBC-88C4-4FCC-987A-C3BE6531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2024-07-24T08:51:00Z</dcterms:created>
  <dcterms:modified xsi:type="dcterms:W3CDTF">2024-07-24T08:51:00Z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