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01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01BD" w:rsidRDefault="00E86FC7" w:rsidP="0010095E">
            <w:pPr>
              <w:pStyle w:val="EPName"/>
            </w:pPr>
            <w:r w:rsidRPr="008201BD">
              <w:t>Parlaimint na hEorpa</w:t>
            </w:r>
          </w:p>
          <w:p w:rsidR="00751A4A" w:rsidRPr="008201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01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01BD" w:rsidRDefault="00187494" w:rsidP="0010095E">
            <w:pPr>
              <w:pStyle w:val="EPLogo"/>
            </w:pPr>
            <w:r w:rsidRPr="008201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01BD" w:rsidRDefault="00D058B8" w:rsidP="004C5D52">
      <w:pPr>
        <w:pStyle w:val="LineTop"/>
      </w:pPr>
    </w:p>
    <w:p w:rsidR="00680577" w:rsidRPr="008201BD" w:rsidRDefault="00E86FC7" w:rsidP="00680577">
      <w:pPr>
        <w:pStyle w:val="EPBodyTA1"/>
      </w:pPr>
      <w:r w:rsidRPr="008201BD">
        <w:t>TÉACSANNA ARNA nGLACADH</w:t>
      </w:r>
    </w:p>
    <w:p w:rsidR="00D058B8" w:rsidRPr="008201BD" w:rsidRDefault="00D058B8" w:rsidP="00D058B8">
      <w:pPr>
        <w:pStyle w:val="LineBottom"/>
      </w:pPr>
    </w:p>
    <w:p w:rsidR="00E86FC7" w:rsidRPr="009D4CFF" w:rsidRDefault="00E86FC7" w:rsidP="00E86FC7">
      <w:pPr>
        <w:pStyle w:val="ATHeading1"/>
        <w:rPr>
          <w:lang w:val="sv-SE"/>
        </w:rPr>
      </w:pPr>
      <w:bookmarkStart w:id="0" w:name="TANumber"/>
      <w:r w:rsidRPr="008201BD">
        <w:t>P9_TA(2024)0</w:t>
      </w:r>
      <w:bookmarkEnd w:id="0"/>
      <w:r w:rsidR="00161E71" w:rsidRPr="009D4CFF">
        <w:rPr>
          <w:lang w:val="sv-SE"/>
        </w:rPr>
        <w:t>282</w:t>
      </w:r>
    </w:p>
    <w:p w:rsidR="00E86FC7" w:rsidRPr="008201BD" w:rsidRDefault="00014E62" w:rsidP="00E86FC7">
      <w:pPr>
        <w:pStyle w:val="ATHeading2"/>
      </w:pPr>
      <w:bookmarkStart w:id="1" w:name="title"/>
      <w:r w:rsidRPr="008201BD">
        <w:t xml:space="preserve">Margaí inmheánacha do ghás in-athnuaite agus </w:t>
      </w:r>
      <w:r w:rsidR="001C2ECE" w:rsidRPr="008201BD">
        <w:t xml:space="preserve">gás </w:t>
      </w:r>
      <w:r w:rsidRPr="008201BD">
        <w:t>nádúrtha agus hidrigin (athmhúnlú)</w:t>
      </w:r>
      <w:bookmarkEnd w:id="1"/>
    </w:p>
    <w:p w:rsidR="00E86FC7" w:rsidRPr="008201BD" w:rsidRDefault="00E86FC7" w:rsidP="00E86FC7">
      <w:pPr>
        <w:rPr>
          <w:i/>
          <w:vanish/>
        </w:rPr>
      </w:pPr>
      <w:r w:rsidRPr="008201BD">
        <w:rPr>
          <w:i/>
        </w:rPr>
        <w:fldChar w:fldCharType="begin"/>
      </w:r>
      <w:r w:rsidRPr="008201BD">
        <w:rPr>
          <w:i/>
        </w:rPr>
        <w:instrText xml:space="preserve"> TC"(</w:instrText>
      </w:r>
      <w:bookmarkStart w:id="2" w:name="DocNumber"/>
      <w:r w:rsidRPr="008201BD">
        <w:rPr>
          <w:i/>
        </w:rPr>
        <w:instrText>A9-0032/2023</w:instrText>
      </w:r>
      <w:bookmarkEnd w:id="2"/>
      <w:r w:rsidRPr="008201BD">
        <w:rPr>
          <w:i/>
        </w:rPr>
        <w:instrText xml:space="preserve"> - Rapóirtéir:</w:instrText>
      </w:r>
      <w:r w:rsidR="00AF65D9" w:rsidRPr="008201BD">
        <w:rPr>
          <w:i/>
        </w:rPr>
        <w:instrText xml:space="preserve"> </w:instrText>
      </w:r>
      <w:r w:rsidRPr="008201BD">
        <w:rPr>
          <w:i/>
        </w:rPr>
        <w:instrText xml:space="preserve">Jerzy Buzek)"\l3 \n&gt; \* MERGEFORMAT </w:instrText>
      </w:r>
      <w:r w:rsidRPr="008201BD">
        <w:rPr>
          <w:i/>
        </w:rPr>
        <w:fldChar w:fldCharType="end"/>
      </w:r>
    </w:p>
    <w:p w:rsidR="00E86FC7" w:rsidRPr="008201BD" w:rsidRDefault="00E86FC7" w:rsidP="00E86FC7">
      <w:pPr>
        <w:rPr>
          <w:vanish/>
        </w:rPr>
      </w:pPr>
      <w:bookmarkStart w:id="3" w:name="Commission"/>
      <w:r w:rsidRPr="008201BD">
        <w:rPr>
          <w:vanish/>
        </w:rPr>
        <w:t>An Choiste um Thionsclaíocht, um Thaighde agus um Fhuinneamh</w:t>
      </w:r>
      <w:bookmarkEnd w:id="3"/>
    </w:p>
    <w:p w:rsidR="00E86FC7" w:rsidRPr="008201BD" w:rsidRDefault="00E86FC7" w:rsidP="00E86FC7">
      <w:pPr>
        <w:rPr>
          <w:vanish/>
        </w:rPr>
      </w:pPr>
      <w:bookmarkStart w:id="4" w:name="PE"/>
      <w:r w:rsidRPr="008201BD">
        <w:rPr>
          <w:vanish/>
        </w:rPr>
        <w:t>PE734.108</w:t>
      </w:r>
      <w:bookmarkEnd w:id="4"/>
    </w:p>
    <w:p w:rsidR="00E86FC7" w:rsidRPr="008201BD" w:rsidRDefault="00E86FC7" w:rsidP="00E86FC7">
      <w:pPr>
        <w:pStyle w:val="ATHeading3"/>
      </w:pPr>
      <w:bookmarkStart w:id="5" w:name="Sujet"/>
      <w:r w:rsidRPr="008201BD">
        <w:t xml:space="preserve">Rún reachtach ó Pharlaimint na hEorpa an </w:t>
      </w:r>
      <w:r w:rsidR="00014E62" w:rsidRPr="008201BD">
        <w:t xml:space="preserve">11 </w:t>
      </w:r>
      <w:r w:rsidR="00AF65D9" w:rsidRPr="008201BD">
        <w:t>Aibreán</w:t>
      </w:r>
      <w:r w:rsidRPr="008201BD">
        <w:t xml:space="preserve"> 2024 ar an togra le haghaidh rialacháin ó Pharlaimint na hEorpa agus ón gComhairle maidir leis na margaí inmheánacha </w:t>
      </w:r>
      <w:r w:rsidR="00073A44" w:rsidRPr="008201BD">
        <w:t xml:space="preserve">le haghaidh </w:t>
      </w:r>
      <w:r w:rsidRPr="008201BD">
        <w:t>gáis in-athnuaite agus gáis nádúrtha agus hidrigin</w:t>
      </w:r>
      <w:r w:rsidR="00073A44" w:rsidRPr="008201BD">
        <w:t>e</w:t>
      </w:r>
      <w:r w:rsidRPr="008201BD">
        <w:t xml:space="preserve"> (athmhúnlú)</w:t>
      </w:r>
      <w:bookmarkEnd w:id="5"/>
      <w:r w:rsidRPr="008201BD">
        <w:t xml:space="preserve"> </w:t>
      </w:r>
      <w:bookmarkStart w:id="6" w:name="References"/>
      <w:r w:rsidRPr="008201BD">
        <w:t>(COM(2021)0804 – C9-0470/2021 – 2021/0424(COD))</w:t>
      </w:r>
      <w:bookmarkEnd w:id="6"/>
    </w:p>
    <w:p w:rsidR="00E86FC7" w:rsidRPr="008201BD" w:rsidRDefault="00E86FC7" w:rsidP="00E86FC7"/>
    <w:p w:rsidR="006B7801" w:rsidRPr="008201BD" w:rsidRDefault="006B7801" w:rsidP="006B7801">
      <w:pPr>
        <w:rPr>
          <w:b/>
        </w:rPr>
      </w:pPr>
      <w:bookmarkStart w:id="7" w:name="TextBodyBegin"/>
      <w:bookmarkEnd w:id="7"/>
      <w:r w:rsidRPr="008201BD">
        <w:rPr>
          <w:b/>
        </w:rPr>
        <w:t>(An gnáthnós imeachta reachtach - athmhúnlú)</w:t>
      </w:r>
    </w:p>
    <w:p w:rsidR="006B7801" w:rsidRPr="008201BD" w:rsidRDefault="006B7801" w:rsidP="006B7801">
      <w:pPr>
        <w:spacing w:before="480" w:after="240"/>
      </w:pPr>
      <w:r w:rsidRPr="008201BD">
        <w:rPr>
          <w:i/>
        </w:rPr>
        <w:t>Tá Parlaimint na hEorpa</w:t>
      </w:r>
      <w:r w:rsidRPr="008201BD">
        <w:t>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don togra ón gCoimisiún chuig Parlaimint na hEorpa agus chuig an gComhairle (COM(2021)0804),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d’Airteagail 294(2) agus 194(2) den Chonradh ar Fheidhmiú an Aontais Eorpaigh, ar dá mbun a thíolaic an Coimisiún an togra do Pharlaimint na hEorpa (C9</w:t>
      </w:r>
      <w:r w:rsidRPr="008201BD">
        <w:noBreakHyphen/>
        <w:t>0470/2021),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d’Airteagal 294(3) den Chonradh ar Fheidhmiú an Aontais Eorpaigh,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 na tuairimí réasúnaithe a thíolaic Teach Teachtaí na Seice agus Seanad na Seice, faoi chuimsiú Phrótacal Uimh. 2 maidir le prionsabail na coimhdeachta agus na comhréireachta a chur i bhfeidhm, á mhaíomh nach gcomhlíonann an dréachtghníomh reachtach prionsabal na coimhdeachta,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 thuairim ó Choiste Eacnamaíoch agus Sóisialta na hEorpa an 19 Bealtaine 2022</w:t>
      </w:r>
      <w:r w:rsidRPr="008201BD">
        <w:rPr>
          <w:vertAlign w:val="superscript"/>
        </w:rPr>
        <w:footnoteReference w:id="1"/>
      </w:r>
      <w:r w:rsidRPr="008201BD">
        <w:t>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 xml:space="preserve">ag féachaint do thuairim ó Choiste na Réigiún an </w:t>
      </w:r>
      <w:r w:rsidR="00014E62" w:rsidRPr="008201BD">
        <w:t xml:space="preserve">12 </w:t>
      </w:r>
      <w:r w:rsidRPr="008201BD">
        <w:t>Deireadh Fómhair 2022</w:t>
      </w:r>
      <w:r w:rsidRPr="008201BD">
        <w:rPr>
          <w:vertAlign w:val="superscript"/>
        </w:rPr>
        <w:footnoteReference w:id="2"/>
      </w:r>
      <w:r w:rsidRPr="008201BD">
        <w:t>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 Chomhaontú Idirinstitiúideach an 28 Samhain 2001 maidir le húsáid níos struchtúrtha theicníocht an athmhúnlaithe do ghníomhartha reachtacha</w:t>
      </w:r>
      <w:r w:rsidRPr="008201BD">
        <w:rPr>
          <w:vertAlign w:val="superscript"/>
        </w:rPr>
        <w:footnoteReference w:id="3"/>
      </w:r>
      <w:r w:rsidRPr="008201BD">
        <w:t>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 xml:space="preserve">ag féachaint do litir an 2 Feabhra 2023 a sheol an Coiste um Ghnóthaí Dlíthiúla chuig an gCoiste um Thionscal, um Thaighde agus um Fhuinneamh i gcomhréir le </w:t>
      </w:r>
      <w:r w:rsidRPr="008201BD">
        <w:lastRenderedPageBreak/>
        <w:t>Riail 110(3) dá Rialacha Nós Imeachta,</w:t>
      </w:r>
    </w:p>
    <w:p w:rsidR="00014E62" w:rsidRPr="008201BD" w:rsidRDefault="00014E62" w:rsidP="00014E62">
      <w:pPr>
        <w:pStyle w:val="NormalHanging12a"/>
        <w:widowControl/>
      </w:pPr>
      <w:r w:rsidRPr="008201BD">
        <w:t>–</w:t>
      </w:r>
      <w:r w:rsidRPr="008201BD">
        <w:tab/>
        <w:t>ag féachaint don chomhaontú sealadach a d’fhormheas an coiste freagrach faoi Riail 74(4) dá Rialacha Nós Imeachta agus don gheallúint a thug ionadaí na Comhairle i litir dar dáta an 20 Nollaig 2023 go ndéanfadh sí seasamh Pharlaimint na hEorpa a fhormheas, i gcomhréir le hAirteagal 294(4) den Chonradh ar Fheidhmiú an Aontais Eorpaigh,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 Rialacha 110 agus 59 dá Rialacha Nós Imeachta,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don tuairim ón gCoiste um Thalmhaíocht agus um Fhorbairt Tuaithe,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–</w:t>
      </w:r>
      <w:r w:rsidRPr="008201BD">
        <w:tab/>
        <w:t>ag féachaint don tuarascáil ón gCoiste um Thionsclaíocht, um Thaighde agus um Fhuinneamh (A9-0032/2023),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A.</w:t>
      </w:r>
      <w:r w:rsidRPr="008201BD">
        <w:tab/>
        <w:t>de bhrí, i gcomhréir le Meitheal Chomhairleach sheirbhísí dlíthiúla Pharlaimint na hEorpa, na Comhairle agus an Choimisiúin, nach bhfuil aon leasuithe substainteacha i gceist leis an togra ón gCoimisiún, seachas na leasuithe sin a shainaithnítear sa togra mar leasuithe den sórt sin, agus de bhrí, a mhéid a bhaineann le códú na bhforálacha neamhathraithe ó na gníomhartha roimhe sin in éineacht leis na leasuithe sin, gurb é atá sa togra ná códú díreach ar na téacsanna atá cheana ann, gan aon athrú ina substaint;</w:t>
      </w:r>
    </w:p>
    <w:p w:rsidR="006B7801" w:rsidRPr="008201BD" w:rsidRDefault="006B7801" w:rsidP="006B7801">
      <w:pPr>
        <w:spacing w:after="240"/>
        <w:ind w:left="567" w:hanging="567"/>
      </w:pPr>
      <w:r w:rsidRPr="008201BD">
        <w:t>1.</w:t>
      </w:r>
      <w:r w:rsidRPr="008201BD">
        <w:tab/>
        <w:t>ag glacadh a seasaimh ar an gcéad léamh mar a leagtar amach ina dhiaidh seo é, ag áireamh mholtaí Mheitheal Oibre sheirbhís dlí Pharlaimint na hEorpa, na Comhairle agus an Choimisiúin;</w:t>
      </w:r>
    </w:p>
    <w:p w:rsidR="006B7801" w:rsidRPr="008201BD" w:rsidRDefault="001C62B8" w:rsidP="006B7801">
      <w:pPr>
        <w:spacing w:after="240"/>
        <w:ind w:left="567" w:hanging="567"/>
      </w:pPr>
      <w:r w:rsidRPr="008201BD">
        <w:t>2</w:t>
      </w:r>
      <w:r w:rsidR="006B7801" w:rsidRPr="008201BD">
        <w:t>.</w:t>
      </w:r>
      <w:r w:rsidR="006B7801" w:rsidRPr="008201BD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6B7801" w:rsidRPr="008201BD" w:rsidRDefault="001C62B8" w:rsidP="006B7801">
      <w:pPr>
        <w:spacing w:after="240"/>
        <w:ind w:left="567" w:hanging="567"/>
      </w:pPr>
      <w:r w:rsidRPr="008201BD">
        <w:t>3</w:t>
      </w:r>
      <w:r w:rsidR="006B7801" w:rsidRPr="008201BD">
        <w:t>.</w:t>
      </w:r>
      <w:r w:rsidR="006B7801" w:rsidRPr="008201BD">
        <w:tab/>
        <w:t>á threorú dá hUachtarán a seasamh a chur ar aghaidh chuig an gComhairle, chuig an gCoimisiún agus chuig na parlaimintí náisiúnta.</w:t>
      </w:r>
    </w:p>
    <w:p w:rsidR="00AF65D9" w:rsidRPr="008201BD" w:rsidRDefault="00AF65D9" w:rsidP="006B7801">
      <w:pPr>
        <w:spacing w:after="240"/>
        <w:ind w:left="567" w:hanging="567"/>
        <w:sectPr w:rsidR="00AF65D9" w:rsidRPr="008201BD" w:rsidSect="00F65CBD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9A32F7" w:rsidRPr="008201BD" w:rsidRDefault="009A32F7" w:rsidP="009A32F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201BD">
        <w:rPr>
          <w:b/>
          <w:bCs/>
          <w:color w:val="000000"/>
        </w:rPr>
        <w:lastRenderedPageBreak/>
        <w:t>P9_TC1-COD(2021)0424</w:t>
      </w:r>
    </w:p>
    <w:p w:rsidR="006B7801" w:rsidRDefault="009A32F7" w:rsidP="009A32F7">
      <w:pPr>
        <w:spacing w:after="240"/>
        <w:rPr>
          <w:b/>
          <w:bCs/>
        </w:rPr>
      </w:pPr>
      <w:r w:rsidRPr="007869B8">
        <w:rPr>
          <w:b/>
          <w:bCs/>
        </w:rPr>
        <w:t>Seasamh ó Pharlaimint na hEorpa arna ghlacadh ar an gcéad léamh an 11 Aibreán 2024 chun go nglacfaí Rialachán (AE) 2024/... ó Pharlaimint na hEorpa agus ón gComhairle maidir leis na margaí inmheánacha do ghás in-athnuaite, gás nádúrtha agus hidrigine, lena leasaítear Rialacháin (</w:t>
      </w:r>
      <w:r w:rsidR="00B61EAA" w:rsidRPr="007869B8">
        <w:rPr>
          <w:b/>
          <w:bCs/>
        </w:rPr>
        <w:t>AE</w:t>
      </w:r>
      <w:r w:rsidRPr="007869B8">
        <w:rPr>
          <w:b/>
          <w:bCs/>
        </w:rPr>
        <w:t>) Uimh. 1227/</w:t>
      </w:r>
      <w:r w:rsidR="00B61EAA" w:rsidRPr="007869B8">
        <w:rPr>
          <w:b/>
          <w:bCs/>
        </w:rPr>
        <w:t>2011</w:t>
      </w:r>
      <w:r w:rsidRPr="007869B8">
        <w:rPr>
          <w:b/>
          <w:bCs/>
        </w:rPr>
        <w:t>, (AE) 2017/1938 agus (AE) 2019/942 agus (AE) 2022/869 agus Cinneadh (AE) 2017/684 agus lena n-aisghairtear Rialachán (CE) Uimh. 715/2009 (athmhúnlú)</w:t>
      </w:r>
    </w:p>
    <w:p w:rsidR="007869B8" w:rsidRDefault="007869B8" w:rsidP="009A32F7">
      <w:pPr>
        <w:spacing w:after="240"/>
        <w:rPr>
          <w:b/>
          <w:bCs/>
        </w:rPr>
      </w:pPr>
    </w:p>
    <w:p w:rsidR="007869B8" w:rsidRPr="007869B8" w:rsidRDefault="007869B8" w:rsidP="009A32F7">
      <w:pPr>
        <w:spacing w:after="240"/>
        <w:rPr>
          <w:bCs/>
          <w:i/>
        </w:rPr>
      </w:pPr>
      <w:r w:rsidRPr="007869B8">
        <w:rPr>
          <w:bCs/>
          <w:i/>
        </w:rPr>
        <w:t>(Ós rud é gur tháinig an Pharlaimint agus an Chomhairle ar chomhaontú, comhfhreagraíonn seasamh na Parlaiminte don ghníomh reachtach críochnaithea</w:t>
      </w:r>
      <w:bookmarkStart w:id="8" w:name="_GoBack"/>
      <w:bookmarkEnd w:id="8"/>
      <w:r w:rsidRPr="007869B8">
        <w:rPr>
          <w:bCs/>
          <w:i/>
        </w:rPr>
        <w:t xml:space="preserve">ch, Rialachán (AE) 2024/1789.) </w:t>
      </w:r>
    </w:p>
    <w:sectPr w:rsidR="007869B8" w:rsidRPr="007869B8" w:rsidSect="007869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2F" w:rsidRPr="00F65CBD" w:rsidRDefault="0032462F">
      <w:r w:rsidRPr="00F65CBD">
        <w:separator/>
      </w:r>
    </w:p>
  </w:endnote>
  <w:endnote w:type="continuationSeparator" w:id="0">
    <w:p w:rsidR="0032462F" w:rsidRPr="00F65CBD" w:rsidRDefault="0032462F">
      <w:r w:rsidRPr="00F65C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 w:rsidP="00B61EAA">
    <w:pPr>
      <w:pStyle w:val="EPFooter"/>
    </w:pPr>
    <w:r w:rsidRPr="00F65CBD">
      <w:t>PE</w:t>
    </w:r>
    <w:r w:rsidRPr="00F65CBD">
      <w:rPr>
        <w:rStyle w:val="HideTWBExt"/>
      </w:rPr>
      <w:t>&lt;NoPE&gt;</w:t>
    </w:r>
    <w:r w:rsidRPr="00F65CBD">
      <w:t>734.108</w:t>
    </w:r>
    <w:r w:rsidRPr="00F65CBD">
      <w:rPr>
        <w:rStyle w:val="HideTWBExt"/>
      </w:rPr>
      <w:t>&lt;/NoPE&gt;&lt;Version&gt;</w:t>
    </w:r>
    <w:r w:rsidRPr="00F65CBD">
      <w:t>v02-00</w:t>
    </w:r>
    <w:r w:rsidRPr="00F65CBD">
      <w:rPr>
        <w:rStyle w:val="HideTWBExt"/>
      </w:rPr>
      <w:t>&lt;/Version&gt;</w:t>
    </w:r>
    <w:r w:rsidRPr="00F65CBD">
      <w:tab/>
    </w:r>
    <w:r w:rsidRPr="00F65CBD">
      <w:fldChar w:fldCharType="begin"/>
    </w:r>
    <w:r w:rsidRPr="00F65CBD">
      <w:instrText xml:space="preserve"> PAGE  \* MERGEFORMAT </w:instrText>
    </w:r>
    <w:r w:rsidRPr="00F65CBD">
      <w:fldChar w:fldCharType="separate"/>
    </w:r>
    <w:r w:rsidRPr="00F65CBD">
      <w:rPr>
        <w:noProof/>
      </w:rPr>
      <w:t>2</w:t>
    </w:r>
    <w:r w:rsidRPr="00F65CBD">
      <w:fldChar w:fldCharType="end"/>
    </w:r>
    <w:r w:rsidRPr="00F65CBD">
      <w:t>/</w:t>
    </w:r>
    <w:r w:rsidR="007869B8">
      <w:fldChar w:fldCharType="begin"/>
    </w:r>
    <w:r w:rsidR="007869B8">
      <w:instrText xml:space="preserve"> NUMPAGES  \* MERGEFORMAT </w:instrText>
    </w:r>
    <w:r w:rsidR="007869B8">
      <w:fldChar w:fldCharType="separate"/>
    </w:r>
    <w:r w:rsidRPr="00F65CBD">
      <w:rPr>
        <w:noProof/>
      </w:rPr>
      <w:t>200</w:t>
    </w:r>
    <w:r w:rsidR="007869B8">
      <w:rPr>
        <w:noProof/>
      </w:rPr>
      <w:fldChar w:fldCharType="end"/>
    </w:r>
    <w:r w:rsidRPr="00F65CBD">
      <w:tab/>
    </w:r>
    <w:r w:rsidRPr="00F65CBD">
      <w:rPr>
        <w:rStyle w:val="HideTWBExt"/>
      </w:rPr>
      <w:t>&lt;PathFdR&gt;</w:t>
    </w:r>
    <w:r w:rsidRPr="00F65CBD">
      <w:t>RR\1273002GA.docx</w:t>
    </w:r>
    <w:r w:rsidRPr="00F65CBD">
      <w:rPr>
        <w:rStyle w:val="HideTWBExt"/>
      </w:rPr>
      <w:t>&lt;/PathFdR&gt;</w:t>
    </w:r>
  </w:p>
  <w:p w:rsidR="0032462F" w:rsidRPr="00F65CBD" w:rsidRDefault="0032462F" w:rsidP="00B61EAA">
    <w:pPr>
      <w:pStyle w:val="EPFooter2"/>
    </w:pPr>
    <w:r w:rsidRPr="00F65CBD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 w:rsidP="00B61EAA">
    <w:pPr>
      <w:pStyle w:val="EPFooter"/>
    </w:pPr>
    <w:r w:rsidRPr="00F65CBD">
      <w:rPr>
        <w:rStyle w:val="HideTWBExt"/>
      </w:rPr>
      <w:t>&lt;PathFdR&gt;</w:t>
    </w:r>
    <w:r w:rsidRPr="00F65CBD">
      <w:t>RR\1273002GA.docx</w:t>
    </w:r>
    <w:r w:rsidRPr="00F65CBD">
      <w:rPr>
        <w:rStyle w:val="HideTWBExt"/>
      </w:rPr>
      <w:t>&lt;/PathFdR&gt;</w:t>
    </w:r>
    <w:r w:rsidRPr="00F65CBD">
      <w:tab/>
    </w:r>
    <w:r w:rsidRPr="00F65CBD">
      <w:tab/>
      <w:t>PE</w:t>
    </w:r>
    <w:r w:rsidRPr="00F65CBD">
      <w:rPr>
        <w:rStyle w:val="HideTWBExt"/>
      </w:rPr>
      <w:t>&lt;NoPE&gt;</w:t>
    </w:r>
    <w:r w:rsidRPr="00F65CBD">
      <w:t>734.108</w:t>
    </w:r>
    <w:r w:rsidRPr="00F65CBD">
      <w:rPr>
        <w:rStyle w:val="HideTWBExt"/>
      </w:rPr>
      <w:t>&lt;/NoPE&gt;&lt;Version&gt;</w:t>
    </w:r>
    <w:r w:rsidRPr="00F65CBD">
      <w:t>v02-00</w:t>
    </w:r>
    <w:r w:rsidRPr="00F65CBD">
      <w:rPr>
        <w:rStyle w:val="HideTWBExt"/>
      </w:rPr>
      <w:t>&lt;/Version&gt;</w:t>
    </w:r>
  </w:p>
  <w:p w:rsidR="0032462F" w:rsidRPr="00F65CBD" w:rsidRDefault="0032462F" w:rsidP="00B61EAA">
    <w:pPr>
      <w:pStyle w:val="EPFooter2"/>
    </w:pPr>
    <w:r w:rsidRPr="00F65CBD">
      <w:t>GA</w:t>
    </w:r>
    <w:r w:rsidRPr="00F65CBD">
      <w:tab/>
    </w:r>
    <w:r w:rsidRPr="00F65CBD">
      <w:rPr>
        <w:b w:val="0"/>
        <w:i/>
        <w:color w:val="C0C0C0"/>
        <w:sz w:val="22"/>
      </w:rPr>
      <w:t>Aontaithe san éagsúlacht</w:t>
    </w:r>
    <w:r w:rsidRPr="00F65CBD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2F" w:rsidRPr="00F65CBD" w:rsidRDefault="0032462F">
      <w:r w:rsidRPr="00F65CBD">
        <w:separator/>
      </w:r>
    </w:p>
  </w:footnote>
  <w:footnote w:type="continuationSeparator" w:id="0">
    <w:p w:rsidR="0032462F" w:rsidRPr="00F65CBD" w:rsidRDefault="0032462F">
      <w:r w:rsidRPr="00F65CBD">
        <w:continuationSeparator/>
      </w:r>
    </w:p>
  </w:footnote>
  <w:footnote w:id="1">
    <w:p w:rsidR="0032462F" w:rsidRPr="008201BD" w:rsidRDefault="0032462F" w:rsidP="00F65CBD">
      <w:pPr>
        <w:pStyle w:val="FootnoteText"/>
        <w:ind w:left="567" w:hanging="567"/>
        <w:rPr>
          <w:sz w:val="24"/>
          <w:szCs w:val="24"/>
          <w:lang w:val="ga-IE"/>
        </w:rPr>
      </w:pPr>
      <w:r w:rsidRPr="008201BD">
        <w:rPr>
          <w:rStyle w:val="FootnoteReference"/>
          <w:sz w:val="24"/>
          <w:szCs w:val="24"/>
          <w:lang w:val="ga-IE"/>
        </w:rPr>
        <w:footnoteRef/>
      </w:r>
      <w:r w:rsidRPr="008201BD">
        <w:rPr>
          <w:sz w:val="24"/>
          <w:szCs w:val="24"/>
          <w:lang w:val="ga-IE"/>
        </w:rPr>
        <w:t xml:space="preserve"> </w:t>
      </w:r>
      <w:r w:rsidRPr="008201BD">
        <w:rPr>
          <w:sz w:val="24"/>
          <w:szCs w:val="24"/>
          <w:lang w:val="ga-IE"/>
        </w:rPr>
        <w:tab/>
        <w:t xml:space="preserve">IO C 323, 26.8.2022, lch. 101. </w:t>
      </w:r>
    </w:p>
  </w:footnote>
  <w:footnote w:id="2">
    <w:p w:rsidR="0032462F" w:rsidRPr="008201BD" w:rsidRDefault="0032462F" w:rsidP="00F65CBD">
      <w:pPr>
        <w:pStyle w:val="FootnoteText"/>
        <w:ind w:left="567" w:hanging="567"/>
        <w:rPr>
          <w:sz w:val="24"/>
          <w:szCs w:val="24"/>
          <w:lang w:val="ga-IE"/>
        </w:rPr>
      </w:pPr>
      <w:r w:rsidRPr="008201BD">
        <w:rPr>
          <w:rStyle w:val="FootnoteReference"/>
          <w:sz w:val="24"/>
          <w:szCs w:val="24"/>
          <w:lang w:val="ga-IE"/>
        </w:rPr>
        <w:footnoteRef/>
      </w:r>
      <w:r w:rsidRPr="008201BD">
        <w:rPr>
          <w:sz w:val="24"/>
          <w:szCs w:val="24"/>
          <w:lang w:val="ga-IE"/>
        </w:rPr>
        <w:t xml:space="preserve"> </w:t>
      </w:r>
      <w:r w:rsidRPr="008201BD">
        <w:rPr>
          <w:sz w:val="24"/>
          <w:szCs w:val="24"/>
          <w:lang w:val="ga-IE"/>
        </w:rPr>
        <w:tab/>
        <w:t>IO C 498, 30.12.2022, lch. 83.</w:t>
      </w:r>
    </w:p>
  </w:footnote>
  <w:footnote w:id="3">
    <w:p w:rsidR="0032462F" w:rsidRPr="008201BD" w:rsidRDefault="0032462F" w:rsidP="00F65CBD">
      <w:pPr>
        <w:pStyle w:val="FootnoteText"/>
        <w:ind w:left="567" w:hanging="567"/>
        <w:rPr>
          <w:sz w:val="24"/>
          <w:szCs w:val="24"/>
          <w:lang w:val="ga-IE"/>
        </w:rPr>
      </w:pPr>
      <w:r w:rsidRPr="008201BD">
        <w:rPr>
          <w:rStyle w:val="FootnoteReference"/>
          <w:sz w:val="24"/>
          <w:szCs w:val="24"/>
          <w:lang w:val="ga-IE"/>
        </w:rPr>
        <w:footnoteRef/>
      </w:r>
      <w:r w:rsidRPr="008201BD">
        <w:rPr>
          <w:sz w:val="24"/>
          <w:szCs w:val="24"/>
          <w:lang w:val="ga-IE"/>
        </w:rPr>
        <w:t xml:space="preserve"> </w:t>
      </w:r>
      <w:r w:rsidRPr="008201BD">
        <w:rPr>
          <w:sz w:val="24"/>
          <w:szCs w:val="24"/>
          <w:lang w:val="ga-IE"/>
        </w:rPr>
        <w:tab/>
        <w:t>IO C 77, 28.3.2002, lch.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62F" w:rsidRPr="00F65CBD" w:rsidRDefault="003246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2FDA0B03"/>
    <w:multiLevelType w:val="hybridMultilevel"/>
    <w:tmpl w:val="970419D0"/>
    <w:lvl w:ilvl="0" w:tplc="CF6A8D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440" w:hanging="360"/>
      </w:pPr>
    </w:lvl>
    <w:lvl w:ilvl="2" w:tplc="083C001B" w:tentative="1">
      <w:start w:val="1"/>
      <w:numFmt w:val="lowerRoman"/>
      <w:lvlText w:val="%3."/>
      <w:lvlJc w:val="right"/>
      <w:pPr>
        <w:ind w:left="2160" w:hanging="180"/>
      </w:pPr>
    </w:lvl>
    <w:lvl w:ilvl="3" w:tplc="083C000F" w:tentative="1">
      <w:start w:val="1"/>
      <w:numFmt w:val="decimal"/>
      <w:lvlText w:val="%4."/>
      <w:lvlJc w:val="left"/>
      <w:pPr>
        <w:ind w:left="2880" w:hanging="360"/>
      </w:pPr>
    </w:lvl>
    <w:lvl w:ilvl="4" w:tplc="083C0019" w:tentative="1">
      <w:start w:val="1"/>
      <w:numFmt w:val="lowerLetter"/>
      <w:lvlText w:val="%5."/>
      <w:lvlJc w:val="left"/>
      <w:pPr>
        <w:ind w:left="3600" w:hanging="360"/>
      </w:pPr>
    </w:lvl>
    <w:lvl w:ilvl="5" w:tplc="083C001B" w:tentative="1">
      <w:start w:val="1"/>
      <w:numFmt w:val="lowerRoman"/>
      <w:lvlText w:val="%6."/>
      <w:lvlJc w:val="right"/>
      <w:pPr>
        <w:ind w:left="4320" w:hanging="180"/>
      </w:pPr>
    </w:lvl>
    <w:lvl w:ilvl="6" w:tplc="083C000F" w:tentative="1">
      <w:start w:val="1"/>
      <w:numFmt w:val="decimal"/>
      <w:lvlText w:val="%7."/>
      <w:lvlJc w:val="left"/>
      <w:pPr>
        <w:ind w:left="5040" w:hanging="360"/>
      </w:pPr>
    </w:lvl>
    <w:lvl w:ilvl="7" w:tplc="083C0019" w:tentative="1">
      <w:start w:val="1"/>
      <w:numFmt w:val="lowerLetter"/>
      <w:lvlText w:val="%8."/>
      <w:lvlJc w:val="left"/>
      <w:pPr>
        <w:ind w:left="5760" w:hanging="360"/>
      </w:pPr>
    </w:lvl>
    <w:lvl w:ilvl="8" w:tplc="083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2C851AB"/>
    <w:multiLevelType w:val="hybridMultilevel"/>
    <w:tmpl w:val="F56E3FC4"/>
    <w:lvl w:ilvl="0" w:tplc="EF1A5CFE">
      <w:start w:val="1"/>
      <w:numFmt w:val="decimal"/>
      <w:lvlText w:val="%1."/>
      <w:lvlJc w:val="left"/>
      <w:pPr>
        <w:ind w:left="1212" w:hanging="852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440" w:hanging="360"/>
      </w:pPr>
    </w:lvl>
    <w:lvl w:ilvl="2" w:tplc="083C001B" w:tentative="1">
      <w:start w:val="1"/>
      <w:numFmt w:val="lowerRoman"/>
      <w:lvlText w:val="%3."/>
      <w:lvlJc w:val="right"/>
      <w:pPr>
        <w:ind w:left="2160" w:hanging="180"/>
      </w:pPr>
    </w:lvl>
    <w:lvl w:ilvl="3" w:tplc="083C000F" w:tentative="1">
      <w:start w:val="1"/>
      <w:numFmt w:val="decimal"/>
      <w:lvlText w:val="%4."/>
      <w:lvlJc w:val="left"/>
      <w:pPr>
        <w:ind w:left="2880" w:hanging="360"/>
      </w:pPr>
    </w:lvl>
    <w:lvl w:ilvl="4" w:tplc="083C0019" w:tentative="1">
      <w:start w:val="1"/>
      <w:numFmt w:val="lowerLetter"/>
      <w:lvlText w:val="%5."/>
      <w:lvlJc w:val="left"/>
      <w:pPr>
        <w:ind w:left="3600" w:hanging="360"/>
      </w:pPr>
    </w:lvl>
    <w:lvl w:ilvl="5" w:tplc="083C001B" w:tentative="1">
      <w:start w:val="1"/>
      <w:numFmt w:val="lowerRoman"/>
      <w:lvlText w:val="%6."/>
      <w:lvlJc w:val="right"/>
      <w:pPr>
        <w:ind w:left="4320" w:hanging="180"/>
      </w:pPr>
    </w:lvl>
    <w:lvl w:ilvl="6" w:tplc="083C000F" w:tentative="1">
      <w:start w:val="1"/>
      <w:numFmt w:val="decimal"/>
      <w:lvlText w:val="%7."/>
      <w:lvlJc w:val="left"/>
      <w:pPr>
        <w:ind w:left="5040" w:hanging="360"/>
      </w:pPr>
    </w:lvl>
    <w:lvl w:ilvl="7" w:tplc="083C0019" w:tentative="1">
      <w:start w:val="1"/>
      <w:numFmt w:val="lowerLetter"/>
      <w:lvlText w:val="%8."/>
      <w:lvlJc w:val="left"/>
      <w:pPr>
        <w:ind w:left="5760" w:hanging="360"/>
      </w:pPr>
    </w:lvl>
    <w:lvl w:ilvl="8" w:tplc="083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0"/>
  </w:num>
  <w:num w:numId="4">
    <w:abstractNumId w:val="16"/>
  </w:num>
  <w:num w:numId="5">
    <w:abstractNumId w:val="27"/>
  </w:num>
  <w:num w:numId="6">
    <w:abstractNumId w:val="26"/>
  </w:num>
  <w:num w:numId="7">
    <w:abstractNumId w:val="5"/>
  </w:num>
  <w:num w:numId="8">
    <w:abstractNumId w:val="18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21"/>
  </w:num>
  <w:num w:numId="12">
    <w:abstractNumId w:val="38"/>
  </w:num>
  <w:num w:numId="13">
    <w:abstractNumId w:val="15"/>
  </w:num>
  <w:num w:numId="14">
    <w:abstractNumId w:val="22"/>
  </w:num>
  <w:num w:numId="15">
    <w:abstractNumId w:val="2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31"/>
  </w:num>
  <w:num w:numId="20">
    <w:abstractNumId w:val="32"/>
  </w:num>
  <w:num w:numId="21">
    <w:abstractNumId w:val="14"/>
  </w:num>
  <w:num w:numId="22">
    <w:abstractNumId w:val="28"/>
  </w:num>
  <w:num w:numId="23">
    <w:abstractNumId w:val="47"/>
    <w:lvlOverride w:ilvl="0">
      <w:startOverride w:val="1"/>
    </w:lvlOverride>
  </w:num>
  <w:num w:numId="24">
    <w:abstractNumId w:val="40"/>
  </w:num>
  <w:num w:numId="25">
    <w:abstractNumId w:val="2"/>
  </w:num>
  <w:num w:numId="26">
    <w:abstractNumId w:val="41"/>
  </w:num>
  <w:num w:numId="27">
    <w:abstractNumId w:val="34"/>
  </w:num>
  <w:num w:numId="28">
    <w:abstractNumId w:val="4"/>
  </w:num>
  <w:num w:numId="29">
    <w:abstractNumId w:val="44"/>
  </w:num>
  <w:num w:numId="30">
    <w:abstractNumId w:val="46"/>
  </w:num>
  <w:num w:numId="31">
    <w:abstractNumId w:val="29"/>
  </w:num>
  <w:num w:numId="32">
    <w:abstractNumId w:val="43"/>
  </w:num>
  <w:num w:numId="33">
    <w:abstractNumId w:val="37"/>
  </w:num>
  <w:num w:numId="34">
    <w:abstractNumId w:val="24"/>
  </w:num>
  <w:num w:numId="35">
    <w:abstractNumId w:val="10"/>
  </w:num>
  <w:num w:numId="36">
    <w:abstractNumId w:val="8"/>
  </w:num>
  <w:num w:numId="37">
    <w:abstractNumId w:val="39"/>
  </w:num>
  <w:num w:numId="38">
    <w:abstractNumId w:val="45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30"/>
  </w:num>
  <w:num w:numId="44">
    <w:abstractNumId w:val="35"/>
  </w:num>
  <w:num w:numId="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 w:numId="48">
    <w:abstractNumId w:val="17"/>
  </w:num>
  <w:num w:numId="49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GA"/>
    <w:docVar w:name="dvnumam" w:val="0"/>
    <w:docVar w:name="dvpe" w:val="734.108"/>
    <w:docVar w:name="dvrapporteur" w:val=" Rapóirtéir:"/>
    <w:docVar w:name="dvstar" w:val="***I"/>
    <w:docVar w:name="dvtitre" w:val="Rún reachtach ó Pharlaimint na hEorpa an xx Xxxx 2024 ar an togra le haghaidh rialacháin ó Pharlaimint na hEorpa agus ón gComhairle maidir leis na margaí inmheánacha i ngáis in-athnuaite agus gáis nádúrtha agus sa hidrigin (athmhúnlú)(COM(2021)0804 – C9-0470/2021 – 2021/0424(COD))"/>
  </w:docVars>
  <w:rsids>
    <w:rsidRoot w:val="00E86FC7"/>
    <w:rsid w:val="00002272"/>
    <w:rsid w:val="00014E62"/>
    <w:rsid w:val="00064002"/>
    <w:rsid w:val="000677B9"/>
    <w:rsid w:val="00073A44"/>
    <w:rsid w:val="000831BA"/>
    <w:rsid w:val="000A42CC"/>
    <w:rsid w:val="000E7DD9"/>
    <w:rsid w:val="0010095E"/>
    <w:rsid w:val="00125B37"/>
    <w:rsid w:val="00161E71"/>
    <w:rsid w:val="00187494"/>
    <w:rsid w:val="001C2ECE"/>
    <w:rsid w:val="001C62B8"/>
    <w:rsid w:val="001F32AE"/>
    <w:rsid w:val="002767FF"/>
    <w:rsid w:val="002B18FE"/>
    <w:rsid w:val="002B5493"/>
    <w:rsid w:val="0032462F"/>
    <w:rsid w:val="00343214"/>
    <w:rsid w:val="00361C00"/>
    <w:rsid w:val="00395FA1"/>
    <w:rsid w:val="003E15D4"/>
    <w:rsid w:val="00411CCE"/>
    <w:rsid w:val="0041666E"/>
    <w:rsid w:val="00421060"/>
    <w:rsid w:val="0045533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7801"/>
    <w:rsid w:val="006F74FA"/>
    <w:rsid w:val="00731ADD"/>
    <w:rsid w:val="00734777"/>
    <w:rsid w:val="00747932"/>
    <w:rsid w:val="00751A4A"/>
    <w:rsid w:val="00756632"/>
    <w:rsid w:val="00762C74"/>
    <w:rsid w:val="007869B8"/>
    <w:rsid w:val="00786EC0"/>
    <w:rsid w:val="007D1690"/>
    <w:rsid w:val="007E22AD"/>
    <w:rsid w:val="00817416"/>
    <w:rsid w:val="008201B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2F7"/>
    <w:rsid w:val="009D4CFF"/>
    <w:rsid w:val="00A1687D"/>
    <w:rsid w:val="00A43E52"/>
    <w:rsid w:val="00A4678D"/>
    <w:rsid w:val="00A778C7"/>
    <w:rsid w:val="00AB441E"/>
    <w:rsid w:val="00AB6293"/>
    <w:rsid w:val="00AE0928"/>
    <w:rsid w:val="00AF3B82"/>
    <w:rsid w:val="00AF65D9"/>
    <w:rsid w:val="00B12E95"/>
    <w:rsid w:val="00B22876"/>
    <w:rsid w:val="00B558F0"/>
    <w:rsid w:val="00B61E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FC7"/>
    <w:rsid w:val="00EB006A"/>
    <w:rsid w:val="00EB4772"/>
    <w:rsid w:val="00ED169E"/>
    <w:rsid w:val="00ED4235"/>
    <w:rsid w:val="00F04346"/>
    <w:rsid w:val="00F075DC"/>
    <w:rsid w:val="00F149E9"/>
    <w:rsid w:val="00F5134D"/>
    <w:rsid w:val="00F65CB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74A10"/>
  <w15:chartTrackingRefBased/>
  <w15:docId w15:val="{9A230D60-5108-4F45-9021-7A7894C3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B78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8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8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8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8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80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80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6B780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6B7801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B780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6B78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6B78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6B7801"/>
    <w:pPr>
      <w:spacing w:after="240"/>
    </w:pPr>
  </w:style>
  <w:style w:type="paragraph" w:customStyle="1" w:styleId="TOCPage">
    <w:name w:val="TOC Page"/>
    <w:basedOn w:val="Normal"/>
    <w:next w:val="TOC1"/>
    <w:rsid w:val="006B780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6B780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B78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B7801"/>
    <w:pPr>
      <w:spacing w:after="480"/>
      <w:ind w:left="1417"/>
    </w:pPr>
  </w:style>
  <w:style w:type="paragraph" w:customStyle="1" w:styleId="CoverNormal">
    <w:name w:val="CoverNormal"/>
    <w:basedOn w:val="Normal"/>
    <w:rsid w:val="006B7801"/>
    <w:pPr>
      <w:ind w:left="1418"/>
    </w:pPr>
  </w:style>
  <w:style w:type="paragraph" w:customStyle="1" w:styleId="NormalCenter12a">
    <w:name w:val="NormalCenter12a"/>
    <w:basedOn w:val="Normal"/>
    <w:rsid w:val="006B7801"/>
    <w:pPr>
      <w:spacing w:after="240"/>
      <w:jc w:val="center"/>
    </w:pPr>
  </w:style>
  <w:style w:type="paragraph" w:customStyle="1" w:styleId="CoverReference">
    <w:name w:val="CoverReference"/>
    <w:basedOn w:val="Normal"/>
    <w:rsid w:val="006B78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B78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B78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B7801"/>
    <w:pPr>
      <w:spacing w:before="240" w:after="1200"/>
    </w:pPr>
  </w:style>
  <w:style w:type="paragraph" w:customStyle="1" w:styleId="AmNumberTabs">
    <w:name w:val="AmNumberTabs"/>
    <w:basedOn w:val="Normal"/>
    <w:rsid w:val="006B78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B7801"/>
    <w:pPr>
      <w:spacing w:before="720" w:after="240"/>
      <w:jc w:val="center"/>
    </w:pPr>
  </w:style>
  <w:style w:type="paragraph" w:customStyle="1" w:styleId="EPBody">
    <w:name w:val="EPBody"/>
    <w:basedOn w:val="Normal"/>
    <w:rsid w:val="006B78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6B780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6B780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6B7801"/>
    <w:rPr>
      <w:smallCaps/>
      <w:sz w:val="20"/>
    </w:rPr>
  </w:style>
  <w:style w:type="paragraph" w:customStyle="1" w:styleId="AnnexWPDocType">
    <w:name w:val="AnnexWPDocType"/>
    <w:basedOn w:val="Normal"/>
    <w:rsid w:val="006B780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6B7801"/>
    <w:pPr>
      <w:spacing w:before="480"/>
    </w:pPr>
    <w:rPr>
      <w:b/>
    </w:rPr>
  </w:style>
  <w:style w:type="paragraph" w:customStyle="1" w:styleId="AnnexWPLogo">
    <w:name w:val="AnnexWPLogo"/>
    <w:basedOn w:val="Normal"/>
    <w:rsid w:val="006B7801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6B7801"/>
    <w:rPr>
      <w:b/>
    </w:rPr>
  </w:style>
  <w:style w:type="paragraph" w:customStyle="1" w:styleId="EPFooter">
    <w:name w:val="EPFooter"/>
    <w:basedOn w:val="Normal"/>
    <w:rsid w:val="006B78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6B78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801"/>
    <w:rPr>
      <w:sz w:val="24"/>
      <w:lang w:val="ga-IE"/>
    </w:rPr>
  </w:style>
  <w:style w:type="paragraph" w:customStyle="1" w:styleId="EPComma">
    <w:name w:val="EPComma"/>
    <w:basedOn w:val="Normal"/>
    <w:rsid w:val="006B7801"/>
    <w:pPr>
      <w:spacing w:before="480" w:after="240"/>
    </w:pPr>
  </w:style>
  <w:style w:type="paragraph" w:customStyle="1" w:styleId="Lgendesigne">
    <w:name w:val="Légende signe"/>
    <w:basedOn w:val="Normal"/>
    <w:rsid w:val="006B78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B78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B7801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6B7801"/>
    <w:rPr>
      <w:b/>
      <w:sz w:val="24"/>
      <w:lang w:val="ga-IE"/>
    </w:rPr>
  </w:style>
  <w:style w:type="paragraph" w:customStyle="1" w:styleId="Normal24a">
    <w:name w:val="Normal24a"/>
    <w:basedOn w:val="Normal"/>
    <w:rsid w:val="006B7801"/>
    <w:pPr>
      <w:spacing w:after="480"/>
    </w:pPr>
  </w:style>
  <w:style w:type="character" w:styleId="Emphasis">
    <w:name w:val="Emphasis"/>
    <w:basedOn w:val="DefaultParagraphFont"/>
    <w:uiPriority w:val="20"/>
    <w:qFormat/>
    <w:rsid w:val="006B7801"/>
    <w:rPr>
      <w:i/>
      <w:iCs/>
    </w:rPr>
  </w:style>
  <w:style w:type="character" w:styleId="Hyperlink">
    <w:name w:val="Hyperlink"/>
    <w:unhideWhenUsed/>
    <w:rsid w:val="006B7801"/>
    <w:rPr>
      <w:color w:val="0000FF"/>
      <w:u w:val="single"/>
    </w:rPr>
  </w:style>
  <w:style w:type="character" w:styleId="FollowedHyperlink">
    <w:name w:val="FollowedHyperlink"/>
    <w:unhideWhenUsed/>
    <w:rsid w:val="006B7801"/>
    <w:rPr>
      <w:color w:val="800080"/>
      <w:u w:val="single"/>
    </w:rPr>
  </w:style>
  <w:style w:type="paragraph" w:customStyle="1" w:styleId="Text1">
    <w:name w:val="Text 1"/>
    <w:basedOn w:val="Normal"/>
    <w:rsid w:val="006B780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6B78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6B780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6B780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B780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6B7801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801"/>
    <w:rPr>
      <w:rFonts w:eastAsia="Calibri"/>
      <w:lang w:val="ga-IE" w:eastAsia="en-US"/>
    </w:rPr>
  </w:style>
  <w:style w:type="paragraph" w:customStyle="1" w:styleId="LetterSignature">
    <w:name w:val="LetterSignature"/>
    <w:basedOn w:val="Normal"/>
    <w:next w:val="Normal"/>
    <w:rsid w:val="006B7801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B780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B780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6B780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6B780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B780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B780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B780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B780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B780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B780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B7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B7801"/>
    <w:rPr>
      <w:rFonts w:eastAsia="Calibri"/>
      <w:b/>
      <w:bCs/>
      <w:lang w:val="ga-I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6B7801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7801"/>
    <w:rPr>
      <w:rFonts w:ascii="Segoe UI" w:eastAsia="Calibri" w:hAnsi="Segoe UI" w:cs="Segoe UI"/>
      <w:sz w:val="18"/>
      <w:szCs w:val="18"/>
      <w:lang w:val="ga-IE" w:eastAsia="en-US"/>
    </w:rPr>
  </w:style>
  <w:style w:type="paragraph" w:styleId="Revision">
    <w:name w:val="Revision"/>
    <w:uiPriority w:val="99"/>
    <w:semiHidden/>
    <w:rsid w:val="006B7801"/>
    <w:rPr>
      <w:rFonts w:eastAsia="Calibri"/>
      <w:sz w:val="24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6B780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B780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6B78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6B780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6B780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6B780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6B780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6B780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6B780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6B780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6B780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6B7801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6B7801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6B7801"/>
    <w:pPr>
      <w:numPr>
        <w:numId w:val="9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6B7801"/>
    <w:pPr>
      <w:numPr>
        <w:ilvl w:val="1"/>
        <w:numId w:val="9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6B780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ext3">
    <w:name w:val="Text 3"/>
    <w:basedOn w:val="Normal"/>
    <w:uiPriority w:val="99"/>
    <w:rsid w:val="006B780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6B780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6B7801"/>
    <w:pPr>
      <w:numPr>
        <w:ilvl w:val="2"/>
        <w:numId w:val="9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6B780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uiPriority w:val="99"/>
    <w:semiHidden/>
    <w:rsid w:val="006B780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uiPriority w:val="99"/>
    <w:semiHidden/>
    <w:rsid w:val="006B780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6B7801"/>
    <w:pPr>
      <w:numPr>
        <w:ilvl w:val="3"/>
        <w:numId w:val="9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6B780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uiPriority w:val="99"/>
    <w:semiHidden/>
    <w:rsid w:val="006B780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uiPriority w:val="99"/>
    <w:semiHidden/>
    <w:rsid w:val="006B780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6B7801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6B7801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6B7801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6B7801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uiPriority w:val="99"/>
    <w:rsid w:val="006B78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6B7801"/>
    <w:pPr>
      <w:widowControl/>
      <w:spacing w:after="240"/>
      <w:ind w:left="5103"/>
    </w:pPr>
    <w:rPr>
      <w:szCs w:val="22"/>
      <w:lang w:val="fr-FR"/>
    </w:rPr>
  </w:style>
  <w:style w:type="paragraph" w:customStyle="1" w:styleId="Typedudocument">
    <w:name w:val="Type du document"/>
    <w:basedOn w:val="Normal"/>
    <w:next w:val="Titreobjet"/>
    <w:rsid w:val="006B78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6B7801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6B7801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6B7801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6B7801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6B7801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6B7801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6B780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rsid w:val="006B780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6B7801"/>
  </w:style>
  <w:style w:type="character" w:customStyle="1" w:styleId="FooterCoverPageChar">
    <w:name w:val="Footer Cover Page Char"/>
    <w:link w:val="FooterCoverPage"/>
    <w:semiHidden/>
    <w:locked/>
    <w:rsid w:val="006B7801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6B780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6B7801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6B7801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6B780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6B780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6B78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6B780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6B78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6B780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6B780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6B780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6B780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6B780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6B78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B78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6B78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6B780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6B780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6B780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6B780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6B7801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6B7801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6B7801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6B7801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6B7801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6B7801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6B780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6B780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6B780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6B780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6B780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6B780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6B780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6B780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6B780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6B780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6B7801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6B7801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6B7801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6B7801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6B7801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6B7801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6B7801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6B78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6B78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6B78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6B78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6B78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6B78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6B78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6B78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6B780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6B78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6B78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6B78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6B78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6B78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6B78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6B780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6B780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6B780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6B7801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B7801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6B7801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B7801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B7801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6B7801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B7801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B7801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B7801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6B7801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6B7801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6B7801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6B7801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6B7801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6B78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6B780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6B78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6B78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6B780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6B78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6B780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6B780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6B780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6B7801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6B780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6B78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6B78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6B780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6B780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6B78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6B78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6B780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link w:val="ApplicationdirecteChar"/>
    <w:uiPriority w:val="99"/>
    <w:rsid w:val="006B780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6B780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6B780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6B780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6B780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6B7801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6B780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6B78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6B780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6B780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6B780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6B780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6B780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6B780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6B780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6B78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6B780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6B780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6B7801"/>
  </w:style>
  <w:style w:type="paragraph" w:customStyle="1" w:styleId="Volume">
    <w:name w:val="Volume"/>
    <w:basedOn w:val="Normal"/>
    <w:next w:val="Confidentialit"/>
    <w:uiPriority w:val="99"/>
    <w:rsid w:val="006B78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6B780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6B780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6B780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6B7801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6B780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6B780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6B7801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6B7801"/>
    <w:rPr>
      <w:sz w:val="16"/>
      <w:szCs w:val="16"/>
    </w:rPr>
  </w:style>
  <w:style w:type="character" w:customStyle="1" w:styleId="normaltextrun">
    <w:name w:val="normaltextrun"/>
    <w:basedOn w:val="DefaultParagraphFont"/>
    <w:rsid w:val="006B7801"/>
  </w:style>
  <w:style w:type="character" w:customStyle="1" w:styleId="super">
    <w:name w:val="super"/>
    <w:basedOn w:val="DefaultParagraphFont"/>
    <w:rsid w:val="006B7801"/>
  </w:style>
  <w:style w:type="character" w:customStyle="1" w:styleId="tw4winMark">
    <w:name w:val="tw4winMark"/>
    <w:rsid w:val="006B7801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6B7801"/>
    <w:rPr>
      <w:color w:val="00FF00"/>
      <w:sz w:val="40"/>
      <w:lang w:val="en-GB" w:eastAsia="en-GB"/>
    </w:rPr>
  </w:style>
  <w:style w:type="character" w:customStyle="1" w:styleId="tw4winTerm">
    <w:name w:val="tw4winTerm"/>
    <w:rsid w:val="006B7801"/>
    <w:rPr>
      <w:color w:val="0000FF"/>
      <w:lang w:val="en-GB" w:eastAsia="en-GB"/>
    </w:rPr>
  </w:style>
  <w:style w:type="character" w:customStyle="1" w:styleId="tw4winPopup">
    <w:name w:val="tw4winPopup"/>
    <w:rsid w:val="006B7801"/>
    <w:rPr>
      <w:noProof/>
      <w:color w:val="008000"/>
      <w:lang w:val="en-GB" w:eastAsia="en-GB"/>
    </w:rPr>
  </w:style>
  <w:style w:type="character" w:customStyle="1" w:styleId="tw4winJump">
    <w:name w:val="tw4winJump"/>
    <w:rsid w:val="006B7801"/>
    <w:rPr>
      <w:noProof/>
      <w:color w:val="008080"/>
      <w:lang w:val="en-GB" w:eastAsia="en-GB"/>
    </w:rPr>
  </w:style>
  <w:style w:type="character" w:customStyle="1" w:styleId="tw4winExternal">
    <w:name w:val="tw4winExternal"/>
    <w:rsid w:val="006B7801"/>
    <w:rPr>
      <w:noProof/>
      <w:color w:val="808080"/>
      <w:lang w:val="en-GB" w:eastAsia="en-GB"/>
    </w:rPr>
  </w:style>
  <w:style w:type="character" w:customStyle="1" w:styleId="tw4winInternal">
    <w:name w:val="tw4winInternal"/>
    <w:rsid w:val="006B7801"/>
    <w:rPr>
      <w:noProof/>
      <w:color w:val="FF0000"/>
      <w:lang w:val="en-GB" w:eastAsia="en-GB"/>
    </w:rPr>
  </w:style>
  <w:style w:type="character" w:customStyle="1" w:styleId="DONOTTRANSLATE">
    <w:name w:val="DO_NOT_TRANSLATE"/>
    <w:rsid w:val="006B7801"/>
    <w:rPr>
      <w:noProof/>
      <w:color w:val="800000"/>
      <w:lang w:val="en-GB" w:eastAsia="en-GB"/>
    </w:rPr>
  </w:style>
  <w:style w:type="character" w:customStyle="1" w:styleId="Marker">
    <w:name w:val="Marker"/>
    <w:rsid w:val="006B7801"/>
    <w:rPr>
      <w:color w:val="0000FF"/>
    </w:rPr>
  </w:style>
  <w:style w:type="character" w:customStyle="1" w:styleId="Marker1">
    <w:name w:val="Marker1"/>
    <w:rsid w:val="006B7801"/>
    <w:rPr>
      <w:color w:val="008000"/>
    </w:rPr>
  </w:style>
  <w:style w:type="character" w:customStyle="1" w:styleId="Marker2">
    <w:name w:val="Marker2"/>
    <w:rsid w:val="006B7801"/>
    <w:rPr>
      <w:color w:val="FF0000"/>
    </w:rPr>
  </w:style>
  <w:style w:type="character" w:customStyle="1" w:styleId="Added">
    <w:name w:val="Added"/>
    <w:rsid w:val="006B7801"/>
    <w:rPr>
      <w:b/>
      <w:bCs w:val="0"/>
      <w:u w:val="single"/>
    </w:rPr>
  </w:style>
  <w:style w:type="character" w:customStyle="1" w:styleId="Deleted">
    <w:name w:val="Deleted"/>
    <w:rsid w:val="006B7801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6B780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Soustitr">
    <w:name w:val="Sous titr"/>
    <w:basedOn w:val="Titreobjet"/>
    <w:uiPriority w:val="99"/>
    <w:semiHidden/>
    <w:rsid w:val="006B7801"/>
  </w:style>
  <w:style w:type="paragraph" w:customStyle="1" w:styleId="Sous-titre">
    <w:name w:val="Sous-titre"/>
    <w:basedOn w:val="Soustitr"/>
    <w:uiPriority w:val="99"/>
    <w:semiHidden/>
    <w:rsid w:val="006B7801"/>
  </w:style>
  <w:style w:type="paragraph" w:customStyle="1" w:styleId="ListNumber3Level2">
    <w:name w:val="List Number 3 (Level 2)"/>
    <w:basedOn w:val="Text3"/>
    <w:uiPriority w:val="99"/>
    <w:semiHidden/>
    <w:rsid w:val="006B780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itle-annex-2">
    <w:name w:val="title-annex-2"/>
    <w:basedOn w:val="Normal"/>
    <w:uiPriority w:val="99"/>
    <w:semiHidden/>
    <w:rsid w:val="006B780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tbl-norm">
    <w:name w:val="tbl-norm"/>
    <w:basedOn w:val="Normal"/>
    <w:uiPriority w:val="99"/>
    <w:semiHidden/>
    <w:rsid w:val="006B780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5">
    <w:name w:val="List Bullet 5"/>
    <w:basedOn w:val="Normal"/>
    <w:autoRedefine/>
    <w:uiPriority w:val="99"/>
    <w:unhideWhenUsed/>
    <w:rsid w:val="006B780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6B7801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qFormat/>
    <w:rsid w:val="006B780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6B780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6B780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6B780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6B7801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6B7801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6B780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6B780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qFormat/>
    <w:rsid w:val="006B780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6B780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6B780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6B780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6B780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6B780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6B780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6B7801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6B780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6B780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6B780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6B780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6B780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6B780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6B780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6B780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6B780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B780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6B780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6B780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6B78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B78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B78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B780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6B7801"/>
    <w:pPr>
      <w:spacing w:before="600" w:after="360"/>
    </w:pPr>
  </w:style>
  <w:style w:type="paragraph" w:customStyle="1" w:styleId="LetterSubject">
    <w:name w:val="LetterSubject"/>
    <w:basedOn w:val="Normal"/>
    <w:rsid w:val="006B780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6B7801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6B7801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6B7801"/>
    <w:rPr>
      <w:color w:val="262626"/>
      <w:sz w:val="24"/>
      <w:szCs w:val="24"/>
      <w:shd w:val="clear" w:color="auto" w:fill="FFFFFF"/>
      <w:lang w:val="ga-IE" w:bidi="en-GB"/>
    </w:rPr>
  </w:style>
  <w:style w:type="character" w:customStyle="1" w:styleId="Bodytext2">
    <w:name w:val="Body text (2)_"/>
    <w:link w:val="Bodytext20"/>
    <w:locked/>
    <w:rsid w:val="006B7801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B7801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6B7801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6B7801"/>
    <w:rPr>
      <w:rFonts w:ascii="Arial" w:hAnsi="Arial" w:cs="Arial"/>
      <w:b/>
      <w:sz w:val="24"/>
      <w:lang w:val="ga-IE"/>
    </w:rPr>
  </w:style>
  <w:style w:type="character" w:customStyle="1" w:styleId="Normal12Char">
    <w:name w:val="Normal12 Char"/>
    <w:basedOn w:val="PageHeadingChar"/>
    <w:link w:val="Normal12"/>
    <w:rsid w:val="006B7801"/>
    <w:rPr>
      <w:rFonts w:ascii="Arial" w:hAnsi="Arial" w:cs="Arial"/>
      <w:b w:val="0"/>
      <w:sz w:val="24"/>
      <w:lang w:val="ga-IE"/>
    </w:rPr>
  </w:style>
  <w:style w:type="paragraph" w:styleId="Footer">
    <w:name w:val="footer"/>
    <w:basedOn w:val="Normal"/>
    <w:link w:val="FooterChar"/>
    <w:uiPriority w:val="99"/>
    <w:rsid w:val="006B78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801"/>
    <w:rPr>
      <w:sz w:val="24"/>
      <w:lang w:val="ga-IE"/>
    </w:rPr>
  </w:style>
  <w:style w:type="numbering" w:customStyle="1" w:styleId="NoList1">
    <w:name w:val="No List1"/>
    <w:next w:val="NoList"/>
    <w:uiPriority w:val="99"/>
    <w:semiHidden/>
    <w:unhideWhenUsed/>
    <w:rsid w:val="006B7801"/>
  </w:style>
  <w:style w:type="character" w:customStyle="1" w:styleId="ApplicationdirecteChar">
    <w:name w:val="Application directe Char"/>
    <w:basedOn w:val="DefaultParagraphFont"/>
    <w:link w:val="Applicationdirecte"/>
    <w:uiPriority w:val="99"/>
    <w:semiHidden/>
    <w:rsid w:val="006B7801"/>
    <w:rPr>
      <w:rFonts w:eastAsia="Calibri"/>
      <w:sz w:val="24"/>
      <w:szCs w:val="22"/>
      <w:lang w:val="ga-IE" w:eastAsia="en-US"/>
    </w:rPr>
  </w:style>
  <w:style w:type="table" w:customStyle="1" w:styleId="TableGrid1">
    <w:name w:val="Table Grid1"/>
    <w:basedOn w:val="TableNormal"/>
    <w:next w:val="TableGrid"/>
    <w:uiPriority w:val="39"/>
    <w:rsid w:val="006B7801"/>
    <w:rPr>
      <w:lang w:val="ga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DocTypeTab">
    <w:name w:val="AmDocTypeTab"/>
    <w:basedOn w:val="Normal"/>
    <w:rsid w:val="009A32F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A32F7"/>
    <w:pPr>
      <w:spacing w:before="240" w:after="240"/>
      <w:jc w:val="right"/>
    </w:pPr>
  </w:style>
  <w:style w:type="paragraph" w:customStyle="1" w:styleId="AmDateTab">
    <w:name w:val="AmDateTab"/>
    <w:basedOn w:val="Normal"/>
    <w:rsid w:val="009A32F7"/>
    <w:pPr>
      <w:tabs>
        <w:tab w:val="right" w:pos="9072"/>
      </w:tabs>
    </w:pPr>
  </w:style>
  <w:style w:type="paragraph" w:customStyle="1" w:styleId="NormalJustified">
    <w:name w:val="Normal Justified"/>
    <w:basedOn w:val="Normal"/>
    <w:rsid w:val="009A32F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A32F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A32F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A32F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A32F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A32F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A32F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A32F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A32F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A32F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A32F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A32F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A32F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A32F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A32F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A32F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A32F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A32F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A32F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A32F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A32F7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A32F7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A32F7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A32F7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A32F7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A32F7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A32F7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A32F7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A32F7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A32F7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A32F7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A32F7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A32F7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A32F7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A32F7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A32F7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A32F7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A32F7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A32F7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A32F7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A32F7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9A32F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A32F7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A32F7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A32F7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A32F7"/>
    <w:pPr>
      <w:jc w:val="center"/>
    </w:pPr>
  </w:style>
  <w:style w:type="paragraph" w:customStyle="1" w:styleId="Jardin">
    <w:name w:val="Jardin"/>
    <w:basedOn w:val="Normal"/>
    <w:rsid w:val="009A32F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A32F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A32F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A32F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A32F7"/>
    <w:rPr>
      <w:b/>
    </w:rPr>
  </w:style>
  <w:style w:type="paragraph" w:customStyle="1" w:styleId="Annex">
    <w:name w:val="Annex"/>
    <w:basedOn w:val="Normal"/>
    <w:next w:val="Normal"/>
    <w:rsid w:val="009A32F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A32F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A32F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9A32F7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A32F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A32F7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9A32F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A32F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A32F7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A32F7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9A32F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A32F7"/>
    <w:rPr>
      <w:color w:val="808080"/>
    </w:rPr>
  </w:style>
  <w:style w:type="paragraph" w:customStyle="1" w:styleId="Referencelist1">
    <w:name w:val="Reference list1"/>
    <w:basedOn w:val="Normal"/>
    <w:next w:val="ListParagraph"/>
    <w:link w:val="ListParagraphChar"/>
    <w:uiPriority w:val="34"/>
    <w:qFormat/>
    <w:rsid w:val="009A32F7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9A32F7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Referencelist1"/>
    <w:uiPriority w:val="34"/>
    <w:qFormat/>
    <w:rsid w:val="009A32F7"/>
    <w:rPr>
      <w:rFonts w:ascii="Calibri" w:eastAsia="Calibri" w:hAnsi="Calibri" w:cs="Arial"/>
      <w:kern w:val="2"/>
      <w:sz w:val="22"/>
      <w:szCs w:val="22"/>
      <w:lang w:val="ga-IE" w:eastAsia="en-US"/>
      <w14:ligatures w14:val="standardContextual"/>
    </w:rPr>
  </w:style>
  <w:style w:type="paragraph" w:customStyle="1" w:styleId="EntText">
    <w:name w:val="EntText"/>
    <w:basedOn w:val="Normal"/>
    <w:rsid w:val="009A32F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9A32F7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9A32F7"/>
    <w:rPr>
      <w:rFonts w:ascii="Calibri" w:hAnsi="Calibri"/>
      <w:szCs w:val="21"/>
      <w:lang w:val="ga-IE"/>
    </w:rPr>
  </w:style>
  <w:style w:type="character" w:customStyle="1" w:styleId="cf01">
    <w:name w:val="cf01"/>
    <w:basedOn w:val="DefaultParagraphFont"/>
    <w:rsid w:val="009A32F7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9A32F7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A32F7"/>
    <w:rPr>
      <w:rFonts w:ascii="Cambria" w:hAnsi="Cambria"/>
      <w:spacing w:val="-10"/>
      <w:kern w:val="28"/>
      <w:sz w:val="56"/>
      <w:szCs w:val="56"/>
      <w:lang w:val="ga-IE"/>
    </w:rPr>
  </w:style>
  <w:style w:type="paragraph" w:customStyle="1" w:styleId="Tabletalkingpoints">
    <w:name w:val="Table talking points"/>
    <w:basedOn w:val="ListParagraph"/>
    <w:qFormat/>
    <w:rsid w:val="009A32F7"/>
    <w:pPr>
      <w:widowControl/>
      <w:tabs>
        <w:tab w:val="num" w:pos="1134"/>
      </w:tabs>
      <w:spacing w:before="120" w:after="120"/>
      <w:ind w:left="1134" w:hanging="567"/>
    </w:pPr>
    <w:rPr>
      <w:rFonts w:ascii="Arial" w:hAnsi="Arial" w:cs="Arial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9A32F7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9A32F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32F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9A32F7"/>
    <w:rPr>
      <w:color w:val="800080"/>
      <w:u w:val="single"/>
    </w:rPr>
  </w:style>
  <w:style w:type="paragraph" w:customStyle="1" w:styleId="Default">
    <w:name w:val="Default"/>
    <w:rsid w:val="009A32F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ga-IE" w:eastAsia="en-US"/>
    </w:rPr>
  </w:style>
  <w:style w:type="character" w:customStyle="1" w:styleId="Bodytext1">
    <w:name w:val="Body text|1_"/>
    <w:basedOn w:val="DefaultParagraphFont"/>
    <w:link w:val="Bodytext10"/>
    <w:locked/>
    <w:rsid w:val="009A32F7"/>
  </w:style>
  <w:style w:type="paragraph" w:customStyle="1" w:styleId="Bodytext10">
    <w:name w:val="Body text|1"/>
    <w:basedOn w:val="Normal"/>
    <w:link w:val="Bodytext1"/>
    <w:rsid w:val="009A32F7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9A32F7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9A32F7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9A32F7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9A32F7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9A32F7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2F7"/>
    <w:pPr>
      <w:ind w:left="720"/>
      <w:contextualSpacing/>
    </w:pPr>
  </w:style>
  <w:style w:type="paragraph" w:styleId="PlainText">
    <w:name w:val="Plain Text"/>
    <w:basedOn w:val="Normal"/>
    <w:link w:val="PlainTextChar1"/>
    <w:rsid w:val="009A32F7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9A32F7"/>
    <w:rPr>
      <w:rFonts w:ascii="Consolas" w:hAnsi="Consolas"/>
      <w:sz w:val="21"/>
      <w:szCs w:val="21"/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9A32F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9A32F7"/>
    <w:rPr>
      <w:rFonts w:asciiTheme="majorHAnsi" w:eastAsiaTheme="majorEastAsia" w:hAnsiTheme="majorHAnsi" w:cstheme="majorBidi"/>
      <w:spacing w:val="-10"/>
      <w:kern w:val="28"/>
      <w:sz w:val="56"/>
      <w:szCs w:val="56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EFFE5-17EB-45FD-8DC5-FE66CF85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2024-07-24T08:54:00Z</dcterms:created>
  <dcterms:modified xsi:type="dcterms:W3CDTF">2024-07-24T08:54:00Z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