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0EA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D0EA9" w:rsidRDefault="00632C61" w:rsidP="0010095E">
            <w:pPr>
              <w:pStyle w:val="EPName"/>
            </w:pPr>
            <w:r w:rsidRPr="003D0EA9">
              <w:t>Európsky parlament</w:t>
            </w:r>
          </w:p>
          <w:p w:rsidR="00751A4A" w:rsidRPr="003D0EA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0EA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D0EA9" w:rsidRDefault="00187494" w:rsidP="0010095E">
            <w:pPr>
              <w:pStyle w:val="EPLogo"/>
            </w:pPr>
            <w:r w:rsidRPr="003D0EA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D0EA9" w:rsidRDefault="00D058B8" w:rsidP="004C5D52">
      <w:pPr>
        <w:pStyle w:val="LineTop"/>
      </w:pPr>
    </w:p>
    <w:p w:rsidR="00680577" w:rsidRPr="003D0EA9" w:rsidRDefault="00632C61" w:rsidP="00680577">
      <w:pPr>
        <w:pStyle w:val="EPBodyTA1"/>
      </w:pPr>
      <w:r w:rsidRPr="003D0EA9">
        <w:t>PRIJATÉ TEXTY</w:t>
      </w:r>
    </w:p>
    <w:p w:rsidR="00D058B8" w:rsidRPr="003D0EA9" w:rsidRDefault="00D058B8" w:rsidP="00D058B8">
      <w:pPr>
        <w:pStyle w:val="LineBottom"/>
      </w:pPr>
    </w:p>
    <w:p w:rsidR="00632C61" w:rsidRPr="003D0EA9" w:rsidRDefault="00632C61" w:rsidP="00632C61">
      <w:pPr>
        <w:pStyle w:val="ATHeading1"/>
      </w:pPr>
      <w:bookmarkStart w:id="0" w:name="TANumber"/>
      <w:r w:rsidRPr="003D0EA9">
        <w:t>P9_TA(2024)0</w:t>
      </w:r>
      <w:r w:rsidR="003D0EA9" w:rsidRPr="003D0EA9">
        <w:t>282</w:t>
      </w:r>
      <w:bookmarkEnd w:id="0"/>
    </w:p>
    <w:p w:rsidR="00632C61" w:rsidRPr="003D0EA9" w:rsidRDefault="00632C61" w:rsidP="00632C61">
      <w:pPr>
        <w:pStyle w:val="ATHeading2"/>
      </w:pPr>
      <w:bookmarkStart w:id="1" w:name="title"/>
      <w:r w:rsidRPr="003D0EA9">
        <w:t>Vnútorný trh s obnoviteľnými plynmi a zemným plynom a vodíkom (prepracované znenie)</w:t>
      </w:r>
      <w:bookmarkEnd w:id="1"/>
    </w:p>
    <w:p w:rsidR="00632C61" w:rsidRPr="003D0EA9" w:rsidRDefault="00632C61" w:rsidP="00632C61">
      <w:pPr>
        <w:rPr>
          <w:i/>
          <w:vanish/>
        </w:rPr>
      </w:pPr>
      <w:r w:rsidRPr="003D0EA9">
        <w:rPr>
          <w:i/>
        </w:rPr>
        <w:fldChar w:fldCharType="begin"/>
      </w:r>
      <w:r w:rsidRPr="003D0EA9">
        <w:rPr>
          <w:i/>
        </w:rPr>
        <w:instrText xml:space="preserve"> TC"(</w:instrText>
      </w:r>
      <w:bookmarkStart w:id="2" w:name="DocNumber"/>
      <w:r w:rsidRPr="003D0EA9">
        <w:rPr>
          <w:i/>
        </w:rPr>
        <w:instrText>A9-0032/2023</w:instrText>
      </w:r>
      <w:bookmarkEnd w:id="2"/>
      <w:r w:rsidRPr="003D0EA9">
        <w:rPr>
          <w:i/>
        </w:rPr>
        <w:instrText xml:space="preserve"> - Spravodajca: Jerzy Buzek)"\l3 \n&gt; \* MERGEFORMAT </w:instrText>
      </w:r>
      <w:r w:rsidRPr="003D0EA9">
        <w:rPr>
          <w:i/>
        </w:rPr>
        <w:fldChar w:fldCharType="end"/>
      </w:r>
    </w:p>
    <w:p w:rsidR="00632C61" w:rsidRPr="003D0EA9" w:rsidRDefault="00632C61" w:rsidP="00632C61">
      <w:pPr>
        <w:rPr>
          <w:vanish/>
        </w:rPr>
      </w:pPr>
      <w:bookmarkStart w:id="3" w:name="Commission"/>
      <w:r w:rsidRPr="003D0EA9">
        <w:rPr>
          <w:vanish/>
        </w:rPr>
        <w:t>Výbor pre priemysel, výskum a energetiku</w:t>
      </w:r>
      <w:bookmarkEnd w:id="3"/>
    </w:p>
    <w:p w:rsidR="00632C61" w:rsidRPr="003D0EA9" w:rsidRDefault="00632C61" w:rsidP="00632C61">
      <w:pPr>
        <w:rPr>
          <w:vanish/>
        </w:rPr>
      </w:pPr>
      <w:bookmarkStart w:id="4" w:name="PE"/>
      <w:r w:rsidRPr="003D0EA9">
        <w:rPr>
          <w:vanish/>
        </w:rPr>
        <w:t>PE734.108</w:t>
      </w:r>
      <w:bookmarkEnd w:id="4"/>
    </w:p>
    <w:p w:rsidR="00632C61" w:rsidRPr="003D0EA9" w:rsidRDefault="00632C61" w:rsidP="00632C61">
      <w:pPr>
        <w:pStyle w:val="ATHeading3"/>
      </w:pPr>
      <w:bookmarkStart w:id="5" w:name="Sujet"/>
      <w:r w:rsidRPr="003D0EA9">
        <w:t>Legislatívne uznesenie Európskeho parlamentu z</w:t>
      </w:r>
      <w:r w:rsidR="006D1105" w:rsidRPr="003D0EA9">
        <w:t> 11</w:t>
      </w:r>
      <w:r w:rsidRPr="003D0EA9">
        <w:t>. apríla 2024 o návrhu nariadenia Európskeho parlamentu a Rady o vnútornom trhu s obnoviteľnými plynmi a zemným plynom a vodíkom (prepracované znenie)</w:t>
      </w:r>
      <w:bookmarkEnd w:id="5"/>
      <w:r w:rsidRPr="003D0EA9">
        <w:t xml:space="preserve"> </w:t>
      </w:r>
      <w:bookmarkStart w:id="6" w:name="References"/>
      <w:r w:rsidRPr="003D0EA9">
        <w:t>(COM(2021)0804 – C9-0470/2021 – 2021/0424(COD))</w:t>
      </w:r>
      <w:bookmarkEnd w:id="6"/>
    </w:p>
    <w:p w:rsidR="00115EC2" w:rsidRPr="003D0EA9" w:rsidRDefault="00115EC2" w:rsidP="00115EC2">
      <w:pPr>
        <w:pStyle w:val="NormalBold"/>
      </w:pPr>
      <w:bookmarkStart w:id="7" w:name="TextBodyBegin"/>
      <w:bookmarkEnd w:id="7"/>
      <w:r w:rsidRPr="003D0EA9">
        <w:t>(Riadny legislatívny postup – prepracovanie)</w:t>
      </w:r>
    </w:p>
    <w:p w:rsidR="00115EC2" w:rsidRPr="003D0EA9" w:rsidRDefault="00115EC2" w:rsidP="00115EC2">
      <w:pPr>
        <w:pStyle w:val="EPComma"/>
      </w:pPr>
      <w:r w:rsidRPr="003D0EA9">
        <w:rPr>
          <w:i/>
          <w:iCs/>
        </w:rPr>
        <w:t>Európsky parlament,</w:t>
      </w:r>
    </w:p>
    <w:p w:rsidR="00115EC2" w:rsidRPr="003D0EA9" w:rsidRDefault="00115EC2" w:rsidP="00115EC2">
      <w:pPr>
        <w:pStyle w:val="NormalHanging12a"/>
      </w:pPr>
      <w:r w:rsidRPr="003D0EA9">
        <w:t>–</w:t>
      </w:r>
      <w:r w:rsidRPr="003D0EA9">
        <w:tab/>
        <w:t>so zreteľom na návrh Komisie pre Európsky parlament a Radu (COM(2021)0804),</w:t>
      </w:r>
    </w:p>
    <w:p w:rsidR="00115EC2" w:rsidRPr="003D0EA9" w:rsidRDefault="00115EC2" w:rsidP="00115EC2">
      <w:pPr>
        <w:pStyle w:val="NormalHanging12a"/>
      </w:pPr>
      <w:r w:rsidRPr="003D0EA9">
        <w:t>–</w:t>
      </w:r>
      <w:r w:rsidRPr="003D0EA9">
        <w:tab/>
        <w:t>so zreteľom na článok 294 ods. 2 a článok 194 ods. 2 Zmluvy o fungovaní Európskej únie, v súlade s ktorými Komisia predložila návrh Európskemu parlamentu (C9</w:t>
      </w:r>
      <w:r w:rsidRPr="003D0EA9">
        <w:noBreakHyphen/>
        <w:t>0470/2021),</w:t>
      </w:r>
    </w:p>
    <w:p w:rsidR="00115EC2" w:rsidRPr="003D0EA9" w:rsidRDefault="00115EC2" w:rsidP="00115EC2">
      <w:pPr>
        <w:pStyle w:val="NormalHanging12a"/>
      </w:pPr>
      <w:r w:rsidRPr="003D0EA9">
        <w:t>–</w:t>
      </w:r>
      <w:r w:rsidRPr="003D0EA9">
        <w:tab/>
        <w:t>so zreteľom na článok 294 ods. 3 Zmluvy o fungovaní Európskej únie,</w:t>
      </w:r>
    </w:p>
    <w:p w:rsidR="00115EC2" w:rsidRPr="003D0EA9" w:rsidRDefault="00115EC2" w:rsidP="00115EC2">
      <w:pPr>
        <w:pStyle w:val="NormalHanging12a"/>
      </w:pPr>
      <w:r w:rsidRPr="003D0EA9">
        <w:t>–</w:t>
      </w:r>
      <w:r w:rsidRPr="003D0EA9">
        <w:tab/>
        <w:t>so zreteľom na odôvodnené stanoviská predložené na základe Protokolu č. 2 o uplatňovaní zásad subsidiarity a proporcionality českou Poslaneckou snemovňou a českým Senátom, ktoré tvrdia, že návrh legislatívneho aktu nie je v súlade so zásadou subsidiarity,</w:t>
      </w:r>
    </w:p>
    <w:p w:rsidR="00115EC2" w:rsidRPr="003D0EA9" w:rsidRDefault="00115EC2" w:rsidP="00115EC2">
      <w:pPr>
        <w:pStyle w:val="NormalHanging12a"/>
      </w:pPr>
      <w:r w:rsidRPr="003D0EA9">
        <w:t>–</w:t>
      </w:r>
      <w:r w:rsidRPr="003D0EA9">
        <w:tab/>
        <w:t>so zreteľom na stanovisko Európskeho hospodárskeho a sociálneho výboru z 19. mája 2022</w:t>
      </w:r>
      <w:r w:rsidRPr="003D0EA9">
        <w:rPr>
          <w:rStyle w:val="FootnoteReference"/>
        </w:rPr>
        <w:footnoteReference w:id="1"/>
      </w:r>
      <w:r w:rsidRPr="003D0EA9">
        <w:t>,</w:t>
      </w:r>
    </w:p>
    <w:p w:rsidR="00115EC2" w:rsidRPr="003D0EA9" w:rsidRDefault="00115EC2" w:rsidP="00115EC2">
      <w:pPr>
        <w:pStyle w:val="NormalHanging12a"/>
      </w:pPr>
      <w:r w:rsidRPr="003D0EA9">
        <w:t>–</w:t>
      </w:r>
      <w:r w:rsidRPr="003D0EA9">
        <w:tab/>
        <w:t>zo zreteľom na stanovisko Výboru regiónov z </w:t>
      </w:r>
      <w:r w:rsidR="006D1105" w:rsidRPr="003D0EA9">
        <w:t>12</w:t>
      </w:r>
      <w:r w:rsidRPr="003D0EA9">
        <w:t>. októbra 2022</w:t>
      </w:r>
      <w:r w:rsidRPr="003D0EA9">
        <w:rPr>
          <w:rStyle w:val="FootnoteReference"/>
        </w:rPr>
        <w:footnoteReference w:id="2"/>
      </w:r>
      <w:r w:rsidRPr="003D0EA9">
        <w:t>,</w:t>
      </w:r>
    </w:p>
    <w:p w:rsidR="00115EC2" w:rsidRPr="003D0EA9" w:rsidRDefault="00115EC2" w:rsidP="00115EC2">
      <w:pPr>
        <w:pStyle w:val="NormalHanging12a"/>
      </w:pPr>
      <w:r w:rsidRPr="003D0EA9">
        <w:t>–</w:t>
      </w:r>
      <w:r w:rsidRPr="003D0EA9">
        <w:tab/>
        <w:t>so zreteľom na Medziinštitucionálnu dohodu z 28. novembra 2001 o systematickejšom používaní techniky prepracovania právnych aktov</w:t>
      </w:r>
      <w:r w:rsidRPr="003D0EA9">
        <w:rPr>
          <w:rStyle w:val="FootnoteReference"/>
        </w:rPr>
        <w:footnoteReference w:id="3"/>
      </w:r>
      <w:r w:rsidRPr="003D0EA9">
        <w:t>,</w:t>
      </w:r>
    </w:p>
    <w:p w:rsidR="00115EC2" w:rsidRPr="003D0EA9" w:rsidRDefault="00115EC2" w:rsidP="00115EC2">
      <w:pPr>
        <w:pStyle w:val="NormalHanging12a"/>
      </w:pPr>
      <w:r w:rsidRPr="003D0EA9">
        <w:t>–</w:t>
      </w:r>
      <w:r w:rsidRPr="003D0EA9">
        <w:tab/>
        <w:t>so zreteľom na list Výboru pre právne veci z 2. februára 2023 adresovaný Výboru pre priemysel, výskum a energetiku v súlade s článkom 110 ods. 3 rokovacieho poriadku,</w:t>
      </w:r>
    </w:p>
    <w:p w:rsidR="006D1105" w:rsidRPr="003D0EA9" w:rsidRDefault="006D1105" w:rsidP="00115EC2">
      <w:pPr>
        <w:pStyle w:val="NormalHanging12a"/>
      </w:pPr>
      <w:r w:rsidRPr="003D0EA9">
        <w:t>–</w:t>
      </w:r>
      <w:r w:rsidRPr="003D0EA9">
        <w:tab/>
        <w:t xml:space="preserve">so zreteľom na predbežnú dohodu schválenú gestorským výborom podľa článku 74 ods. 4 rokovacieho poriadku, a na záväzok zástupcu Rady, vyjadrený v liste z 20. decembra </w:t>
      </w:r>
      <w:r w:rsidRPr="003D0EA9">
        <w:lastRenderedPageBreak/>
        <w:t>2023, schváliť pozíciu Európskeho parlamentu v súlade s článkom 294 ods. 4 Zmluvy o fungovaní Európskej únie,</w:t>
      </w:r>
    </w:p>
    <w:p w:rsidR="00115EC2" w:rsidRPr="003D0EA9" w:rsidRDefault="00115EC2" w:rsidP="00115EC2">
      <w:pPr>
        <w:pStyle w:val="NormalHanging12a"/>
      </w:pPr>
      <w:r w:rsidRPr="003D0EA9">
        <w:t>–</w:t>
      </w:r>
      <w:r w:rsidRPr="003D0EA9">
        <w:tab/>
        <w:t>so zreteľom na články 110 a 59 rokovacieho poriadku,</w:t>
      </w:r>
    </w:p>
    <w:p w:rsidR="00115EC2" w:rsidRPr="003D0EA9" w:rsidRDefault="00115EC2" w:rsidP="00115EC2">
      <w:pPr>
        <w:pStyle w:val="NormalHanging12a"/>
      </w:pPr>
      <w:r w:rsidRPr="003D0EA9">
        <w:t>–</w:t>
      </w:r>
      <w:r w:rsidRPr="003D0EA9">
        <w:tab/>
        <w:t>so zreteľom na stanovisko Výboru pre poľnohospodárstvo a rozvoj vidieka,</w:t>
      </w:r>
    </w:p>
    <w:p w:rsidR="00115EC2" w:rsidRPr="003D0EA9" w:rsidRDefault="00115EC2" w:rsidP="00115EC2">
      <w:pPr>
        <w:pStyle w:val="NormalHanging12a"/>
      </w:pPr>
      <w:r w:rsidRPr="003D0EA9">
        <w:t>–</w:t>
      </w:r>
      <w:r w:rsidRPr="003D0EA9">
        <w:tab/>
        <w:t>so zreteľom na správu Výboru pre priemysel, výskum a energetiku (A9-0032/2023),</w:t>
      </w:r>
    </w:p>
    <w:p w:rsidR="00115EC2" w:rsidRPr="003D0EA9" w:rsidRDefault="00115EC2" w:rsidP="00115EC2">
      <w:pPr>
        <w:pStyle w:val="NormalHanging12a"/>
      </w:pPr>
      <w:r w:rsidRPr="003D0EA9">
        <w:t>A.</w:t>
      </w:r>
      <w:r w:rsidRPr="003D0EA9">
        <w:tab/>
        <w:t>keďže podľa stanoviska konzultačnej pracovnej skupiny právnych služieb Európskeho parlamentu, Rady a Komisie predmetný návrh neobsahuje žiadne zásadné zmeny okrem tých, ktoré sú ako také označené v návrhu, a keďže, pokiaľ ide o kodifikáciu nezmenených ustanovení skorších aktov spolu s uvedenými zmenami, predmetom návrhu je iba jasná a jednoduchá kodifikácia platných aktov bez zmeny ich podstaty,</w:t>
      </w:r>
    </w:p>
    <w:p w:rsidR="00115EC2" w:rsidRPr="003D0EA9" w:rsidRDefault="00115EC2" w:rsidP="00115EC2">
      <w:pPr>
        <w:pStyle w:val="NormalHanging12a"/>
      </w:pPr>
      <w:r w:rsidRPr="003D0EA9">
        <w:t>1.</w:t>
      </w:r>
      <w:r w:rsidRPr="003D0EA9">
        <w:tab/>
        <w:t>prijíma nasledujúcu pozíciu v prvom čítaní, pričom berie do úvahy odporúčania konzultačnej pracovnej skupiny právnych služieb Európskeho parlamentu, Rady a Komisie;</w:t>
      </w:r>
    </w:p>
    <w:p w:rsidR="00115EC2" w:rsidRPr="003D0EA9" w:rsidRDefault="001C539F" w:rsidP="00115EC2">
      <w:pPr>
        <w:pStyle w:val="NormalHanging12a"/>
      </w:pPr>
      <w:r w:rsidRPr="003D0EA9">
        <w:t>2</w:t>
      </w:r>
      <w:r w:rsidR="00115EC2" w:rsidRPr="003D0EA9">
        <w:t>.</w:t>
      </w:r>
      <w:r w:rsidR="00115EC2" w:rsidRPr="003D0EA9">
        <w:tab/>
        <w:t>žiada Komisiu, aby mu vec znovu predložila, ak nahrádza, podstatne mení alebo má v úmysle podstatne zmeniť svoj návrh;</w:t>
      </w:r>
    </w:p>
    <w:p w:rsidR="00746C85" w:rsidRPr="003D0EA9" w:rsidRDefault="001C539F" w:rsidP="00115EC2">
      <w:pPr>
        <w:pStyle w:val="NormalHanging12a"/>
      </w:pPr>
      <w:r w:rsidRPr="003D0EA9">
        <w:t>3</w:t>
      </w:r>
      <w:r w:rsidR="00115EC2" w:rsidRPr="003D0EA9">
        <w:t>.</w:t>
      </w:r>
      <w:r w:rsidR="00115EC2" w:rsidRPr="003D0EA9">
        <w:tab/>
        <w:t>poveruje svoju predsedníčku, aby postúpila túto pozíciu Rade, Komisii a národným parlamentom.</w:t>
      </w:r>
    </w:p>
    <w:p w:rsidR="00746C85" w:rsidRPr="003D0EA9" w:rsidRDefault="00746C85" w:rsidP="00115EC2">
      <w:pPr>
        <w:pStyle w:val="NormalHanging12a"/>
        <w:sectPr w:rsidR="00746C85" w:rsidRPr="003D0EA9" w:rsidSect="00C6220D">
          <w:footerReference w:type="even" r:id="rId9"/>
          <w:footerReference w:type="first" r:id="rId10"/>
          <w:footnotePr>
            <w:numRestart w:val="eachPage"/>
          </w:footnotePr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:rsidR="00746C85" w:rsidRPr="003D0EA9" w:rsidRDefault="00746C85" w:rsidP="00746C85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3D0EA9">
        <w:rPr>
          <w:b/>
        </w:rPr>
        <w:lastRenderedPageBreak/>
        <w:t>P9_TC1-COD(2021)0424</w:t>
      </w:r>
    </w:p>
    <w:p w:rsidR="000851DC" w:rsidRDefault="00746C85" w:rsidP="000851DC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3D0EA9">
        <w:rPr>
          <w:b/>
        </w:rPr>
        <w:t xml:space="preserve">Pozícia Európskeho parlamentu prijatá v prvom čítaní </w:t>
      </w:r>
      <w:r w:rsidR="000851DC" w:rsidRPr="003D0EA9">
        <w:rPr>
          <w:b/>
        </w:rPr>
        <w:t>11</w:t>
      </w:r>
      <w:r w:rsidRPr="003D0EA9">
        <w:rPr>
          <w:b/>
        </w:rPr>
        <w:t xml:space="preserve">. apríla 2024 na účely prijatia nariadenia Európskeho parlamentu a Rady (EÚ) 2024/... </w:t>
      </w:r>
      <w:r w:rsidR="000851DC" w:rsidRPr="003D0EA9">
        <w:rPr>
          <w:rFonts w:eastAsia="Calibri"/>
          <w:b/>
          <w:szCs w:val="22"/>
          <w:lang w:eastAsia="en-US"/>
        </w:rPr>
        <w:t xml:space="preserve">o vnútornom trhu s obnoviteľným </w:t>
      </w:r>
      <w:r w:rsidR="000851DC" w:rsidRPr="008F2285">
        <w:rPr>
          <w:rFonts w:eastAsia="Calibri"/>
          <w:b/>
          <w:szCs w:val="22"/>
          <w:lang w:eastAsia="en-US"/>
        </w:rPr>
        <w:t xml:space="preserve">plynom, zemným plynom a vodíkom, </w:t>
      </w:r>
      <w:r w:rsidR="000851DC" w:rsidRPr="008F2285">
        <w:rPr>
          <w:rFonts w:eastAsia="Calibri"/>
          <w:b/>
          <w:iCs/>
          <w:szCs w:val="22"/>
          <w:lang w:eastAsia="en-US"/>
        </w:rPr>
        <w:t>ktorým sa menia nariadenia (EÚ) č. 1227/2011, (EÚ) 2017/1938, (EÚ) 2019/942 a (EÚ) 2022/869 a rozhodnutie (EÚ) 2017/684 a ktorým sa zrušuje nariadenie (ES) č. 715/2009</w:t>
      </w:r>
      <w:r w:rsidR="000851DC" w:rsidRPr="003D0EA9">
        <w:rPr>
          <w:rFonts w:eastAsia="Calibri"/>
          <w:b/>
          <w:szCs w:val="22"/>
          <w:lang w:eastAsia="en-US"/>
        </w:rPr>
        <w:t xml:space="preserve"> (prepracované znenie)</w:t>
      </w:r>
    </w:p>
    <w:p w:rsidR="008F2285" w:rsidRDefault="008F2285" w:rsidP="008F2285">
      <w:r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 w:rsidRPr="008F2285">
        <w:rPr>
          <w:i/>
          <w:iCs/>
        </w:rPr>
        <w:t xml:space="preserve">nariadeniu </w:t>
      </w:r>
      <w:r>
        <w:rPr>
          <w:i/>
          <w:iCs/>
        </w:rPr>
        <w:t>(EÚ) 2024/1789</w:t>
      </w:r>
      <w:bookmarkStart w:id="8" w:name="_GoBack"/>
      <w:bookmarkEnd w:id="8"/>
      <w:r w:rsidRPr="008F2285">
        <w:rPr>
          <w:i/>
          <w:iCs/>
        </w:rPr>
        <w:t>.)</w:t>
      </w:r>
    </w:p>
    <w:p w:rsidR="008F2285" w:rsidRPr="003D0EA9" w:rsidRDefault="008F2285" w:rsidP="000851DC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</w:p>
    <w:sectPr w:rsidR="008F2285" w:rsidRPr="003D0EA9" w:rsidSect="008F22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C61" w:rsidRPr="00C6220D" w:rsidRDefault="00632C61">
      <w:r w:rsidRPr="00C6220D">
        <w:separator/>
      </w:r>
    </w:p>
  </w:endnote>
  <w:endnote w:type="continuationSeparator" w:id="0">
    <w:p w:rsidR="00632C61" w:rsidRPr="00C6220D" w:rsidRDefault="00632C61">
      <w:r w:rsidRPr="00C622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EC2" w:rsidRPr="00C6220D" w:rsidRDefault="00115EC2" w:rsidP="00EF37EF">
    <w:pPr>
      <w:pStyle w:val="EPFooter"/>
    </w:pPr>
    <w:r w:rsidRPr="00C6220D">
      <w:t>PE</w:t>
    </w:r>
    <w:r w:rsidRPr="00C6220D">
      <w:rPr>
        <w:rStyle w:val="HideTWBExt"/>
      </w:rPr>
      <w:t>&lt;NoPE&gt;</w:t>
    </w:r>
    <w:r w:rsidRPr="00C6220D">
      <w:t>734.108</w:t>
    </w:r>
    <w:r w:rsidRPr="00C6220D">
      <w:rPr>
        <w:rStyle w:val="HideTWBExt"/>
      </w:rPr>
      <w:t>&lt;/NoPE&gt;&lt;Version&gt;</w:t>
    </w:r>
    <w:r w:rsidRPr="00C6220D">
      <w:t>v02-00</w:t>
    </w:r>
    <w:r w:rsidRPr="00C6220D">
      <w:rPr>
        <w:rStyle w:val="HideTWBExt"/>
      </w:rPr>
      <w:t>&lt;/Version&gt;</w:t>
    </w:r>
    <w:r w:rsidRPr="00C6220D">
      <w:tab/>
    </w:r>
    <w:r w:rsidRPr="00C6220D">
      <w:fldChar w:fldCharType="begin"/>
    </w:r>
    <w:r w:rsidRPr="00C6220D">
      <w:instrText xml:space="preserve"> PAGE  \* MERGEFORMAT </w:instrText>
    </w:r>
    <w:r w:rsidRPr="00C6220D">
      <w:fldChar w:fldCharType="separate"/>
    </w:r>
    <w:r w:rsidR="00C6220D" w:rsidRPr="00C6220D">
      <w:rPr>
        <w:noProof/>
      </w:rPr>
      <w:t>2</w:t>
    </w:r>
    <w:r w:rsidRPr="00C6220D">
      <w:fldChar w:fldCharType="end"/>
    </w:r>
    <w:r w:rsidRPr="00C6220D">
      <w:t>/</w:t>
    </w:r>
    <w:fldSimple w:instr=" NUMPAGES  \* MERGEFORMAT ">
      <w:r w:rsidR="00C6220D" w:rsidRPr="00C6220D">
        <w:rPr>
          <w:noProof/>
        </w:rPr>
        <w:t>182</w:t>
      </w:r>
    </w:fldSimple>
    <w:r w:rsidRPr="00C6220D">
      <w:tab/>
    </w:r>
    <w:r w:rsidRPr="00C6220D">
      <w:rPr>
        <w:rStyle w:val="HideTWBExt"/>
      </w:rPr>
      <w:t>&lt;PathFdR&gt;</w:t>
    </w:r>
    <w:r w:rsidRPr="00C6220D">
      <w:t>RR\1273002SK.docx</w:t>
    </w:r>
    <w:r w:rsidRPr="00C6220D">
      <w:rPr>
        <w:rStyle w:val="HideTWBExt"/>
      </w:rPr>
      <w:t>&lt;/PathFdR&gt;</w:t>
    </w:r>
  </w:p>
  <w:p w:rsidR="00115EC2" w:rsidRPr="00C6220D" w:rsidRDefault="00115EC2" w:rsidP="00EF37EF">
    <w:pPr>
      <w:pStyle w:val="EPFooter2"/>
    </w:pPr>
    <w:r w:rsidRPr="00C6220D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EC2" w:rsidRPr="00C6220D" w:rsidRDefault="00115EC2" w:rsidP="00EF37EF">
    <w:pPr>
      <w:pStyle w:val="EPFooter"/>
    </w:pPr>
    <w:r w:rsidRPr="00C6220D">
      <w:rPr>
        <w:rStyle w:val="HideTWBExt"/>
      </w:rPr>
      <w:t>&lt;PathFdR&gt;</w:t>
    </w:r>
    <w:r w:rsidRPr="00C6220D">
      <w:t>RR\1273002SK.docx</w:t>
    </w:r>
    <w:r w:rsidRPr="00C6220D">
      <w:rPr>
        <w:rStyle w:val="HideTWBExt"/>
      </w:rPr>
      <w:t>&lt;/PathFdR&gt;</w:t>
    </w:r>
    <w:r w:rsidRPr="00C6220D">
      <w:tab/>
    </w:r>
    <w:r w:rsidRPr="00C6220D">
      <w:tab/>
      <w:t>PE</w:t>
    </w:r>
    <w:r w:rsidRPr="00C6220D">
      <w:rPr>
        <w:rStyle w:val="HideTWBExt"/>
      </w:rPr>
      <w:t>&lt;NoPE&gt;</w:t>
    </w:r>
    <w:r w:rsidRPr="00C6220D">
      <w:t>734.108</w:t>
    </w:r>
    <w:r w:rsidRPr="00C6220D">
      <w:rPr>
        <w:rStyle w:val="HideTWBExt"/>
      </w:rPr>
      <w:t>&lt;/NoPE&gt;&lt;Version&gt;</w:t>
    </w:r>
    <w:r w:rsidRPr="00C6220D">
      <w:t>v02-00</w:t>
    </w:r>
    <w:r w:rsidRPr="00C6220D">
      <w:rPr>
        <w:rStyle w:val="HideTWBExt"/>
      </w:rPr>
      <w:t>&lt;/Version&gt;</w:t>
    </w:r>
  </w:p>
  <w:p w:rsidR="00115EC2" w:rsidRPr="00C6220D" w:rsidRDefault="00115EC2" w:rsidP="00EF37EF">
    <w:pPr>
      <w:pStyle w:val="EPFooter2"/>
    </w:pPr>
    <w:r w:rsidRPr="00C6220D">
      <w:t>SK</w:t>
    </w:r>
    <w:r w:rsidRPr="00C6220D">
      <w:tab/>
    </w:r>
    <w:r w:rsidRPr="00C6220D">
      <w:rPr>
        <w:b w:val="0"/>
        <w:i/>
        <w:color w:val="C0C0C0"/>
        <w:sz w:val="22"/>
      </w:rPr>
      <w:t>Zjednotení v rozmanitosti</w:t>
    </w:r>
    <w:r w:rsidRPr="00C6220D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220D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220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220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C61" w:rsidRPr="00C6220D" w:rsidRDefault="00632C61">
      <w:r w:rsidRPr="00C6220D">
        <w:separator/>
      </w:r>
    </w:p>
  </w:footnote>
  <w:footnote w:type="continuationSeparator" w:id="0">
    <w:p w:rsidR="00632C61" w:rsidRPr="00C6220D" w:rsidRDefault="00632C61">
      <w:r w:rsidRPr="00C6220D">
        <w:continuationSeparator/>
      </w:r>
    </w:p>
  </w:footnote>
  <w:footnote w:id="1">
    <w:p w:rsidR="00115EC2" w:rsidRPr="000851DC" w:rsidRDefault="00115EC2" w:rsidP="00C6220D">
      <w:pPr>
        <w:pStyle w:val="FootnoteText"/>
        <w:ind w:left="567" w:hanging="567"/>
        <w:rPr>
          <w:sz w:val="24"/>
          <w:szCs w:val="24"/>
          <w:lang w:val="sk-SK"/>
        </w:rPr>
      </w:pPr>
      <w:r w:rsidRPr="000851DC">
        <w:rPr>
          <w:rStyle w:val="FootnoteReference"/>
          <w:sz w:val="24"/>
          <w:szCs w:val="24"/>
          <w:lang w:val="sk-SK"/>
        </w:rPr>
        <w:footnoteRef/>
      </w:r>
      <w:r w:rsidR="00C6220D" w:rsidRPr="000851DC">
        <w:rPr>
          <w:sz w:val="24"/>
          <w:lang w:val="sk-SK"/>
        </w:rPr>
        <w:t xml:space="preserve"> </w:t>
      </w:r>
      <w:r w:rsidR="00C6220D" w:rsidRPr="000851DC">
        <w:rPr>
          <w:sz w:val="24"/>
          <w:lang w:val="sk-SK"/>
        </w:rPr>
        <w:tab/>
      </w:r>
      <w:r w:rsidRPr="000851DC">
        <w:rPr>
          <w:sz w:val="24"/>
          <w:lang w:val="sk-SK"/>
        </w:rPr>
        <w:t xml:space="preserve">Ú. v. EÚ C 323, 26.8.2022, s. 101. </w:t>
      </w:r>
    </w:p>
  </w:footnote>
  <w:footnote w:id="2">
    <w:p w:rsidR="00115EC2" w:rsidRPr="000851DC" w:rsidRDefault="00115EC2" w:rsidP="00C6220D">
      <w:pPr>
        <w:pStyle w:val="FootnoteText"/>
        <w:ind w:left="567" w:hanging="567"/>
        <w:rPr>
          <w:sz w:val="24"/>
          <w:szCs w:val="24"/>
          <w:lang w:val="sk-SK"/>
        </w:rPr>
      </w:pPr>
      <w:r w:rsidRPr="000851DC">
        <w:rPr>
          <w:rStyle w:val="FootnoteReference"/>
          <w:sz w:val="24"/>
          <w:szCs w:val="24"/>
          <w:lang w:val="sk-SK"/>
        </w:rPr>
        <w:footnoteRef/>
      </w:r>
      <w:r w:rsidR="00C6220D" w:rsidRPr="000851DC">
        <w:rPr>
          <w:sz w:val="24"/>
          <w:lang w:val="sk-SK"/>
        </w:rPr>
        <w:t xml:space="preserve"> </w:t>
      </w:r>
      <w:r w:rsidR="00C6220D" w:rsidRPr="000851DC">
        <w:rPr>
          <w:sz w:val="24"/>
          <w:lang w:val="sk-SK"/>
        </w:rPr>
        <w:tab/>
      </w:r>
      <w:r w:rsidRPr="000851DC">
        <w:rPr>
          <w:sz w:val="24"/>
          <w:lang w:val="sk-SK"/>
        </w:rPr>
        <w:t>Ú. v. EÚ C 498, 30.12.2022, s. 83.</w:t>
      </w:r>
    </w:p>
  </w:footnote>
  <w:footnote w:id="3">
    <w:p w:rsidR="00115EC2" w:rsidRPr="000851DC" w:rsidRDefault="00115EC2" w:rsidP="00C6220D">
      <w:pPr>
        <w:pStyle w:val="FootnoteText"/>
        <w:ind w:left="567" w:hanging="567"/>
        <w:rPr>
          <w:sz w:val="24"/>
          <w:szCs w:val="24"/>
          <w:lang w:val="sk-SK"/>
        </w:rPr>
      </w:pPr>
      <w:r w:rsidRPr="000851DC">
        <w:rPr>
          <w:rStyle w:val="FootnoteReference"/>
          <w:sz w:val="24"/>
          <w:szCs w:val="24"/>
          <w:lang w:val="sk-SK"/>
        </w:rPr>
        <w:footnoteRef/>
      </w:r>
      <w:r w:rsidR="00C6220D" w:rsidRPr="000851DC">
        <w:rPr>
          <w:sz w:val="24"/>
          <w:lang w:val="sk-SK"/>
        </w:rPr>
        <w:t xml:space="preserve"> </w:t>
      </w:r>
      <w:r w:rsidR="00C6220D" w:rsidRPr="000851DC">
        <w:rPr>
          <w:sz w:val="24"/>
          <w:lang w:val="sk-SK"/>
        </w:rPr>
        <w:tab/>
      </w:r>
      <w:r w:rsidRPr="000851DC">
        <w:rPr>
          <w:sz w:val="24"/>
          <w:lang w:val="sk-SK"/>
        </w:rPr>
        <w:t>Ú. v. ES C 77, 28.3.2002,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220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220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220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0C0A1BC2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Point123"/>
      <w:lvlText w:val="%2."/>
      <w:lvlJc w:val="left"/>
      <w:pPr>
        <w:tabs>
          <w:tab w:val="num" w:pos="567"/>
        </w:tabs>
        <w:ind w:left="567" w:hanging="567"/>
      </w:pPr>
      <w:rPr>
        <w:rFonts w:ascii="Times New Roman" w:eastAsiaTheme="minorHAnsi" w:hAnsi="Times New Roman" w:cs="Times New Roman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Point1231"/>
      <w:lvlText w:val="%4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Letter"/>
      <w:pStyle w:val="Point1232"/>
      <w:lvlText w:val="%6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lowerLetter"/>
      <w:pStyle w:val="Point1233"/>
      <w:lvlText w:val="%8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6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1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5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6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7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8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0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2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0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18"/>
  </w:num>
  <w:num w:numId="3">
    <w:abstractNumId w:val="0"/>
  </w:num>
  <w:num w:numId="4">
    <w:abstractNumId w:val="16"/>
  </w:num>
  <w:num w:numId="5">
    <w:abstractNumId w:val="25"/>
  </w:num>
  <w:num w:numId="6">
    <w:abstractNumId w:val="24"/>
  </w:num>
  <w:num w:numId="7">
    <w:abstractNumId w:val="5"/>
  </w:num>
  <w:num w:numId="8">
    <w:abstractNumId w:val="17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19"/>
  </w:num>
  <w:num w:numId="12">
    <w:abstractNumId w:val="36"/>
  </w:num>
  <w:num w:numId="13">
    <w:abstractNumId w:val="15"/>
  </w:num>
  <w:num w:numId="14">
    <w:abstractNumId w:val="20"/>
  </w:num>
  <w:num w:numId="15">
    <w:abstractNumId w:val="21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29"/>
  </w:num>
  <w:num w:numId="20">
    <w:abstractNumId w:val="30"/>
  </w:num>
  <w:num w:numId="21">
    <w:abstractNumId w:val="14"/>
  </w:num>
  <w:num w:numId="22">
    <w:abstractNumId w:val="26"/>
  </w:num>
  <w:num w:numId="23">
    <w:abstractNumId w:val="45"/>
    <w:lvlOverride w:ilvl="0">
      <w:startOverride w:val="1"/>
    </w:lvlOverride>
  </w:num>
  <w:num w:numId="24">
    <w:abstractNumId w:val="38"/>
  </w:num>
  <w:num w:numId="25">
    <w:abstractNumId w:val="2"/>
  </w:num>
  <w:num w:numId="26">
    <w:abstractNumId w:val="39"/>
  </w:num>
  <w:num w:numId="27">
    <w:abstractNumId w:val="32"/>
  </w:num>
  <w:num w:numId="28">
    <w:abstractNumId w:val="4"/>
  </w:num>
  <w:num w:numId="29">
    <w:abstractNumId w:val="42"/>
  </w:num>
  <w:num w:numId="30">
    <w:abstractNumId w:val="44"/>
  </w:num>
  <w:num w:numId="31">
    <w:abstractNumId w:val="27"/>
  </w:num>
  <w:num w:numId="32">
    <w:abstractNumId w:val="41"/>
  </w:num>
  <w:num w:numId="33">
    <w:abstractNumId w:val="35"/>
  </w:num>
  <w:num w:numId="34">
    <w:abstractNumId w:val="22"/>
  </w:num>
  <w:num w:numId="35">
    <w:abstractNumId w:val="10"/>
  </w:num>
  <w:num w:numId="36">
    <w:abstractNumId w:val="8"/>
  </w:num>
  <w:num w:numId="37">
    <w:abstractNumId w:val="37"/>
  </w:num>
  <w:num w:numId="38">
    <w:abstractNumId w:val="43"/>
  </w:num>
  <w:num w:numId="39">
    <w:abstractNumId w:val="1"/>
  </w:num>
  <w:num w:numId="40">
    <w:abstractNumId w:val="12"/>
  </w:num>
  <w:num w:numId="41">
    <w:abstractNumId w:val="7"/>
  </w:num>
  <w:num w:numId="42">
    <w:abstractNumId w:val="13"/>
  </w:num>
  <w:num w:numId="43">
    <w:abstractNumId w:val="28"/>
  </w:num>
  <w:num w:numId="44">
    <w:abstractNumId w:val="33"/>
  </w:num>
  <w:num w:numId="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1"/>
  </w:num>
  <w:num w:numId="47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2/2023"/>
    <w:docVar w:name="dvlangue" w:val="SK"/>
    <w:docVar w:name="dvnumam" w:val="0"/>
    <w:docVar w:name="dvpe" w:val="734.108"/>
    <w:docVar w:name="dvrapporteur" w:val="Spravodajca: "/>
    <w:docVar w:name="dvstar" w:val="***I"/>
    <w:docVar w:name="dvtitre" w:val="Legislatívne uznesenie Európskeho parlamentu z xx. apríla 2024 o návrhu nariadenia Európskeho parlamentu a Rady o vnútornom trhu s obnoviteľnými plynmi a zemným plynom a vodíkom (prepracované znenie)(COM(2021)0804 – C9-0470/2021 – 2021/0424(COD))"/>
  </w:docVars>
  <w:rsids>
    <w:rsidRoot w:val="00632C61"/>
    <w:rsid w:val="00002272"/>
    <w:rsid w:val="00064002"/>
    <w:rsid w:val="00065EA7"/>
    <w:rsid w:val="000677B9"/>
    <w:rsid w:val="000831BA"/>
    <w:rsid w:val="000851DC"/>
    <w:rsid w:val="000A42CC"/>
    <w:rsid w:val="000E7DD9"/>
    <w:rsid w:val="0010095E"/>
    <w:rsid w:val="00115EC2"/>
    <w:rsid w:val="00125B37"/>
    <w:rsid w:val="001816D8"/>
    <w:rsid w:val="00187494"/>
    <w:rsid w:val="001C539F"/>
    <w:rsid w:val="001E65D9"/>
    <w:rsid w:val="001F32AE"/>
    <w:rsid w:val="002767FF"/>
    <w:rsid w:val="002B18FE"/>
    <w:rsid w:val="002B5493"/>
    <w:rsid w:val="00343214"/>
    <w:rsid w:val="00361C00"/>
    <w:rsid w:val="00363E9C"/>
    <w:rsid w:val="00395FA1"/>
    <w:rsid w:val="003D0EA9"/>
    <w:rsid w:val="003D5DE3"/>
    <w:rsid w:val="003E15D4"/>
    <w:rsid w:val="00411CCE"/>
    <w:rsid w:val="0041666E"/>
    <w:rsid w:val="00421060"/>
    <w:rsid w:val="00471C19"/>
    <w:rsid w:val="004720CD"/>
    <w:rsid w:val="004867E3"/>
    <w:rsid w:val="00494A28"/>
    <w:rsid w:val="004C0004"/>
    <w:rsid w:val="004C5D52"/>
    <w:rsid w:val="004D2251"/>
    <w:rsid w:val="0050519A"/>
    <w:rsid w:val="005072A1"/>
    <w:rsid w:val="00514517"/>
    <w:rsid w:val="0053273C"/>
    <w:rsid w:val="00545827"/>
    <w:rsid w:val="00560270"/>
    <w:rsid w:val="005C2568"/>
    <w:rsid w:val="006037C0"/>
    <w:rsid w:val="00632C61"/>
    <w:rsid w:val="006631B6"/>
    <w:rsid w:val="00680577"/>
    <w:rsid w:val="006D1105"/>
    <w:rsid w:val="006F74FA"/>
    <w:rsid w:val="00731ADD"/>
    <w:rsid w:val="00734777"/>
    <w:rsid w:val="00746C85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03A0"/>
    <w:rsid w:val="00881A7B"/>
    <w:rsid w:val="008840E5"/>
    <w:rsid w:val="00887B3E"/>
    <w:rsid w:val="008C2AC6"/>
    <w:rsid w:val="008F2285"/>
    <w:rsid w:val="00930C23"/>
    <w:rsid w:val="0093193B"/>
    <w:rsid w:val="00934263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823"/>
    <w:rsid w:val="00B558F0"/>
    <w:rsid w:val="00BD48FE"/>
    <w:rsid w:val="00BD7BD8"/>
    <w:rsid w:val="00BE6ADC"/>
    <w:rsid w:val="00C05BFE"/>
    <w:rsid w:val="00C135DA"/>
    <w:rsid w:val="00C23CD4"/>
    <w:rsid w:val="00C61C0C"/>
    <w:rsid w:val="00C6220D"/>
    <w:rsid w:val="00C941CB"/>
    <w:rsid w:val="00CC2357"/>
    <w:rsid w:val="00CF071A"/>
    <w:rsid w:val="00D058B8"/>
    <w:rsid w:val="00D56C11"/>
    <w:rsid w:val="00D834A0"/>
    <w:rsid w:val="00D872DF"/>
    <w:rsid w:val="00D877D6"/>
    <w:rsid w:val="00D91E21"/>
    <w:rsid w:val="00DA7FCD"/>
    <w:rsid w:val="00E365E1"/>
    <w:rsid w:val="00E820A4"/>
    <w:rsid w:val="00E93EC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F1E9F2"/>
  <w15:chartTrackingRefBased/>
  <w15:docId w15:val="{0108222B-06BF-4B0F-99E6-985C379AF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15EC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5EC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5EC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5EC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5EC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5EC2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5EC2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115EC2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115EC2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115EC2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link w:val="PageHeadingChar"/>
    <w:rsid w:val="00115EC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115EC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115EC2"/>
    <w:pPr>
      <w:spacing w:after="240"/>
    </w:pPr>
  </w:style>
  <w:style w:type="paragraph" w:customStyle="1" w:styleId="TOCPage">
    <w:name w:val="TOC Page"/>
    <w:basedOn w:val="Normal"/>
    <w:next w:val="TOC1"/>
    <w:rsid w:val="00115EC2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115EC2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15EC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15EC2"/>
    <w:pPr>
      <w:spacing w:after="480"/>
      <w:ind w:left="1417"/>
    </w:pPr>
  </w:style>
  <w:style w:type="paragraph" w:customStyle="1" w:styleId="CoverNormal">
    <w:name w:val="CoverNormal"/>
    <w:basedOn w:val="Normal"/>
    <w:rsid w:val="00115EC2"/>
    <w:pPr>
      <w:ind w:left="1418"/>
    </w:pPr>
  </w:style>
  <w:style w:type="paragraph" w:customStyle="1" w:styleId="NormalCenter12a">
    <w:name w:val="NormalCenter12a"/>
    <w:basedOn w:val="Normal"/>
    <w:rsid w:val="00115EC2"/>
    <w:pPr>
      <w:spacing w:after="240"/>
      <w:jc w:val="center"/>
    </w:pPr>
  </w:style>
  <w:style w:type="paragraph" w:customStyle="1" w:styleId="CoverReference">
    <w:name w:val="CoverReference"/>
    <w:basedOn w:val="Normal"/>
    <w:rsid w:val="00115EC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15EC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15EC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15EC2"/>
    <w:pPr>
      <w:spacing w:before="240" w:after="1200"/>
    </w:pPr>
  </w:style>
  <w:style w:type="paragraph" w:customStyle="1" w:styleId="AmNumberTabs">
    <w:name w:val="AmNumberTabs"/>
    <w:basedOn w:val="Normal"/>
    <w:rsid w:val="00115EC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115EC2"/>
    <w:pPr>
      <w:spacing w:before="720" w:after="240"/>
      <w:jc w:val="center"/>
    </w:pPr>
  </w:style>
  <w:style w:type="paragraph" w:customStyle="1" w:styleId="EPBody">
    <w:name w:val="EPBody"/>
    <w:basedOn w:val="Normal"/>
    <w:rsid w:val="00115EC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Tabs">
    <w:name w:val="AnnexWPTabs"/>
    <w:basedOn w:val="Normal"/>
    <w:rsid w:val="00115EC2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115EC2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115EC2"/>
    <w:rPr>
      <w:smallCaps/>
      <w:sz w:val="20"/>
    </w:rPr>
  </w:style>
  <w:style w:type="paragraph" w:customStyle="1" w:styleId="AnnexWPDocType">
    <w:name w:val="AnnexWPDocType"/>
    <w:basedOn w:val="Normal"/>
    <w:rsid w:val="00115EC2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115EC2"/>
    <w:pPr>
      <w:spacing w:before="480"/>
    </w:pPr>
    <w:rPr>
      <w:b/>
    </w:rPr>
  </w:style>
  <w:style w:type="paragraph" w:customStyle="1" w:styleId="AnnexWPLogo">
    <w:name w:val="AnnexWPLogo"/>
    <w:basedOn w:val="Normal"/>
    <w:rsid w:val="00115EC2"/>
    <w:pPr>
      <w:spacing w:before="120" w:after="120"/>
    </w:pPr>
  </w:style>
  <w:style w:type="paragraph" w:customStyle="1" w:styleId="NormalBold">
    <w:name w:val="NormalBold"/>
    <w:basedOn w:val="Normal"/>
    <w:link w:val="NormalBoldChar"/>
    <w:rsid w:val="00115EC2"/>
    <w:rPr>
      <w:b/>
    </w:rPr>
  </w:style>
  <w:style w:type="paragraph" w:customStyle="1" w:styleId="EPFooter">
    <w:name w:val="EPFooter"/>
    <w:basedOn w:val="Normal"/>
    <w:rsid w:val="00115EC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115E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5EC2"/>
    <w:rPr>
      <w:sz w:val="24"/>
      <w:lang w:val="sk-SK"/>
    </w:rPr>
  </w:style>
  <w:style w:type="paragraph" w:customStyle="1" w:styleId="EPComma">
    <w:name w:val="EPComma"/>
    <w:basedOn w:val="Normal"/>
    <w:rsid w:val="00115EC2"/>
    <w:pPr>
      <w:spacing w:before="480" w:after="240"/>
    </w:pPr>
  </w:style>
  <w:style w:type="paragraph" w:customStyle="1" w:styleId="Lgendesigne">
    <w:name w:val="Légende signe"/>
    <w:basedOn w:val="Normal"/>
    <w:rsid w:val="00115EC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15EC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15EC2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115EC2"/>
    <w:rPr>
      <w:b/>
      <w:sz w:val="24"/>
      <w:lang w:val="sk-SK"/>
    </w:rPr>
  </w:style>
  <w:style w:type="paragraph" w:customStyle="1" w:styleId="Normal24a">
    <w:name w:val="Normal24a"/>
    <w:basedOn w:val="Normal"/>
    <w:rsid w:val="00115EC2"/>
    <w:pPr>
      <w:spacing w:after="480"/>
    </w:pPr>
  </w:style>
  <w:style w:type="character" w:styleId="Emphasis">
    <w:name w:val="Emphasis"/>
    <w:basedOn w:val="DefaultParagraphFont"/>
    <w:uiPriority w:val="20"/>
    <w:qFormat/>
    <w:rsid w:val="00115EC2"/>
    <w:rPr>
      <w:i/>
      <w:iCs/>
    </w:rPr>
  </w:style>
  <w:style w:type="character" w:styleId="Hyperlink">
    <w:name w:val="Hyperlink"/>
    <w:unhideWhenUsed/>
    <w:rsid w:val="00115EC2"/>
    <w:rPr>
      <w:color w:val="0000FF"/>
      <w:u w:val="single"/>
    </w:rPr>
  </w:style>
  <w:style w:type="character" w:styleId="FollowedHyperlink">
    <w:name w:val="FollowedHyperlink"/>
    <w:unhideWhenUsed/>
    <w:rsid w:val="00115EC2"/>
    <w:rPr>
      <w:color w:val="800080"/>
      <w:u w:val="single"/>
    </w:rPr>
  </w:style>
  <w:style w:type="paragraph" w:customStyle="1" w:styleId="Text1">
    <w:name w:val="Text 1"/>
    <w:basedOn w:val="Normal"/>
    <w:rsid w:val="00115EC2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rsid w:val="00115EC2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msonormal0">
    <w:name w:val="msonormal"/>
    <w:basedOn w:val="Normal"/>
    <w:uiPriority w:val="99"/>
    <w:semiHidden/>
    <w:rsid w:val="00115EC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115EC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115EC2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115EC2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115EC2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115EC2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115EC2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115EC2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115EC2"/>
    <w:pPr>
      <w:widowControl/>
      <w:spacing w:before="120" w:after="120"/>
      <w:jc w:val="both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5EC2"/>
    <w:rPr>
      <w:rFonts w:eastAsia="Calibri"/>
      <w:lang w:val="sk-SK" w:eastAsia="en-US"/>
    </w:rPr>
  </w:style>
  <w:style w:type="paragraph" w:customStyle="1" w:styleId="LetterSignature">
    <w:name w:val="LetterSignature"/>
    <w:basedOn w:val="Normal"/>
    <w:next w:val="Normal"/>
    <w:rsid w:val="00115EC2"/>
    <w:pPr>
      <w:spacing w:before="1320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115EC2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115EC2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115EC2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115EC2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115EC2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115EC2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115EC2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115EC2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115EC2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115EC2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15E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15EC2"/>
    <w:rPr>
      <w:rFonts w:eastAsia="Calibri"/>
      <w:b/>
      <w:bCs/>
      <w:lang w:val="sk-SK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115EC2"/>
    <w:pPr>
      <w:widowControl/>
      <w:jc w:val="both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15EC2"/>
    <w:rPr>
      <w:rFonts w:ascii="Segoe UI" w:eastAsia="Calibri" w:hAnsi="Segoe UI" w:cs="Segoe UI"/>
      <w:sz w:val="18"/>
      <w:szCs w:val="18"/>
      <w:lang w:val="sk-SK" w:eastAsia="en-US"/>
    </w:rPr>
  </w:style>
  <w:style w:type="paragraph" w:styleId="Revision">
    <w:name w:val="Revision"/>
    <w:uiPriority w:val="99"/>
    <w:semiHidden/>
    <w:rsid w:val="00115EC2"/>
    <w:rPr>
      <w:rFonts w:eastAsia="Calibri"/>
      <w:sz w:val="24"/>
      <w:szCs w:val="22"/>
      <w:lang w:val="sk-SK" w:eastAsia="en-US"/>
    </w:rPr>
  </w:style>
  <w:style w:type="paragraph" w:customStyle="1" w:styleId="IntrtEEE">
    <w:name w:val="Intérêt EEE"/>
    <w:basedOn w:val="Normal"/>
    <w:uiPriority w:val="99"/>
    <w:rsid w:val="00115EC2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15EC2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rsid w:val="00115EC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paragraph">
    <w:name w:val="paragraph"/>
    <w:basedOn w:val="Normal"/>
    <w:uiPriority w:val="99"/>
    <w:semiHidden/>
    <w:rsid w:val="00115EC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uiPriority w:val="99"/>
    <w:semiHidden/>
    <w:rsid w:val="00115EC2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115EC2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115EC2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115EC2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rsid w:val="00115EC2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115EC2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115EC2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115EC2"/>
    <w:pPr>
      <w:widowControl/>
      <w:numPr>
        <w:numId w:val="7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115EC2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115EC2"/>
    <w:pPr>
      <w:numPr>
        <w:numId w:val="9"/>
      </w:numPr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115EC2"/>
    <w:pPr>
      <w:numPr>
        <w:ilvl w:val="1"/>
        <w:numId w:val="9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115EC2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uiPriority w:val="99"/>
    <w:rsid w:val="00115EC2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rsid w:val="00115EC2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uiPriority w:val="99"/>
    <w:semiHidden/>
    <w:rsid w:val="00115EC2"/>
    <w:pPr>
      <w:numPr>
        <w:ilvl w:val="2"/>
        <w:numId w:val="9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115EC2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semiHidden/>
    <w:rsid w:val="00115EC2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semiHidden/>
    <w:rsid w:val="00115EC2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115EC2"/>
    <w:pPr>
      <w:numPr>
        <w:ilvl w:val="3"/>
        <w:numId w:val="9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115EC2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uiPriority w:val="99"/>
    <w:semiHidden/>
    <w:rsid w:val="00115EC2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uiPriority w:val="99"/>
    <w:semiHidden/>
    <w:rsid w:val="00115EC2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115EC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115EC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115EC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115EC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115EC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115EC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115EC2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115EC2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115EC2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115EC2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uiPriority w:val="99"/>
    <w:rsid w:val="00115EC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115EC2"/>
    <w:pPr>
      <w:widowControl/>
      <w:spacing w:after="240"/>
      <w:ind w:left="5103"/>
    </w:pPr>
    <w:rPr>
      <w:szCs w:val="22"/>
    </w:rPr>
  </w:style>
  <w:style w:type="paragraph" w:customStyle="1" w:styleId="Typedudocument">
    <w:name w:val="Type du document"/>
    <w:basedOn w:val="Normal"/>
    <w:next w:val="Titreobjet"/>
    <w:rsid w:val="00115EC2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115EC2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115EC2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115EC2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115EC2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115EC2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115EC2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115EC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115EC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115EC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115EC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115EC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115EC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uiPriority w:val="99"/>
    <w:rsid w:val="00115EC2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115EC2"/>
  </w:style>
  <w:style w:type="character" w:customStyle="1" w:styleId="FooterCoverPageChar">
    <w:name w:val="Footer Cover Page Char"/>
    <w:link w:val="FooterCoverPage"/>
    <w:semiHidden/>
    <w:locked/>
    <w:rsid w:val="00115EC2"/>
    <w:rPr>
      <w:sz w:val="24"/>
      <w:szCs w:val="22"/>
    </w:rPr>
  </w:style>
  <w:style w:type="paragraph" w:customStyle="1" w:styleId="FooterCoverPage">
    <w:name w:val="Footer Cover Page"/>
    <w:basedOn w:val="Normal"/>
    <w:link w:val="FooterCoverPageChar"/>
    <w:semiHidden/>
    <w:rsid w:val="00115EC2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szCs w:val="22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115EC2"/>
    <w:rPr>
      <w:sz w:val="24"/>
      <w:szCs w:val="22"/>
    </w:rPr>
  </w:style>
  <w:style w:type="paragraph" w:customStyle="1" w:styleId="HeaderCoverPage">
    <w:name w:val="Header Cover Page"/>
    <w:basedOn w:val="Normal"/>
    <w:link w:val="HeaderCoverPageChar"/>
    <w:semiHidden/>
    <w:rsid w:val="00115EC2"/>
    <w:pPr>
      <w:widowControl/>
      <w:tabs>
        <w:tab w:val="center" w:pos="4535"/>
        <w:tab w:val="right" w:pos="9071"/>
      </w:tabs>
      <w:spacing w:after="120"/>
      <w:jc w:val="both"/>
    </w:pPr>
    <w:rPr>
      <w:szCs w:val="22"/>
      <w:lang w:val="en-GB"/>
    </w:rPr>
  </w:style>
  <w:style w:type="paragraph" w:customStyle="1" w:styleId="HeaderLandscape">
    <w:name w:val="HeaderLandscape"/>
    <w:basedOn w:val="Normal"/>
    <w:uiPriority w:val="99"/>
    <w:rsid w:val="00115EC2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rsid w:val="00115EC2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115EC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115EC2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115EC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5">
    <w:name w:val="Text 5"/>
    <w:basedOn w:val="Normal"/>
    <w:uiPriority w:val="99"/>
    <w:qFormat/>
    <w:rsid w:val="00115EC2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qFormat/>
    <w:rsid w:val="00115EC2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uiPriority w:val="99"/>
    <w:rsid w:val="00115EC2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uiPriority w:val="99"/>
    <w:rsid w:val="00115EC2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rsid w:val="00115EC2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rsid w:val="00115EC2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115EC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uiPriority w:val="99"/>
    <w:rsid w:val="00115EC2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rsid w:val="00115EC2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rsid w:val="00115EC2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rsid w:val="00115EC2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qFormat/>
    <w:rsid w:val="00115EC2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rsid w:val="00115EC2"/>
    <w:pPr>
      <w:numPr>
        <w:numId w:val="10"/>
      </w:numPr>
    </w:pPr>
  </w:style>
  <w:style w:type="paragraph" w:customStyle="1" w:styleId="Tiret1">
    <w:name w:val="Tiret 1"/>
    <w:basedOn w:val="Point1"/>
    <w:uiPriority w:val="99"/>
    <w:rsid w:val="00115EC2"/>
    <w:pPr>
      <w:numPr>
        <w:numId w:val="11"/>
      </w:numPr>
    </w:pPr>
  </w:style>
  <w:style w:type="paragraph" w:customStyle="1" w:styleId="Tiret2">
    <w:name w:val="Tiret 2"/>
    <w:basedOn w:val="Point2"/>
    <w:uiPriority w:val="99"/>
    <w:rsid w:val="00115EC2"/>
    <w:pPr>
      <w:numPr>
        <w:numId w:val="12"/>
      </w:numPr>
    </w:pPr>
  </w:style>
  <w:style w:type="paragraph" w:customStyle="1" w:styleId="Tiret3">
    <w:name w:val="Tiret 3"/>
    <w:basedOn w:val="Point3"/>
    <w:uiPriority w:val="99"/>
    <w:rsid w:val="00115EC2"/>
    <w:pPr>
      <w:numPr>
        <w:numId w:val="13"/>
      </w:numPr>
    </w:pPr>
  </w:style>
  <w:style w:type="paragraph" w:customStyle="1" w:styleId="Tiret4">
    <w:name w:val="Tiret 4"/>
    <w:basedOn w:val="Point4"/>
    <w:uiPriority w:val="99"/>
    <w:rsid w:val="00115EC2"/>
    <w:pPr>
      <w:numPr>
        <w:numId w:val="14"/>
      </w:numPr>
    </w:pPr>
  </w:style>
  <w:style w:type="paragraph" w:customStyle="1" w:styleId="Tiret5">
    <w:name w:val="Tiret 5"/>
    <w:basedOn w:val="Point5"/>
    <w:uiPriority w:val="99"/>
    <w:semiHidden/>
    <w:rsid w:val="00115EC2"/>
    <w:pPr>
      <w:numPr>
        <w:numId w:val="15"/>
      </w:numPr>
    </w:pPr>
  </w:style>
  <w:style w:type="paragraph" w:customStyle="1" w:styleId="PointDouble0">
    <w:name w:val="PointDouble 0"/>
    <w:basedOn w:val="Normal"/>
    <w:uiPriority w:val="99"/>
    <w:rsid w:val="00115EC2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rsid w:val="00115EC2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rsid w:val="00115EC2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rsid w:val="00115EC2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rsid w:val="00115EC2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rsid w:val="00115EC2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rsid w:val="00115EC2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rsid w:val="00115EC2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rsid w:val="00115EC2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rsid w:val="00115EC2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115EC2"/>
    <w:pPr>
      <w:widowControl/>
      <w:numPr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rsid w:val="00115EC2"/>
    <w:pPr>
      <w:widowControl/>
      <w:numPr>
        <w:ilvl w:val="1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rsid w:val="00115EC2"/>
    <w:pPr>
      <w:widowControl/>
      <w:numPr>
        <w:ilvl w:val="2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rsid w:val="00115EC2"/>
    <w:pPr>
      <w:widowControl/>
      <w:numPr>
        <w:ilvl w:val="3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semiHidden/>
    <w:rsid w:val="00115EC2"/>
    <w:pPr>
      <w:widowControl/>
      <w:numPr>
        <w:ilvl w:val="4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semiHidden/>
    <w:rsid w:val="00115EC2"/>
    <w:pPr>
      <w:widowControl/>
      <w:numPr>
        <w:ilvl w:val="5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semiHidden/>
    <w:rsid w:val="00115EC2"/>
    <w:pPr>
      <w:widowControl/>
      <w:numPr>
        <w:ilvl w:val="6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115EC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rsid w:val="00115EC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rsid w:val="00115EC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rsid w:val="00115EC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115EC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115EC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115EC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rsid w:val="00115EC2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rsid w:val="00115EC2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rsid w:val="00115EC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rsid w:val="00115EC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rsid w:val="00115EC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115EC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115EC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115EC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rsid w:val="00115EC2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rsid w:val="00115EC2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rsid w:val="00115EC2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rsid w:val="00115EC2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115EC2"/>
    <w:pPr>
      <w:widowControl/>
      <w:numPr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115EC2"/>
    <w:pPr>
      <w:widowControl/>
      <w:numPr>
        <w:ilvl w:val="2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115EC2"/>
    <w:pPr>
      <w:widowControl/>
      <w:numPr>
        <w:ilvl w:val="4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115EC2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115EC2"/>
    <w:pPr>
      <w:widowControl/>
      <w:numPr>
        <w:ilvl w:val="1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115EC2"/>
    <w:pPr>
      <w:widowControl/>
      <w:numPr>
        <w:ilvl w:val="3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115EC2"/>
    <w:pPr>
      <w:widowControl/>
      <w:numPr>
        <w:ilvl w:val="5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115EC2"/>
    <w:pPr>
      <w:widowControl/>
      <w:numPr>
        <w:ilvl w:val="7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115EC2"/>
    <w:pPr>
      <w:widowControl/>
      <w:numPr>
        <w:ilvl w:val="8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rsid w:val="00115EC2"/>
    <w:pPr>
      <w:widowControl/>
      <w:numPr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rsid w:val="00115EC2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rsid w:val="00115EC2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rsid w:val="00115EC2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rsid w:val="00115EC2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115EC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115EC2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115EC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115EC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115EC2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115EC2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115EC2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115EC2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115EC2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115EC2"/>
    <w:pPr>
      <w:spacing w:before="360" w:after="240"/>
      <w:jc w:val="center"/>
    </w:pPr>
  </w:style>
  <w:style w:type="paragraph" w:customStyle="1" w:styleId="Rfrencecroise">
    <w:name w:val="Référence croisée"/>
    <w:basedOn w:val="Normal"/>
    <w:uiPriority w:val="99"/>
    <w:rsid w:val="00115EC2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115EC2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115EC2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115EC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115EC2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115EC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115EC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115EC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rsid w:val="00115EC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115EC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uiPriority w:val="99"/>
    <w:rsid w:val="00115EC2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rsid w:val="00115EC2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uiPriority w:val="99"/>
    <w:rsid w:val="00115EC2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rsid w:val="00115EC2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115EC2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115EC2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uiPriority w:val="99"/>
    <w:rsid w:val="00115EC2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115EC2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rsid w:val="00115EC2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115EC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115EC2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115EC2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115EC2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115EC2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Address">
    <w:name w:val="Address"/>
    <w:basedOn w:val="Normal"/>
    <w:next w:val="Normal"/>
    <w:uiPriority w:val="99"/>
    <w:rsid w:val="00115EC2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115EC2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115EC2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115EC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115EC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115EC2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115EC2"/>
  </w:style>
  <w:style w:type="paragraph" w:customStyle="1" w:styleId="Volume">
    <w:name w:val="Volume"/>
    <w:basedOn w:val="Normal"/>
    <w:next w:val="Confidentialit"/>
    <w:uiPriority w:val="99"/>
    <w:rsid w:val="00115EC2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115EC2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115EC2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115EC2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115EC2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115EC2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115EC2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115EC2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styleId="CommentReference">
    <w:name w:val="annotation reference"/>
    <w:uiPriority w:val="99"/>
    <w:unhideWhenUsed/>
    <w:rsid w:val="00115EC2"/>
    <w:rPr>
      <w:sz w:val="16"/>
      <w:szCs w:val="16"/>
    </w:rPr>
  </w:style>
  <w:style w:type="character" w:customStyle="1" w:styleId="normaltextrun">
    <w:name w:val="normaltextrun"/>
    <w:basedOn w:val="DefaultParagraphFont"/>
    <w:rsid w:val="00115EC2"/>
  </w:style>
  <w:style w:type="character" w:customStyle="1" w:styleId="super">
    <w:name w:val="super"/>
    <w:basedOn w:val="DefaultParagraphFont"/>
    <w:rsid w:val="00115EC2"/>
  </w:style>
  <w:style w:type="character" w:customStyle="1" w:styleId="tw4winMark">
    <w:name w:val="tw4winMark"/>
    <w:rsid w:val="00115EC2"/>
    <w:rPr>
      <w:vanish/>
      <w:webHidden w:val="0"/>
      <w:color w:val="800080"/>
      <w:vertAlign w:val="subscript"/>
      <w:specVanish w:val="0"/>
    </w:rPr>
  </w:style>
  <w:style w:type="character" w:customStyle="1" w:styleId="tw4winError">
    <w:name w:val="tw4winError"/>
    <w:rsid w:val="00115EC2"/>
    <w:rPr>
      <w:color w:val="00FF00"/>
      <w:sz w:val="40"/>
      <w:lang w:val="sk-SK" w:eastAsia="en-GB"/>
    </w:rPr>
  </w:style>
  <w:style w:type="character" w:customStyle="1" w:styleId="tw4winTerm">
    <w:name w:val="tw4winTerm"/>
    <w:rsid w:val="00115EC2"/>
    <w:rPr>
      <w:color w:val="0000FF"/>
      <w:lang w:val="sk-SK" w:eastAsia="en-GB"/>
    </w:rPr>
  </w:style>
  <w:style w:type="character" w:customStyle="1" w:styleId="tw4winPopup">
    <w:name w:val="tw4winPopup"/>
    <w:rsid w:val="00115EC2"/>
    <w:rPr>
      <w:noProof/>
      <w:color w:val="008000"/>
      <w:lang w:val="sk-SK" w:eastAsia="en-GB"/>
    </w:rPr>
  </w:style>
  <w:style w:type="character" w:customStyle="1" w:styleId="tw4winJump">
    <w:name w:val="tw4winJump"/>
    <w:rsid w:val="00115EC2"/>
    <w:rPr>
      <w:noProof/>
      <w:color w:val="008080"/>
      <w:lang w:val="sk-SK" w:eastAsia="en-GB"/>
    </w:rPr>
  </w:style>
  <w:style w:type="character" w:customStyle="1" w:styleId="tw4winExternal">
    <w:name w:val="tw4winExternal"/>
    <w:rsid w:val="00115EC2"/>
    <w:rPr>
      <w:noProof/>
      <w:color w:val="808080"/>
      <w:lang w:val="sk-SK" w:eastAsia="en-GB"/>
    </w:rPr>
  </w:style>
  <w:style w:type="character" w:customStyle="1" w:styleId="tw4winInternal">
    <w:name w:val="tw4winInternal"/>
    <w:rsid w:val="00115EC2"/>
    <w:rPr>
      <w:noProof/>
      <w:color w:val="FF0000"/>
      <w:lang w:val="sk-SK" w:eastAsia="en-GB"/>
    </w:rPr>
  </w:style>
  <w:style w:type="character" w:customStyle="1" w:styleId="DONOTTRANSLATE">
    <w:name w:val="DO_NOT_TRANSLATE"/>
    <w:rsid w:val="00115EC2"/>
    <w:rPr>
      <w:noProof/>
      <w:color w:val="800000"/>
      <w:lang w:val="sk-SK" w:eastAsia="en-GB"/>
    </w:rPr>
  </w:style>
  <w:style w:type="character" w:customStyle="1" w:styleId="Marker">
    <w:name w:val="Marker"/>
    <w:rsid w:val="00115EC2"/>
    <w:rPr>
      <w:color w:val="0000FF"/>
    </w:rPr>
  </w:style>
  <w:style w:type="character" w:customStyle="1" w:styleId="Marker1">
    <w:name w:val="Marker1"/>
    <w:rsid w:val="00115EC2"/>
    <w:rPr>
      <w:color w:val="008000"/>
    </w:rPr>
  </w:style>
  <w:style w:type="character" w:customStyle="1" w:styleId="Marker2">
    <w:name w:val="Marker2"/>
    <w:rsid w:val="00115EC2"/>
    <w:rPr>
      <w:color w:val="FF0000"/>
    </w:rPr>
  </w:style>
  <w:style w:type="character" w:customStyle="1" w:styleId="Added">
    <w:name w:val="Added"/>
    <w:rsid w:val="00115EC2"/>
    <w:rPr>
      <w:b/>
      <w:bCs w:val="0"/>
      <w:u w:val="single"/>
    </w:rPr>
  </w:style>
  <w:style w:type="character" w:customStyle="1" w:styleId="Deleted">
    <w:name w:val="Deleted"/>
    <w:rsid w:val="00115EC2"/>
    <w:rPr>
      <w:strike/>
    </w:rPr>
  </w:style>
  <w:style w:type="paragraph" w:customStyle="1" w:styleId="ListNumber4Level2">
    <w:name w:val="List Number 4 (Level 2)"/>
    <w:basedOn w:val="Text4"/>
    <w:uiPriority w:val="99"/>
    <w:semiHidden/>
    <w:rsid w:val="00115EC2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Soustitr">
    <w:name w:val="Sous titr"/>
    <w:basedOn w:val="Titreobjet"/>
    <w:uiPriority w:val="99"/>
    <w:semiHidden/>
    <w:rsid w:val="00115EC2"/>
  </w:style>
  <w:style w:type="paragraph" w:customStyle="1" w:styleId="Sous-titre">
    <w:name w:val="Sous-titre"/>
    <w:basedOn w:val="Soustitr"/>
    <w:uiPriority w:val="99"/>
    <w:semiHidden/>
    <w:rsid w:val="00115EC2"/>
  </w:style>
  <w:style w:type="paragraph" w:customStyle="1" w:styleId="ListNumber3Level2">
    <w:name w:val="List Number 3 (Level 2)"/>
    <w:basedOn w:val="Text3"/>
    <w:uiPriority w:val="99"/>
    <w:semiHidden/>
    <w:rsid w:val="00115EC2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itle-annex-2">
    <w:name w:val="title-annex-2"/>
    <w:basedOn w:val="Normal"/>
    <w:uiPriority w:val="99"/>
    <w:semiHidden/>
    <w:rsid w:val="00115EC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norm">
    <w:name w:val="tbl-norm"/>
    <w:basedOn w:val="Normal"/>
    <w:uiPriority w:val="99"/>
    <w:semiHidden/>
    <w:rsid w:val="00115EC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ListBullet5">
    <w:name w:val="List Bullet 5"/>
    <w:basedOn w:val="Normal"/>
    <w:autoRedefine/>
    <w:uiPriority w:val="99"/>
    <w:unhideWhenUsed/>
    <w:rsid w:val="00115EC2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uiPriority w:val="99"/>
    <w:qFormat/>
    <w:rsid w:val="00115EC2"/>
    <w:pPr>
      <w:spacing w:before="120" w:after="120" w:line="360" w:lineRule="auto"/>
      <w:jc w:val="both"/>
    </w:pPr>
    <w:rPr>
      <w:rFonts w:eastAsiaTheme="minorHAnsi"/>
      <w:sz w:val="24"/>
      <w:szCs w:val="22"/>
      <w:lang w:val="sk-SK" w:eastAsia="en-US"/>
    </w:rPr>
  </w:style>
  <w:style w:type="paragraph" w:customStyle="1" w:styleId="HeaderDisclaimer">
    <w:name w:val="HeaderDisclaimer"/>
    <w:basedOn w:val="Normal"/>
    <w:uiPriority w:val="99"/>
    <w:qFormat/>
    <w:rsid w:val="00115EC2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115EC2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115EC2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115EC2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115EC2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115EC2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115EC2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qFormat/>
    <w:rsid w:val="00115EC2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uiPriority w:val="99"/>
    <w:qFormat/>
    <w:rsid w:val="00115EC2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qFormat/>
    <w:rsid w:val="00115EC2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115EC2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qFormat/>
    <w:rsid w:val="00115EC2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115EC2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qFormat/>
    <w:rsid w:val="00115EC2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qFormat/>
    <w:rsid w:val="00115EC2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qFormat/>
    <w:rsid w:val="00115EC2"/>
    <w:pPr>
      <w:spacing w:before="120" w:after="360"/>
    </w:pPr>
  </w:style>
  <w:style w:type="paragraph" w:customStyle="1" w:styleId="Point6">
    <w:name w:val="Point 6"/>
    <w:basedOn w:val="Point5"/>
    <w:uiPriority w:val="99"/>
    <w:qFormat/>
    <w:rsid w:val="00115EC2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115EC2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115EC2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115EC2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115EC2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115EC2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115EC2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115EC2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115EC2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115EC2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115EC2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115EC2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115EC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15EC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15EC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15EC2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rsid w:val="00115EC2"/>
    <w:pPr>
      <w:spacing w:before="600" w:after="360"/>
    </w:pPr>
  </w:style>
  <w:style w:type="paragraph" w:customStyle="1" w:styleId="LetterSubject">
    <w:name w:val="LetterSubject"/>
    <w:basedOn w:val="Normal"/>
    <w:rsid w:val="00115EC2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115EC2"/>
    <w:pPr>
      <w:spacing w:before="1320"/>
    </w:pPr>
  </w:style>
  <w:style w:type="paragraph" w:styleId="BodyText">
    <w:name w:val="Body Text"/>
    <w:basedOn w:val="Normal"/>
    <w:link w:val="BodyTextChar"/>
    <w:unhideWhenUsed/>
    <w:qFormat/>
    <w:rsid w:val="00115EC2"/>
    <w:pPr>
      <w:shd w:val="clear" w:color="auto" w:fill="FFFFFF"/>
      <w:jc w:val="both"/>
    </w:pPr>
    <w:rPr>
      <w:color w:val="262626"/>
      <w:szCs w:val="24"/>
      <w:lang w:bidi="en-GB"/>
    </w:rPr>
  </w:style>
  <w:style w:type="character" w:customStyle="1" w:styleId="BodyTextChar">
    <w:name w:val="Body Text Char"/>
    <w:basedOn w:val="DefaultParagraphFont"/>
    <w:link w:val="BodyText"/>
    <w:rsid w:val="00115EC2"/>
    <w:rPr>
      <w:color w:val="262626"/>
      <w:sz w:val="24"/>
      <w:szCs w:val="24"/>
      <w:shd w:val="clear" w:color="auto" w:fill="FFFFFF"/>
      <w:lang w:val="sk-SK" w:bidi="en-GB"/>
    </w:rPr>
  </w:style>
  <w:style w:type="character" w:customStyle="1" w:styleId="Bodytext2">
    <w:name w:val="Body text (2)_"/>
    <w:link w:val="Bodytext20"/>
    <w:locked/>
    <w:rsid w:val="00115EC2"/>
    <w:rPr>
      <w:color w:val="2626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115EC2"/>
    <w:pPr>
      <w:shd w:val="clear" w:color="auto" w:fill="FFFFFF"/>
      <w:ind w:left="2200" w:hanging="1800"/>
    </w:pPr>
    <w:rPr>
      <w:color w:val="262626"/>
      <w:sz w:val="20"/>
      <w:lang w:val="en-GB"/>
    </w:rPr>
  </w:style>
  <w:style w:type="paragraph" w:customStyle="1" w:styleId="Normal12">
    <w:name w:val="Normal12"/>
    <w:basedOn w:val="Normal"/>
    <w:link w:val="Normal12Char"/>
    <w:rsid w:val="00115EC2"/>
    <w:pPr>
      <w:spacing w:after="240"/>
    </w:pPr>
    <w:rPr>
      <w:rFonts w:ascii="Arial" w:hAnsi="Arial" w:cs="Arial"/>
    </w:rPr>
  </w:style>
  <w:style w:type="character" w:customStyle="1" w:styleId="PageHeadingChar">
    <w:name w:val="PageHeading Char"/>
    <w:basedOn w:val="DefaultParagraphFont"/>
    <w:link w:val="PageHeading"/>
    <w:rsid w:val="00115EC2"/>
    <w:rPr>
      <w:rFonts w:ascii="Arial" w:hAnsi="Arial" w:cs="Arial"/>
      <w:b/>
      <w:sz w:val="24"/>
      <w:lang w:val="sk-SK"/>
    </w:rPr>
  </w:style>
  <w:style w:type="character" w:customStyle="1" w:styleId="Normal12Char">
    <w:name w:val="Normal12 Char"/>
    <w:basedOn w:val="PageHeadingChar"/>
    <w:link w:val="Normal12"/>
    <w:rsid w:val="00115EC2"/>
    <w:rPr>
      <w:rFonts w:ascii="Arial" w:hAnsi="Arial" w:cs="Arial"/>
      <w:b w:val="0"/>
      <w:sz w:val="24"/>
      <w:lang w:val="sk-SK"/>
    </w:rPr>
  </w:style>
  <w:style w:type="paragraph" w:styleId="Footer">
    <w:name w:val="footer"/>
    <w:basedOn w:val="Normal"/>
    <w:link w:val="FooterChar"/>
    <w:uiPriority w:val="99"/>
    <w:rsid w:val="00115E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5EC2"/>
    <w:rPr>
      <w:sz w:val="24"/>
      <w:lang w:val="sk-SK"/>
    </w:rPr>
  </w:style>
  <w:style w:type="paragraph" w:customStyle="1" w:styleId="AmDocTypeTab">
    <w:name w:val="AmDocTypeTab"/>
    <w:basedOn w:val="Normal"/>
    <w:rsid w:val="000851DC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0851DC"/>
    <w:pPr>
      <w:spacing w:before="240" w:after="240"/>
      <w:jc w:val="right"/>
    </w:pPr>
  </w:style>
  <w:style w:type="paragraph" w:customStyle="1" w:styleId="AmDateTab">
    <w:name w:val="AmDateTab"/>
    <w:basedOn w:val="Normal"/>
    <w:rsid w:val="000851DC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0851DC"/>
  </w:style>
  <w:style w:type="paragraph" w:customStyle="1" w:styleId="NormalJustified">
    <w:name w:val="Normal Justified"/>
    <w:basedOn w:val="Normal"/>
    <w:rsid w:val="000851DC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0851D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0851D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0851DC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0851D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0851D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0851DC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0851DC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0851DC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0851DC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0851DC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0851DC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0851DC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0851DC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0851DC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0851DC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0851DC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0851DC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0851DC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0851DC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0851DC"/>
    <w:pPr>
      <w:widowControl/>
      <w:numPr>
        <w:ilvl w:val="8"/>
        <w:numId w:val="3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0851DC"/>
    <w:pPr>
      <w:widowControl/>
      <w:numPr>
        <w:ilvl w:val="1"/>
        <w:numId w:val="3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0851DC"/>
    <w:pPr>
      <w:widowControl/>
      <w:numPr>
        <w:ilvl w:val="3"/>
        <w:numId w:val="3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0851DC"/>
    <w:pPr>
      <w:widowControl/>
      <w:numPr>
        <w:ilvl w:val="5"/>
        <w:numId w:val="3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0851DC"/>
    <w:pPr>
      <w:widowControl/>
      <w:numPr>
        <w:ilvl w:val="7"/>
        <w:numId w:val="3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0851DC"/>
    <w:pPr>
      <w:widowControl/>
      <w:numPr>
        <w:numId w:val="4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0851DC"/>
    <w:pPr>
      <w:widowControl/>
      <w:numPr>
        <w:ilvl w:val="1"/>
        <w:numId w:val="4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0851DC"/>
    <w:pPr>
      <w:widowControl/>
      <w:numPr>
        <w:ilvl w:val="2"/>
        <w:numId w:val="4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0851DC"/>
    <w:pPr>
      <w:widowControl/>
      <w:numPr>
        <w:ilvl w:val="3"/>
        <w:numId w:val="4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0851DC"/>
    <w:pPr>
      <w:widowControl/>
      <w:numPr>
        <w:ilvl w:val="4"/>
        <w:numId w:val="4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0851DC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0851DC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0851DC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0851DC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0851DC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0851DC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0851DC"/>
    <w:pPr>
      <w:numPr>
        <w:numId w:val="2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0851DC"/>
    <w:pPr>
      <w:numPr>
        <w:numId w:val="3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0851DC"/>
    <w:pPr>
      <w:numPr>
        <w:numId w:val="3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0851DC"/>
    <w:pPr>
      <w:numPr>
        <w:numId w:val="3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0851DC"/>
    <w:pPr>
      <w:numPr>
        <w:numId w:val="33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0851DC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0851DC"/>
    <w:pPr>
      <w:numPr>
        <w:numId w:val="4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0851DC"/>
    <w:pPr>
      <w:numPr>
        <w:numId w:val="4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0851DC"/>
    <w:pPr>
      <w:numPr>
        <w:numId w:val="4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0851DC"/>
    <w:pPr>
      <w:jc w:val="center"/>
    </w:pPr>
  </w:style>
  <w:style w:type="paragraph" w:customStyle="1" w:styleId="Jardin">
    <w:name w:val="Jardin"/>
    <w:basedOn w:val="Normal"/>
    <w:rsid w:val="000851DC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0851DC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0851DC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0851DC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0851DC"/>
    <w:rPr>
      <w:b/>
    </w:rPr>
  </w:style>
  <w:style w:type="paragraph" w:customStyle="1" w:styleId="Annex">
    <w:name w:val="Annex"/>
    <w:basedOn w:val="Normal"/>
    <w:next w:val="Normal"/>
    <w:rsid w:val="000851DC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0851DC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0851DC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paragraph" w:customStyle="1" w:styleId="NormalCompact">
    <w:name w:val="Normal Compact"/>
    <w:basedOn w:val="Normal"/>
    <w:next w:val="Normal"/>
    <w:rsid w:val="000851DC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0851DC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851DC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sid w:val="000851DC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0851DC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0851DC"/>
    <w:rPr>
      <w:rFonts w:eastAsia="Calibri"/>
      <w:sz w:val="24"/>
      <w:szCs w:val="22"/>
      <w:lang w:val="sk-SK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0851DC"/>
    <w:rPr>
      <w:rFonts w:eastAsia="Calibri"/>
      <w:sz w:val="2"/>
      <w:szCs w:val="22"/>
      <w:lang w:val="sk-SK" w:eastAsia="en-US"/>
    </w:rPr>
  </w:style>
  <w:style w:type="paragraph" w:customStyle="1" w:styleId="FooterText">
    <w:name w:val="Footer Text"/>
    <w:basedOn w:val="Normal"/>
    <w:rsid w:val="000851DC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851DC"/>
    <w:rPr>
      <w:color w:val="808080"/>
    </w:rPr>
  </w:style>
  <w:style w:type="paragraph" w:customStyle="1" w:styleId="ListParagraph111">
    <w:name w:val="List Paragraph111"/>
    <w:basedOn w:val="Normal"/>
    <w:next w:val="ListParagraph"/>
    <w:link w:val="ListParagraphChar"/>
    <w:uiPriority w:val="34"/>
    <w:qFormat/>
    <w:rsid w:val="000851DC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</w:style>
  <w:style w:type="paragraph" w:customStyle="1" w:styleId="Par-dash">
    <w:name w:val="Par-dash"/>
    <w:basedOn w:val="Normal"/>
    <w:next w:val="Normal"/>
    <w:rsid w:val="000851DC"/>
    <w:pPr>
      <w:spacing w:line="360" w:lineRule="auto"/>
    </w:pPr>
    <w:rPr>
      <w:lang w:eastAsia="fr-BE"/>
    </w:rPr>
  </w:style>
  <w:style w:type="character" w:customStyle="1" w:styleId="ListParagraphChar">
    <w:name w:val="List Paragraph Char"/>
    <w:aliases w:val="1st elvel bullet green Char,List Paragraph compact Char,Normal bullet 2 Char,Paragraphe de liste 2 Char,Reference list Char,Bullet list Char,Numbered List Char,List Paragraph1 Char,1st level - Bullet List Paragraph Char"/>
    <w:basedOn w:val="DefaultParagraphFont"/>
    <w:link w:val="ListParagraph111"/>
    <w:uiPriority w:val="34"/>
    <w:qFormat/>
    <w:rsid w:val="000851DC"/>
    <w:rPr>
      <w:rFonts w:ascii="Calibri" w:eastAsia="Calibri" w:hAnsi="Calibri" w:cs="Arial"/>
      <w:kern w:val="2"/>
      <w:sz w:val="22"/>
      <w:szCs w:val="22"/>
      <w:lang w:val="sk-SK" w:eastAsia="en-US"/>
      <w14:ligatures w14:val="standardContextual"/>
    </w:rPr>
  </w:style>
  <w:style w:type="paragraph" w:customStyle="1" w:styleId="EntText">
    <w:name w:val="EntText"/>
    <w:basedOn w:val="Normal"/>
    <w:rsid w:val="000851D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lainText1">
    <w:name w:val="Plain Text1"/>
    <w:basedOn w:val="Normal"/>
    <w:next w:val="PlainText"/>
    <w:link w:val="PlainTextChar"/>
    <w:uiPriority w:val="99"/>
    <w:unhideWhenUsed/>
    <w:rsid w:val="000851DC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rsid w:val="000851DC"/>
    <w:rPr>
      <w:rFonts w:ascii="Calibri" w:hAnsi="Calibri"/>
      <w:szCs w:val="21"/>
      <w:lang w:val="sk-SK"/>
    </w:rPr>
  </w:style>
  <w:style w:type="character" w:customStyle="1" w:styleId="cf01">
    <w:name w:val="cf01"/>
    <w:basedOn w:val="DefaultParagraphFont"/>
    <w:rsid w:val="000851DC"/>
    <w:rPr>
      <w:rFonts w:ascii="Segoe UI" w:hAnsi="Segoe UI" w:cs="Segoe UI" w:hint="default"/>
      <w:sz w:val="18"/>
      <w:szCs w:val="18"/>
    </w:rPr>
  </w:style>
  <w:style w:type="paragraph" w:customStyle="1" w:styleId="Title1">
    <w:name w:val="Title1"/>
    <w:basedOn w:val="Normal"/>
    <w:next w:val="Normal"/>
    <w:uiPriority w:val="10"/>
    <w:qFormat/>
    <w:rsid w:val="000851DC"/>
    <w:pPr>
      <w:widowControl/>
      <w:contextualSpacing/>
    </w:pPr>
    <w:rPr>
      <w:rFonts w:ascii="Cambria" w:eastAsia="Malgun Gothic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851DC"/>
    <w:rPr>
      <w:rFonts w:ascii="Cambria" w:eastAsia="Malgun Gothic" w:hAnsi="Cambria"/>
      <w:spacing w:val="-10"/>
      <w:kern w:val="28"/>
      <w:sz w:val="56"/>
      <w:szCs w:val="56"/>
      <w:lang w:val="sk-SK"/>
    </w:rPr>
  </w:style>
  <w:style w:type="paragraph" w:customStyle="1" w:styleId="Tabletalkingpoints">
    <w:name w:val="Table talking points"/>
    <w:basedOn w:val="ListParagraph"/>
    <w:qFormat/>
    <w:rsid w:val="000851DC"/>
    <w:pPr>
      <w:widowControl/>
      <w:tabs>
        <w:tab w:val="num" w:pos="1134"/>
      </w:tabs>
      <w:spacing w:before="120" w:after="120"/>
      <w:ind w:left="1134" w:hanging="567"/>
    </w:pPr>
    <w:rPr>
      <w:rFonts w:ascii="Arial" w:hAnsi="Arial" w:cs="Arial"/>
      <w:sz w:val="22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0851DC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0851DC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51DC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unhideWhenUsed/>
    <w:rsid w:val="000851DC"/>
    <w:rPr>
      <w:color w:val="800080"/>
      <w:u w:val="single"/>
    </w:rPr>
  </w:style>
  <w:style w:type="paragraph" w:customStyle="1" w:styleId="Default">
    <w:name w:val="Default"/>
    <w:rsid w:val="000851D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sk-SK" w:eastAsia="en-US"/>
    </w:rPr>
  </w:style>
  <w:style w:type="character" w:customStyle="1" w:styleId="Bodytext1">
    <w:name w:val="Body text|1_"/>
    <w:basedOn w:val="DefaultParagraphFont"/>
    <w:link w:val="Bodytext10"/>
    <w:locked/>
    <w:rsid w:val="000851DC"/>
  </w:style>
  <w:style w:type="paragraph" w:customStyle="1" w:styleId="Bodytext10">
    <w:name w:val="Body text|1"/>
    <w:basedOn w:val="Normal"/>
    <w:link w:val="Bodytext1"/>
    <w:rsid w:val="000851DC"/>
    <w:pPr>
      <w:spacing w:after="220" w:line="276" w:lineRule="auto"/>
    </w:pPr>
    <w:rPr>
      <w:sz w:val="20"/>
      <w:lang w:val="en-GB"/>
    </w:rPr>
  </w:style>
  <w:style w:type="character" w:customStyle="1" w:styleId="Footer2">
    <w:name w:val="Footer2"/>
    <w:uiPriority w:val="1"/>
    <w:qFormat/>
    <w:rsid w:val="000851DC"/>
    <w:rPr>
      <w:rFonts w:ascii="Arial" w:hAnsi="Arial"/>
      <w:b/>
      <w:sz w:val="48"/>
    </w:rPr>
  </w:style>
  <w:style w:type="paragraph" w:customStyle="1" w:styleId="oj-ti-art">
    <w:name w:val="oj-ti-art"/>
    <w:basedOn w:val="Normal"/>
    <w:rsid w:val="000851DC"/>
    <w:pPr>
      <w:widowControl/>
      <w:spacing w:before="100" w:beforeAutospacing="1" w:after="100" w:afterAutospacing="1"/>
    </w:pPr>
    <w:rPr>
      <w:szCs w:val="24"/>
    </w:rPr>
  </w:style>
  <w:style w:type="paragraph" w:customStyle="1" w:styleId="oj-sti-art">
    <w:name w:val="oj-sti-art"/>
    <w:basedOn w:val="Normal"/>
    <w:rsid w:val="000851DC"/>
    <w:pPr>
      <w:widowControl/>
      <w:spacing w:before="100" w:beforeAutospacing="1" w:after="100" w:afterAutospacing="1"/>
    </w:pPr>
    <w:rPr>
      <w:szCs w:val="24"/>
    </w:rPr>
  </w:style>
  <w:style w:type="character" w:customStyle="1" w:styleId="diff-tte-added">
    <w:name w:val="diff-tte-added"/>
    <w:basedOn w:val="DefaultParagraphFont"/>
    <w:rsid w:val="000851DC"/>
    <w:rPr>
      <w:b/>
      <w:bCs w:val="0"/>
      <w:i/>
      <w:iCs w:val="0"/>
    </w:rPr>
  </w:style>
  <w:style w:type="character" w:customStyle="1" w:styleId="Mention1">
    <w:name w:val="Mention1"/>
    <w:basedOn w:val="DefaultParagraphFont"/>
    <w:uiPriority w:val="99"/>
    <w:unhideWhenUsed/>
    <w:rsid w:val="000851DC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851DC"/>
    <w:pPr>
      <w:ind w:left="720"/>
      <w:contextualSpacing/>
    </w:pPr>
  </w:style>
  <w:style w:type="paragraph" w:styleId="PlainText">
    <w:name w:val="Plain Text"/>
    <w:basedOn w:val="Normal"/>
    <w:link w:val="PlainTextChar1"/>
    <w:rsid w:val="000851DC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0851DC"/>
    <w:rPr>
      <w:rFonts w:ascii="Consolas" w:hAnsi="Consolas"/>
      <w:sz w:val="21"/>
      <w:szCs w:val="21"/>
      <w:lang w:val="sk-SK"/>
    </w:rPr>
  </w:style>
  <w:style w:type="paragraph" w:styleId="Title">
    <w:name w:val="Title"/>
    <w:basedOn w:val="Normal"/>
    <w:next w:val="Normal"/>
    <w:link w:val="TitleChar"/>
    <w:uiPriority w:val="10"/>
    <w:qFormat/>
    <w:rsid w:val="000851DC"/>
    <w:pPr>
      <w:contextualSpacing/>
    </w:pPr>
    <w:rPr>
      <w:rFonts w:ascii="Cambria" w:eastAsia="Malgun Gothic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0851DC"/>
    <w:rPr>
      <w:rFonts w:asciiTheme="majorHAnsi" w:eastAsiaTheme="majorEastAsia" w:hAnsiTheme="majorHAnsi" w:cstheme="majorBidi"/>
      <w:spacing w:val="-10"/>
      <w:kern w:val="28"/>
      <w:sz w:val="56"/>
      <w:szCs w:val="56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B719C-3016-48C6-B8B1-73E72942C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2024-07-24T11:05:00Z</dcterms:created>
  <dcterms:modified xsi:type="dcterms:W3CDTF">2024-07-24T11:05:00Z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P9_TA(2024)0282_</vt:lpwstr>
  </property>
  <property fmtid="{D5CDD505-2E9C-101B-9397-08002B2CF9AE}" pid="4" name="&lt;Type&gt;">
    <vt:lpwstr>RR</vt:lpwstr>
  </property>
</Properties>
</file>