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64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645E" w:rsidRDefault="00F4282B" w:rsidP="0010095E">
            <w:pPr>
              <w:pStyle w:val="EPName"/>
            </w:pPr>
            <w:r w:rsidRPr="00B5645E">
              <w:t>Evropski parlament</w:t>
            </w:r>
          </w:p>
          <w:p w:rsidR="00751A4A" w:rsidRPr="00B564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645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645E" w:rsidRDefault="00187494" w:rsidP="0010095E">
            <w:pPr>
              <w:pStyle w:val="EPLogo"/>
            </w:pPr>
            <w:r w:rsidRPr="00B564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645E" w:rsidRDefault="00D058B8" w:rsidP="004C5D52">
      <w:pPr>
        <w:pStyle w:val="LineTop"/>
      </w:pPr>
    </w:p>
    <w:p w:rsidR="00680577" w:rsidRPr="00B5645E" w:rsidRDefault="00F4282B" w:rsidP="00680577">
      <w:pPr>
        <w:pStyle w:val="EPBodyTA1"/>
      </w:pPr>
      <w:r w:rsidRPr="00B5645E">
        <w:t>SPREJETA BESEDILA</w:t>
      </w:r>
    </w:p>
    <w:p w:rsidR="00D058B8" w:rsidRPr="00B5645E" w:rsidRDefault="00D058B8" w:rsidP="00D058B8">
      <w:pPr>
        <w:pStyle w:val="LineBottom"/>
      </w:pPr>
    </w:p>
    <w:p w:rsidR="00F4282B" w:rsidRPr="00B5645E" w:rsidRDefault="00F4282B" w:rsidP="00B5645E">
      <w:pPr>
        <w:pStyle w:val="ATHeading1"/>
      </w:pPr>
      <w:bookmarkStart w:id="0" w:name="TANumber"/>
      <w:r w:rsidRPr="00B5645E">
        <w:t>P9_TA(2024)0</w:t>
      </w:r>
      <w:r w:rsidR="00B5645E" w:rsidRPr="00B5645E">
        <w:t>282</w:t>
      </w:r>
      <w:bookmarkEnd w:id="0"/>
    </w:p>
    <w:p w:rsidR="00F4282B" w:rsidRPr="00B5645E" w:rsidRDefault="00F4282B" w:rsidP="00F4282B">
      <w:pPr>
        <w:pStyle w:val="ATHeading2"/>
      </w:pPr>
      <w:bookmarkStart w:id="1" w:name="title"/>
      <w:r w:rsidRPr="00B5645E">
        <w:t>Notranji trg obnovljivih plinov, zemeljskega plina in vodika (prenovitev)</w:t>
      </w:r>
      <w:bookmarkEnd w:id="1"/>
    </w:p>
    <w:p w:rsidR="00F4282B" w:rsidRPr="00B5645E" w:rsidRDefault="00F4282B" w:rsidP="00F4282B">
      <w:pPr>
        <w:rPr>
          <w:i/>
          <w:vanish/>
        </w:rPr>
      </w:pPr>
      <w:r w:rsidRPr="00B5645E">
        <w:rPr>
          <w:i/>
        </w:rPr>
        <w:fldChar w:fldCharType="begin"/>
      </w:r>
      <w:r w:rsidRPr="00B5645E">
        <w:rPr>
          <w:i/>
        </w:rPr>
        <w:instrText xml:space="preserve"> TC"(</w:instrText>
      </w:r>
      <w:bookmarkStart w:id="2" w:name="DocNumber"/>
      <w:r w:rsidRPr="00B5645E">
        <w:rPr>
          <w:i/>
        </w:rPr>
        <w:instrText>A9-0032/2023</w:instrText>
      </w:r>
      <w:bookmarkEnd w:id="2"/>
      <w:r w:rsidRPr="00B5645E">
        <w:rPr>
          <w:i/>
        </w:rPr>
        <w:instrText xml:space="preserve"> - Poročevalec: </w:instrText>
      </w:r>
      <w:proofErr w:type="spellStart"/>
      <w:r w:rsidRPr="00B5645E">
        <w:rPr>
          <w:i/>
        </w:rPr>
        <w:instrText>Jerzy</w:instrText>
      </w:r>
      <w:proofErr w:type="spellEnd"/>
      <w:r w:rsidRPr="00B5645E">
        <w:rPr>
          <w:i/>
        </w:rPr>
        <w:instrText xml:space="preserve"> </w:instrText>
      </w:r>
      <w:proofErr w:type="spellStart"/>
      <w:r w:rsidRPr="00B5645E">
        <w:rPr>
          <w:i/>
        </w:rPr>
        <w:instrText>Buzek</w:instrText>
      </w:r>
      <w:proofErr w:type="spellEnd"/>
      <w:r w:rsidRPr="00B5645E">
        <w:rPr>
          <w:i/>
        </w:rPr>
        <w:instrText xml:space="preserve">)"\l3 \n&gt; \* MERGEFORMAT </w:instrText>
      </w:r>
      <w:r w:rsidRPr="00B5645E">
        <w:rPr>
          <w:i/>
        </w:rPr>
        <w:fldChar w:fldCharType="end"/>
      </w:r>
    </w:p>
    <w:p w:rsidR="00F4282B" w:rsidRPr="00B5645E" w:rsidRDefault="00F4282B" w:rsidP="00F4282B">
      <w:pPr>
        <w:rPr>
          <w:vanish/>
        </w:rPr>
      </w:pPr>
      <w:bookmarkStart w:id="3" w:name="Commission"/>
      <w:r w:rsidRPr="00B5645E">
        <w:rPr>
          <w:vanish/>
        </w:rPr>
        <w:t>Odbor za industrijo, raziskave in energetiko</w:t>
      </w:r>
      <w:bookmarkEnd w:id="3"/>
    </w:p>
    <w:p w:rsidR="00F4282B" w:rsidRPr="00B5645E" w:rsidRDefault="00F4282B" w:rsidP="00F4282B">
      <w:pPr>
        <w:rPr>
          <w:vanish/>
        </w:rPr>
      </w:pPr>
      <w:bookmarkStart w:id="4" w:name="PE"/>
      <w:r w:rsidRPr="00B5645E">
        <w:rPr>
          <w:vanish/>
        </w:rPr>
        <w:t>PE734.108</w:t>
      </w:r>
      <w:bookmarkEnd w:id="4"/>
    </w:p>
    <w:p w:rsidR="00F4282B" w:rsidRPr="00B5645E" w:rsidRDefault="00F4282B" w:rsidP="00F4282B">
      <w:pPr>
        <w:pStyle w:val="ATHeading3"/>
      </w:pPr>
      <w:bookmarkStart w:id="5" w:name="Sujet"/>
      <w:r w:rsidRPr="00B5645E">
        <w:t>Zakonodajna resolucija Evropskega parlamenta z dne 11. aprila 2024 o predlogu uredbe Evropskega parlamenta in Sveta o notranjem trgu obnovljivih plinov, zemeljskega plina in vodika (prenovitev)</w:t>
      </w:r>
      <w:bookmarkEnd w:id="5"/>
      <w:r w:rsidRPr="00B5645E">
        <w:t xml:space="preserve"> </w:t>
      </w:r>
      <w:bookmarkStart w:id="6" w:name="References"/>
      <w:r w:rsidRPr="00B5645E">
        <w:t>(COM(2021)0804 – C9-0470/2021 – 2021/0424(COD))</w:t>
      </w:r>
      <w:bookmarkEnd w:id="6"/>
    </w:p>
    <w:p w:rsidR="00F4282B" w:rsidRPr="00B5645E" w:rsidRDefault="00F4282B" w:rsidP="00F4282B"/>
    <w:p w:rsidR="001E0E01" w:rsidRPr="00B5645E" w:rsidRDefault="001E0E01" w:rsidP="001E0E01">
      <w:pPr>
        <w:pStyle w:val="NormalBold"/>
      </w:pPr>
      <w:bookmarkStart w:id="7" w:name="TextBodyBegin"/>
      <w:bookmarkEnd w:id="7"/>
      <w:r w:rsidRPr="00B5645E">
        <w:t>(Redni zakonodajni postopek – prenovitev)</w:t>
      </w:r>
    </w:p>
    <w:p w:rsidR="001E0E01" w:rsidRPr="00B5645E" w:rsidRDefault="001E0E01" w:rsidP="001E0E01">
      <w:pPr>
        <w:pStyle w:val="EPComma"/>
      </w:pPr>
      <w:r w:rsidRPr="00B5645E">
        <w:rPr>
          <w:i/>
        </w:rPr>
        <w:t>Evropski parlament</w:t>
      </w:r>
      <w:r w:rsidRPr="00B5645E">
        <w:t>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predloga Komisije Evropskemu parlamentu in Svetu (COM(2021)0804),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členov 294(2) in 194(2) Pogodbe o delovanju Evropske unije, na podlagi katerih je Komisija podala predlog Parlamentu (C9</w:t>
      </w:r>
      <w:r w:rsidRPr="00B5645E">
        <w:noBreakHyphen/>
        <w:t>0470/2021),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člena 294(3) Pogodbe o delovanju Evropske unije,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obrazloženih mnenj češke poslanske zbornice in češkega senata v okviru Protokola št. 2 o uporabi načel subsidiarnosti in sorazmernosti, v katerih izjavljata, da osnutek zakonodajnega akta ni v skladu z načelom subsidiarnosti,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mnenja Evropskega ekonomsko-socialnega odbora z dne 19. maja 2022</w:t>
      </w:r>
      <w:r w:rsidRPr="00B5645E">
        <w:rPr>
          <w:rStyle w:val="FootnoteReference"/>
        </w:rPr>
        <w:footnoteReference w:id="1"/>
      </w:r>
      <w:r w:rsidRPr="00B5645E">
        <w:t>,</w:t>
      </w:r>
    </w:p>
    <w:p w:rsidR="001E0E01" w:rsidRPr="00B5645E" w:rsidRDefault="001E0E01" w:rsidP="00566727">
      <w:pPr>
        <w:pStyle w:val="NormalHanging12a"/>
      </w:pPr>
      <w:r w:rsidRPr="00B5645E">
        <w:t>–</w:t>
      </w:r>
      <w:r w:rsidRPr="00B5645E">
        <w:tab/>
        <w:t>ob upoštevanju mnenja Evropskega odbora regij z dne 1</w:t>
      </w:r>
      <w:r w:rsidR="00566727" w:rsidRPr="00B5645E">
        <w:t>2</w:t>
      </w:r>
      <w:r w:rsidRPr="00B5645E">
        <w:t>. oktobra 2022</w:t>
      </w:r>
      <w:r w:rsidRPr="00B5645E">
        <w:rPr>
          <w:rStyle w:val="FootnoteReference"/>
        </w:rPr>
        <w:footnoteReference w:id="2"/>
      </w:r>
      <w:r w:rsidRPr="00B5645E">
        <w:t>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Medinstitucionalnega sporazuma z dne 28. novembra 2001 o bolj sistematičnem ponovnem sprejemu pravnih aktov</w:t>
      </w:r>
      <w:r w:rsidRPr="00B5645E">
        <w:rPr>
          <w:rStyle w:val="FootnoteReference"/>
        </w:rPr>
        <w:footnoteReference w:id="3"/>
      </w:r>
      <w:r w:rsidRPr="00B5645E">
        <w:t>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pisma Odbora za pravne zadeve z dne 2. februarja 2023, naslovljenega na Odbor za industrijo, raziskave in energetiko v skladu s členom 110(3) Poslovnika,</w:t>
      </w:r>
    </w:p>
    <w:p w:rsidR="00566727" w:rsidRPr="00B5645E" w:rsidRDefault="00566727" w:rsidP="001E0E01">
      <w:pPr>
        <w:pStyle w:val="NormalHanging12a"/>
      </w:pPr>
      <w:r w:rsidRPr="00B5645E">
        <w:lastRenderedPageBreak/>
        <w:t>–</w:t>
      </w:r>
      <w:r w:rsidRPr="00B5645E">
        <w:tab/>
        <w:t>ob upoštevanju začasnega dogovora, ki ga je odobril pristojni odbor na podlagi člena 74(4) Poslovnika, in zaveze predstavnika Sveta v pismu z dne 20. decembra 2023, da bo odobril stališče Evropskega parlamenta v skladu s členom 294(4) Pogodbe o delovanju Evropske unije,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členov 110 in 59 Poslovnika,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mnenja Odbora za kmetijstvo in razvoj podeželja,</w:t>
      </w:r>
    </w:p>
    <w:p w:rsidR="001E0E01" w:rsidRPr="00B5645E" w:rsidRDefault="001E0E01" w:rsidP="001E0E01">
      <w:pPr>
        <w:pStyle w:val="NormalHanging12a"/>
      </w:pPr>
      <w:r w:rsidRPr="00B5645E">
        <w:t>–</w:t>
      </w:r>
      <w:r w:rsidRPr="00B5645E">
        <w:tab/>
        <w:t>ob upoštevanju poročila Odbora za industrijo, raziskave in energetiko (A9</w:t>
      </w:r>
      <w:r w:rsidRPr="00B5645E">
        <w:noBreakHyphen/>
        <w:t>0032/2023),</w:t>
      </w:r>
    </w:p>
    <w:p w:rsidR="001E0E01" w:rsidRPr="00B5645E" w:rsidRDefault="001E0E01" w:rsidP="001E0E01">
      <w:pPr>
        <w:pStyle w:val="NormalHanging12a"/>
      </w:pPr>
      <w:r w:rsidRPr="00B5645E">
        <w:t>A.</w:t>
      </w:r>
      <w:r w:rsidRPr="00B5645E">
        <w:tab/>
        <w:t>ker po mnenju posvetovalne skupine pravnih služb Evropskega parlamenta, Sveta in Komisije predlog ne predvideva bistvenih sprememb, razen tistih, ki so v njem opredeljene kot take, in ker je ta predlog, kar zadeva kodifikacijo nespremenjenih določb prejšnjih obstoječih besedil skupaj z njihovimi spremembami, zgolj kodifikacija obstoječih besedil brez vsebinskih sprememb;</w:t>
      </w:r>
    </w:p>
    <w:p w:rsidR="001E0E01" w:rsidRPr="00B5645E" w:rsidRDefault="001E0E01" w:rsidP="001E0E01">
      <w:pPr>
        <w:pStyle w:val="NormalHanging12a"/>
      </w:pPr>
      <w:r w:rsidRPr="00B5645E">
        <w:t>1.</w:t>
      </w:r>
      <w:r w:rsidRPr="00B5645E">
        <w:tab/>
        <w:t>sprejme stališče v prvi obravnavi, kakor je določeno v nadaljevanju in kakor je bilo prilagojeno v skladu s predlogi posvetovalne skupine pravnih služb Evropskega parlamenta, Sveta in Komisije;</w:t>
      </w:r>
    </w:p>
    <w:p w:rsidR="001E0E01" w:rsidRPr="00B5645E" w:rsidRDefault="001D48CE" w:rsidP="001D48CE">
      <w:pPr>
        <w:pStyle w:val="NormalHanging12a"/>
      </w:pPr>
      <w:r w:rsidRPr="00B5645E">
        <w:t>2</w:t>
      </w:r>
      <w:r w:rsidR="001E0E01" w:rsidRPr="00B5645E">
        <w:t>.</w:t>
      </w:r>
      <w:r w:rsidR="001E0E01" w:rsidRPr="00B5645E">
        <w:tab/>
        <w:t>poziva Komisijo, naj mu zadevo ponovno predloži, če svoj predlog nadomesti, ga bistveno spremeni ali ga namerava bistveno spremeniti;</w:t>
      </w:r>
    </w:p>
    <w:p w:rsidR="001E0E01" w:rsidRPr="00B5645E" w:rsidRDefault="001D48CE" w:rsidP="001D48CE">
      <w:pPr>
        <w:pStyle w:val="NormalHanging12a"/>
      </w:pPr>
      <w:r w:rsidRPr="00B5645E">
        <w:t>3</w:t>
      </w:r>
      <w:r w:rsidR="001E0E01" w:rsidRPr="00B5645E">
        <w:t>.</w:t>
      </w:r>
      <w:r w:rsidR="001E0E01" w:rsidRPr="00B5645E">
        <w:tab/>
        <w:t>naroči svoji predsednici, naj stališče Parlamenta posreduje Svetu</w:t>
      </w:r>
      <w:r w:rsidR="00566727" w:rsidRPr="00B5645E">
        <w:t>,</w:t>
      </w:r>
      <w:r w:rsidR="001E0E01" w:rsidRPr="00B5645E">
        <w:t xml:space="preserve"> Komisiji </w:t>
      </w:r>
      <w:r w:rsidR="00566727" w:rsidRPr="00B5645E">
        <w:t>in</w:t>
      </w:r>
      <w:r w:rsidR="001E0E01" w:rsidRPr="00B5645E">
        <w:t xml:space="preserve"> nacionalnim parlamentom.</w:t>
      </w:r>
    </w:p>
    <w:p w:rsidR="00566727" w:rsidRPr="00B5645E" w:rsidRDefault="00566727" w:rsidP="001E0E01">
      <w:pPr>
        <w:pStyle w:val="AmNumberTabs"/>
        <w:keepNext/>
        <w:sectPr w:rsidR="00566727" w:rsidRPr="00B5645E" w:rsidSect="00CD21EB">
          <w:footerReference w:type="even" r:id="rId9"/>
          <w:footerReference w:type="first" r:id="rId10"/>
          <w:footnotePr>
            <w:numRestart w:val="eachPage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EF6E02" w:rsidRPr="00B5645E" w:rsidRDefault="00EF6E02" w:rsidP="00EF6E02">
      <w:pPr>
        <w:spacing w:after="240"/>
        <w:rPr>
          <w:b/>
        </w:rPr>
      </w:pPr>
      <w:bookmarkStart w:id="8" w:name="TextBodyEnd"/>
      <w:bookmarkEnd w:id="8"/>
      <w:r w:rsidRPr="00B5645E">
        <w:rPr>
          <w:b/>
        </w:rPr>
        <w:lastRenderedPageBreak/>
        <w:t>P9_TC1-COD(2021)0424</w:t>
      </w:r>
    </w:p>
    <w:p w:rsidR="00EF6E02" w:rsidRDefault="00EF6E02" w:rsidP="00007EA7">
      <w:pPr>
        <w:spacing w:after="200"/>
        <w:rPr>
          <w:rFonts w:eastAsia="Calibri"/>
          <w:b/>
          <w:color w:val="000000"/>
          <w:szCs w:val="22"/>
          <w:lang w:eastAsia="en-US"/>
        </w:rPr>
      </w:pPr>
      <w:r w:rsidRPr="00B5645E">
        <w:rPr>
          <w:b/>
        </w:rPr>
        <w:t xml:space="preserve">Stališče Evropskega parlamenta, sprejeto v prvi obravnavi 11. aprila 2024 z namenom sprejetja Uredbe (EU) 2024/... Evropskega parlamenta in Sveta </w:t>
      </w:r>
      <w:r w:rsidR="00007EA7" w:rsidRPr="00007EA7">
        <w:rPr>
          <w:rFonts w:eastAsia="Calibri"/>
          <w:b/>
          <w:color w:val="000000"/>
          <w:szCs w:val="22"/>
          <w:lang w:eastAsia="en-US"/>
        </w:rPr>
        <w:t>o notranjem trgu plina iz obnovljivih virov, zemeljskega plina in vodika, spremembi uredb (EU) št. 1227/2011, (EU) 2017/1938, (EU) 2019/942 in (EU) 2022/869 ter Sklepa</w:t>
      </w:r>
      <w:bookmarkStart w:id="9" w:name="_GoBack"/>
      <w:bookmarkEnd w:id="9"/>
      <w:r w:rsidR="00007EA7" w:rsidRPr="00007EA7">
        <w:rPr>
          <w:rFonts w:eastAsia="Calibri"/>
          <w:b/>
          <w:color w:val="000000"/>
          <w:szCs w:val="22"/>
          <w:lang w:eastAsia="en-US"/>
        </w:rPr>
        <w:t xml:space="preserve"> (EU) 2017/684 in razveljavitvi Uredbe (ES) št. 715/2009 (prenovitev)</w:t>
      </w:r>
    </w:p>
    <w:p w:rsidR="00007EA7" w:rsidRPr="00B5645E" w:rsidRDefault="00007EA7" w:rsidP="00007EA7">
      <w:pPr>
        <w:widowControl/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007EA7">
        <w:rPr>
          <w:bCs/>
          <w:i/>
        </w:rPr>
        <w:t>(Ker je bil dosežen sporazum med Parlamentom in Svetom, je stališče Parlamenta enako končnemu zakonodajnemu aktu, Uredbi (EU) 202</w:t>
      </w:r>
      <w:r w:rsidRPr="00007EA7">
        <w:rPr>
          <w:bCs/>
          <w:i/>
        </w:rPr>
        <w:t>4</w:t>
      </w:r>
      <w:r w:rsidRPr="00007EA7">
        <w:rPr>
          <w:bCs/>
          <w:i/>
        </w:rPr>
        <w:t>/</w:t>
      </w:r>
      <w:r w:rsidRPr="00007EA7">
        <w:rPr>
          <w:bCs/>
          <w:i/>
        </w:rPr>
        <w:t>1789</w:t>
      </w:r>
      <w:r w:rsidRPr="00007EA7">
        <w:rPr>
          <w:bCs/>
          <w:i/>
        </w:rPr>
        <w:t>.)</w:t>
      </w:r>
    </w:p>
    <w:sectPr w:rsidR="00007EA7" w:rsidRPr="00B5645E" w:rsidSect="00EF6E02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82B" w:rsidRPr="00CD21EB" w:rsidRDefault="00F4282B">
      <w:r w:rsidRPr="00CD21EB">
        <w:separator/>
      </w:r>
    </w:p>
  </w:endnote>
  <w:endnote w:type="continuationSeparator" w:id="0">
    <w:p w:rsidR="00F4282B" w:rsidRPr="00CD21EB" w:rsidRDefault="00F4282B">
      <w:r w:rsidRPr="00CD21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E01" w:rsidRPr="00CD21EB" w:rsidRDefault="001E0E01" w:rsidP="00F94CB8">
    <w:pPr>
      <w:pStyle w:val="EPFooter"/>
    </w:pPr>
    <w:r w:rsidRPr="00CD21EB">
      <w:t>PE</w:t>
    </w:r>
    <w:r w:rsidRPr="00CD21EB">
      <w:rPr>
        <w:rStyle w:val="HideTWBExt"/>
      </w:rPr>
      <w:t>&lt;NoPE&gt;</w:t>
    </w:r>
    <w:r w:rsidRPr="00CD21EB">
      <w:t>734.108</w:t>
    </w:r>
    <w:r w:rsidRPr="00CD21EB">
      <w:rPr>
        <w:rStyle w:val="HideTWBExt"/>
      </w:rPr>
      <w:t>&lt;/NoPE&gt;&lt;Version&gt;</w:t>
    </w:r>
    <w:r w:rsidRPr="00CD21EB">
      <w:t>v01-00</w:t>
    </w:r>
    <w:r w:rsidRPr="00CD21EB">
      <w:rPr>
        <w:rStyle w:val="HideTWBExt"/>
      </w:rPr>
      <w:t>&lt;/Version&gt;</w:t>
    </w:r>
    <w:r w:rsidRPr="00CD21EB">
      <w:tab/>
    </w:r>
    <w:r w:rsidRPr="00CD21EB">
      <w:fldChar w:fldCharType="begin"/>
    </w:r>
    <w:r w:rsidRPr="00CD21EB">
      <w:instrText xml:space="preserve"> PAGE  \* MERGEFORMAT </w:instrText>
    </w:r>
    <w:r w:rsidRPr="00CD21EB">
      <w:fldChar w:fldCharType="separate"/>
    </w:r>
    <w:r w:rsidRPr="00CD21EB">
      <w:rPr>
        <w:noProof/>
      </w:rPr>
      <w:t>162</w:t>
    </w:r>
    <w:r w:rsidRPr="00CD21EB">
      <w:fldChar w:fldCharType="end"/>
    </w:r>
    <w:r w:rsidRPr="00CD21EB">
      <w:t>/</w:t>
    </w:r>
    <w:fldSimple w:instr=" NUMPAGES  \* MERGEFORMAT ">
      <w:r w:rsidRPr="00CD21EB">
        <w:rPr>
          <w:noProof/>
        </w:rPr>
        <w:t>162</w:t>
      </w:r>
    </w:fldSimple>
    <w:r w:rsidRPr="00CD21EB">
      <w:tab/>
    </w:r>
    <w:r w:rsidRPr="00CD21EB">
      <w:rPr>
        <w:rStyle w:val="HideTWBExt"/>
      </w:rPr>
      <w:t>&lt;PathFdR&gt;</w:t>
    </w:r>
    <w:r w:rsidRPr="00CD21EB">
      <w:t>RR\1273002SL.docx</w:t>
    </w:r>
    <w:r w:rsidRPr="00CD21EB">
      <w:rPr>
        <w:rStyle w:val="HideTWBExt"/>
      </w:rPr>
      <w:t>&lt;/PathFdR&gt;</w:t>
    </w:r>
  </w:p>
  <w:p w:rsidR="001E0E01" w:rsidRPr="00CD21EB" w:rsidRDefault="001E0E01" w:rsidP="00F94CB8">
    <w:pPr>
      <w:pStyle w:val="EPFooter2"/>
    </w:pPr>
    <w:r w:rsidRPr="00CD21EB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E01" w:rsidRPr="00CD21EB" w:rsidRDefault="001E0E01" w:rsidP="00F94CB8">
    <w:pPr>
      <w:pStyle w:val="EPFooter"/>
    </w:pPr>
    <w:r w:rsidRPr="00CD21EB">
      <w:rPr>
        <w:rStyle w:val="HideTWBExt"/>
      </w:rPr>
      <w:t>&lt;PathFdR&gt;</w:t>
    </w:r>
    <w:r w:rsidRPr="00CD21EB">
      <w:t>RR\1273002SL.docx</w:t>
    </w:r>
    <w:r w:rsidRPr="00CD21EB">
      <w:rPr>
        <w:rStyle w:val="HideTWBExt"/>
      </w:rPr>
      <w:t>&lt;/PathFdR&gt;</w:t>
    </w:r>
    <w:r w:rsidRPr="00CD21EB">
      <w:tab/>
    </w:r>
    <w:r w:rsidRPr="00CD21EB">
      <w:tab/>
      <w:t>PE</w:t>
    </w:r>
    <w:r w:rsidRPr="00CD21EB">
      <w:rPr>
        <w:rStyle w:val="HideTWBExt"/>
      </w:rPr>
      <w:t>&lt;NoPE&gt;</w:t>
    </w:r>
    <w:r w:rsidRPr="00CD21EB">
      <w:t>734.108</w:t>
    </w:r>
    <w:r w:rsidRPr="00CD21EB">
      <w:rPr>
        <w:rStyle w:val="HideTWBExt"/>
      </w:rPr>
      <w:t>&lt;/NoPE&gt;&lt;Version&gt;</w:t>
    </w:r>
    <w:r w:rsidRPr="00CD21EB">
      <w:t>v01-00</w:t>
    </w:r>
    <w:r w:rsidRPr="00CD21EB">
      <w:rPr>
        <w:rStyle w:val="HideTWBExt"/>
      </w:rPr>
      <w:t>&lt;/Version&gt;</w:t>
    </w:r>
  </w:p>
  <w:p w:rsidR="001E0E01" w:rsidRPr="00CD21EB" w:rsidRDefault="001E0E01" w:rsidP="00F94CB8">
    <w:pPr>
      <w:pStyle w:val="EPFooter2"/>
    </w:pPr>
    <w:r w:rsidRPr="00CD21EB">
      <w:t>SL</w:t>
    </w:r>
    <w:r w:rsidRPr="00CD21EB">
      <w:tab/>
    </w:r>
    <w:r w:rsidRPr="00CD21EB">
      <w:rPr>
        <w:b w:val="0"/>
        <w:i/>
        <w:color w:val="C0C0C0"/>
        <w:sz w:val="22"/>
      </w:rPr>
      <w:t>Združena v raznolikosti</w:t>
    </w:r>
    <w:r w:rsidRPr="00CD21EB">
      <w:tab/>
      <w:t>SL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82B" w:rsidRPr="00CD21EB" w:rsidRDefault="00F4282B">
      <w:r w:rsidRPr="00CD21EB">
        <w:separator/>
      </w:r>
    </w:p>
  </w:footnote>
  <w:footnote w:type="continuationSeparator" w:id="0">
    <w:p w:rsidR="00F4282B" w:rsidRPr="00CD21EB" w:rsidRDefault="00F4282B">
      <w:r w:rsidRPr="00CD21EB">
        <w:continuationSeparator/>
      </w:r>
    </w:p>
  </w:footnote>
  <w:footnote w:id="1">
    <w:p w:rsidR="001E0E01" w:rsidRPr="00EF6E02" w:rsidRDefault="001E0E01" w:rsidP="00CD21EB">
      <w:pPr>
        <w:pStyle w:val="FootnoteText"/>
        <w:ind w:left="567" w:hanging="567"/>
        <w:rPr>
          <w:sz w:val="24"/>
          <w:szCs w:val="24"/>
          <w:lang w:val="sl-SI"/>
        </w:rPr>
      </w:pPr>
      <w:r w:rsidRPr="00EF6E02">
        <w:rPr>
          <w:rStyle w:val="FootnoteReference"/>
          <w:sz w:val="24"/>
          <w:szCs w:val="24"/>
          <w:lang w:val="sl-SI"/>
        </w:rPr>
        <w:footnoteRef/>
      </w:r>
      <w:r w:rsidR="00CD21EB" w:rsidRPr="00EF6E02">
        <w:rPr>
          <w:sz w:val="24"/>
          <w:szCs w:val="24"/>
          <w:lang w:val="sl-SI"/>
        </w:rPr>
        <w:t xml:space="preserve"> </w:t>
      </w:r>
      <w:r w:rsidR="00CD21EB" w:rsidRPr="00EF6E02">
        <w:rPr>
          <w:sz w:val="24"/>
          <w:szCs w:val="24"/>
          <w:lang w:val="sl-SI"/>
        </w:rPr>
        <w:tab/>
      </w:r>
      <w:r w:rsidRPr="00EF6E02">
        <w:rPr>
          <w:sz w:val="24"/>
          <w:szCs w:val="24"/>
          <w:lang w:val="sl-SI"/>
        </w:rPr>
        <w:t>UL C 323, 26.8.2022, str. 101.</w:t>
      </w:r>
    </w:p>
  </w:footnote>
  <w:footnote w:id="2">
    <w:p w:rsidR="001E0E01" w:rsidRPr="00EF6E02" w:rsidRDefault="001E0E01" w:rsidP="00CD21EB">
      <w:pPr>
        <w:pStyle w:val="FootnoteText"/>
        <w:ind w:left="567" w:hanging="567"/>
        <w:rPr>
          <w:sz w:val="24"/>
          <w:szCs w:val="24"/>
          <w:lang w:val="sl-SI"/>
        </w:rPr>
      </w:pPr>
      <w:r w:rsidRPr="00EF6E02">
        <w:rPr>
          <w:rStyle w:val="FootnoteReference"/>
          <w:sz w:val="24"/>
          <w:szCs w:val="24"/>
          <w:lang w:val="sl-SI"/>
        </w:rPr>
        <w:footnoteRef/>
      </w:r>
      <w:r w:rsidR="00CD21EB" w:rsidRPr="00EF6E02">
        <w:rPr>
          <w:sz w:val="24"/>
          <w:szCs w:val="24"/>
          <w:lang w:val="sl-SI"/>
        </w:rPr>
        <w:t xml:space="preserve"> </w:t>
      </w:r>
      <w:r w:rsidR="00CD21EB" w:rsidRPr="00EF6E02">
        <w:rPr>
          <w:sz w:val="24"/>
          <w:szCs w:val="24"/>
          <w:lang w:val="sl-SI"/>
        </w:rPr>
        <w:tab/>
      </w:r>
      <w:r w:rsidRPr="00EF6E02">
        <w:rPr>
          <w:sz w:val="24"/>
          <w:szCs w:val="24"/>
          <w:lang w:val="sl-SI"/>
        </w:rPr>
        <w:t>UL C 498, 30.12.2022, str. 83.</w:t>
      </w:r>
    </w:p>
  </w:footnote>
  <w:footnote w:id="3">
    <w:p w:rsidR="001E0E01" w:rsidRPr="00EF6E02" w:rsidRDefault="001E0E01" w:rsidP="00CD21EB">
      <w:pPr>
        <w:pStyle w:val="FootnoteText"/>
        <w:ind w:left="567" w:hanging="567"/>
        <w:rPr>
          <w:sz w:val="24"/>
          <w:szCs w:val="24"/>
          <w:lang w:val="sl-SI"/>
        </w:rPr>
      </w:pPr>
      <w:r w:rsidRPr="00EF6E02">
        <w:rPr>
          <w:rStyle w:val="FootnoteReference"/>
          <w:sz w:val="24"/>
          <w:szCs w:val="24"/>
          <w:lang w:val="sl-SI"/>
        </w:rPr>
        <w:footnoteRef/>
      </w:r>
      <w:r w:rsidR="00CD21EB" w:rsidRPr="00EF6E02">
        <w:rPr>
          <w:sz w:val="24"/>
          <w:szCs w:val="24"/>
          <w:lang w:val="sl-SI"/>
        </w:rPr>
        <w:t xml:space="preserve"> </w:t>
      </w:r>
      <w:r w:rsidR="00CD21EB" w:rsidRPr="00EF6E02">
        <w:rPr>
          <w:sz w:val="24"/>
          <w:szCs w:val="24"/>
          <w:lang w:val="sl-SI"/>
        </w:rPr>
        <w:tab/>
      </w:r>
      <w:r w:rsidRPr="00EF6E02">
        <w:rPr>
          <w:sz w:val="24"/>
          <w:szCs w:val="24"/>
          <w:lang w:val="sl-SI"/>
        </w:rPr>
        <w:t>UL C 77, 28.3.2002, str. 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6FD251AC"/>
    <w:lvl w:ilvl="0">
      <w:start w:val="1"/>
      <w:numFmt w:val="bullet"/>
      <w:pStyle w:val="Tabletalkingpoints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0C0A1BC2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9"/>
  </w:num>
  <w:num w:numId="3">
    <w:abstractNumId w:val="1"/>
  </w:num>
  <w:num w:numId="4">
    <w:abstractNumId w:val="17"/>
  </w:num>
  <w:num w:numId="5">
    <w:abstractNumId w:val="26"/>
  </w:num>
  <w:num w:numId="6">
    <w:abstractNumId w:val="25"/>
  </w:num>
  <w:num w:numId="7">
    <w:abstractNumId w:val="6"/>
  </w:num>
  <w:num w:numId="8">
    <w:abstractNumId w:val="18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20"/>
  </w:num>
  <w:num w:numId="12">
    <w:abstractNumId w:val="36"/>
  </w:num>
  <w:num w:numId="13">
    <w:abstractNumId w:val="16"/>
  </w:num>
  <w:num w:numId="14">
    <w:abstractNumId w:val="21"/>
  </w:num>
  <w:num w:numId="15">
    <w:abstractNumId w:val="2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0"/>
  </w:num>
  <w:num w:numId="20">
    <w:abstractNumId w:val="31"/>
  </w:num>
  <w:num w:numId="21">
    <w:abstractNumId w:val="15"/>
  </w:num>
  <w:num w:numId="22">
    <w:abstractNumId w:val="27"/>
  </w:num>
  <w:num w:numId="23">
    <w:abstractNumId w:val="44"/>
    <w:lvlOverride w:ilvl="0">
      <w:startOverride w:val="1"/>
    </w:lvlOverride>
  </w:num>
  <w:num w:numId="24">
    <w:abstractNumId w:val="38"/>
  </w:num>
  <w:num w:numId="25">
    <w:abstractNumId w:val="3"/>
  </w:num>
  <w:num w:numId="26">
    <w:abstractNumId w:val="39"/>
  </w:num>
  <w:num w:numId="27">
    <w:abstractNumId w:val="33"/>
  </w:num>
  <w:num w:numId="28">
    <w:abstractNumId w:val="5"/>
  </w:num>
  <w:num w:numId="29">
    <w:abstractNumId w:val="41"/>
  </w:num>
  <w:num w:numId="30">
    <w:abstractNumId w:val="43"/>
  </w:num>
  <w:num w:numId="31">
    <w:abstractNumId w:val="28"/>
  </w:num>
  <w:num w:numId="32">
    <w:abstractNumId w:val="40"/>
  </w:num>
  <w:num w:numId="33">
    <w:abstractNumId w:val="35"/>
  </w:num>
  <w:num w:numId="34">
    <w:abstractNumId w:val="23"/>
  </w:num>
  <w:num w:numId="35">
    <w:abstractNumId w:val="2"/>
  </w:num>
  <w:num w:numId="36">
    <w:abstractNumId w:val="13"/>
  </w:num>
  <w:num w:numId="37">
    <w:abstractNumId w:val="8"/>
  </w:num>
  <w:num w:numId="38">
    <w:abstractNumId w:val="14"/>
  </w:num>
  <w:num w:numId="39">
    <w:abstractNumId w:val="29"/>
  </w:num>
  <w:num w:numId="40">
    <w:abstractNumId w:val="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SL"/>
    <w:docVar w:name="dvnumam" w:val="0"/>
    <w:docVar w:name="dvpe" w:val="734.108"/>
    <w:docVar w:name="dvrapporteur" w:val="Poročevalec: "/>
    <w:docVar w:name="dvstar" w:val="***I"/>
    <w:docVar w:name="dvtitre" w:val="Zakonodajna resolucija Evropskega parlamenta z dne 11. aprila 2024 o predlogu uredbe Evropskega parlamenta in Sveta o notranjem trgu obnovljivih plinov, zemeljskega plina in vodika (prenovitev)(COM(2021)0804 – C9-0470/2021 – 2021/0424(COD))"/>
  </w:docVars>
  <w:rsids>
    <w:rsidRoot w:val="00F4282B"/>
    <w:rsid w:val="00002272"/>
    <w:rsid w:val="00007EA7"/>
    <w:rsid w:val="00027CE9"/>
    <w:rsid w:val="00064002"/>
    <w:rsid w:val="000677B9"/>
    <w:rsid w:val="000831BA"/>
    <w:rsid w:val="000A42CC"/>
    <w:rsid w:val="000E7DD9"/>
    <w:rsid w:val="0010095E"/>
    <w:rsid w:val="00125B37"/>
    <w:rsid w:val="00187494"/>
    <w:rsid w:val="001D48CE"/>
    <w:rsid w:val="001E0E0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72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C4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45E"/>
    <w:rsid w:val="00BD48FE"/>
    <w:rsid w:val="00BD7BD8"/>
    <w:rsid w:val="00BE6ADC"/>
    <w:rsid w:val="00C05BFE"/>
    <w:rsid w:val="00C23CD4"/>
    <w:rsid w:val="00C61C0C"/>
    <w:rsid w:val="00C941CB"/>
    <w:rsid w:val="00CC2357"/>
    <w:rsid w:val="00CD21E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178"/>
    <w:rsid w:val="00EB006A"/>
    <w:rsid w:val="00EB4772"/>
    <w:rsid w:val="00ED169E"/>
    <w:rsid w:val="00ED4235"/>
    <w:rsid w:val="00EF6E02"/>
    <w:rsid w:val="00F04346"/>
    <w:rsid w:val="00F075DC"/>
    <w:rsid w:val="00F149E9"/>
    <w:rsid w:val="00F4282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F4F4CB"/>
  <w15:chartTrackingRefBased/>
  <w15:docId w15:val="{149E82D2-1CF9-4FC0-8BF1-FA6A3AFF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E0E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E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E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E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E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E01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E01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1E0E01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1E0E01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1E0E0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1E0E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1E0E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E0E01"/>
    <w:pPr>
      <w:spacing w:after="240"/>
    </w:pPr>
  </w:style>
  <w:style w:type="paragraph" w:customStyle="1" w:styleId="TOCPage">
    <w:name w:val="TOC Page"/>
    <w:basedOn w:val="Normal"/>
    <w:next w:val="TOC1"/>
    <w:rsid w:val="001E0E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1E0E01"/>
    <w:pPr>
      <w:spacing w:after="120"/>
    </w:pPr>
  </w:style>
  <w:style w:type="paragraph" w:customStyle="1" w:styleId="NormalBold">
    <w:name w:val="NormalBold"/>
    <w:basedOn w:val="Normal"/>
    <w:link w:val="NormalBoldChar"/>
    <w:rsid w:val="001E0E0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E0E01"/>
    <w:rPr>
      <w:b/>
      <w:sz w:val="24"/>
      <w:lang w:val="sl-SI"/>
    </w:rPr>
  </w:style>
  <w:style w:type="paragraph" w:customStyle="1" w:styleId="NormalBold12a">
    <w:name w:val="NormalBold12a"/>
    <w:basedOn w:val="Normal"/>
    <w:rsid w:val="001E0E0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E0E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0E01"/>
    <w:pPr>
      <w:spacing w:after="480"/>
      <w:ind w:left="1417"/>
    </w:pPr>
  </w:style>
  <w:style w:type="paragraph" w:customStyle="1" w:styleId="CoverNormal">
    <w:name w:val="CoverNormal"/>
    <w:basedOn w:val="Normal"/>
    <w:rsid w:val="001E0E01"/>
    <w:pPr>
      <w:ind w:left="1418"/>
    </w:pPr>
  </w:style>
  <w:style w:type="paragraph" w:customStyle="1" w:styleId="CoverReference">
    <w:name w:val="CoverReference"/>
    <w:basedOn w:val="Normal"/>
    <w:rsid w:val="001E0E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E0E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E0E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0E0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E0E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E01"/>
    <w:rPr>
      <w:sz w:val="24"/>
      <w:lang w:val="sl-SI"/>
    </w:rPr>
  </w:style>
  <w:style w:type="paragraph" w:customStyle="1" w:styleId="AnnexWPTabs">
    <w:name w:val="AnnexWPTabs"/>
    <w:basedOn w:val="Normal"/>
    <w:rsid w:val="001E0E0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E0E0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E0E01"/>
    <w:rPr>
      <w:smallCaps/>
      <w:sz w:val="20"/>
    </w:rPr>
  </w:style>
  <w:style w:type="paragraph" w:customStyle="1" w:styleId="AnnexWPDocType">
    <w:name w:val="AnnexWPDocType"/>
    <w:basedOn w:val="Normal"/>
    <w:rsid w:val="001E0E0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E0E01"/>
    <w:pPr>
      <w:spacing w:before="480"/>
    </w:pPr>
    <w:rPr>
      <w:b/>
    </w:rPr>
  </w:style>
  <w:style w:type="paragraph" w:customStyle="1" w:styleId="AmJustText">
    <w:name w:val="AmJustText"/>
    <w:basedOn w:val="Normal"/>
    <w:uiPriority w:val="99"/>
    <w:rsid w:val="001E0E01"/>
    <w:pPr>
      <w:spacing w:after="240"/>
    </w:pPr>
    <w:rPr>
      <w:i/>
    </w:rPr>
  </w:style>
  <w:style w:type="paragraph" w:customStyle="1" w:styleId="AmCrossRef">
    <w:name w:val="AmCrossRef"/>
    <w:basedOn w:val="Normal"/>
    <w:uiPriority w:val="99"/>
    <w:rsid w:val="001E0E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1E0E0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uiPriority w:val="99"/>
    <w:rsid w:val="001E0E01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1E0E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0E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1E0E01"/>
    <w:pPr>
      <w:spacing w:before="240"/>
    </w:pPr>
    <w:rPr>
      <w:b/>
    </w:rPr>
  </w:style>
  <w:style w:type="paragraph" w:customStyle="1" w:styleId="EPBody">
    <w:name w:val="EPBody"/>
    <w:basedOn w:val="Normal"/>
    <w:rsid w:val="001E0E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1E0E01"/>
    <w:pPr>
      <w:spacing w:before="120" w:after="120"/>
    </w:pPr>
  </w:style>
  <w:style w:type="paragraph" w:customStyle="1" w:styleId="EPFooter">
    <w:name w:val="EPFooter"/>
    <w:basedOn w:val="Normal"/>
    <w:rsid w:val="001E0E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0E01"/>
    <w:pPr>
      <w:spacing w:before="480" w:after="240"/>
    </w:pPr>
  </w:style>
  <w:style w:type="paragraph" w:customStyle="1" w:styleId="Lgendesigne">
    <w:name w:val="Légende signe"/>
    <w:basedOn w:val="Normal"/>
    <w:rsid w:val="001E0E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E0E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E0E01"/>
    <w:rPr>
      <w:sz w:val="18"/>
    </w:rPr>
  </w:style>
  <w:style w:type="paragraph" w:styleId="Footer">
    <w:name w:val="footer"/>
    <w:basedOn w:val="Normal"/>
    <w:link w:val="FooterChar"/>
    <w:uiPriority w:val="99"/>
    <w:rsid w:val="001E0E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E01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1E0E01"/>
    <w:rPr>
      <w:noProof/>
      <w:sz w:val="24"/>
    </w:rPr>
  </w:style>
  <w:style w:type="paragraph" w:customStyle="1" w:styleId="Normal12">
    <w:name w:val="Normal12"/>
    <w:basedOn w:val="Normal"/>
    <w:link w:val="Normal12Char"/>
    <w:rsid w:val="001E0E0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E0E01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1E0E01"/>
    <w:pPr>
      <w:spacing w:after="120"/>
    </w:pPr>
  </w:style>
  <w:style w:type="paragraph" w:customStyle="1" w:styleId="Normal12Italic">
    <w:name w:val="Normal12Italic"/>
    <w:basedOn w:val="Normal12"/>
    <w:uiPriority w:val="99"/>
    <w:rsid w:val="001E0E01"/>
    <w:rPr>
      <w:i/>
    </w:rPr>
  </w:style>
  <w:style w:type="paragraph" w:customStyle="1" w:styleId="EntPE">
    <w:name w:val="EntPE"/>
    <w:basedOn w:val="Normal12"/>
    <w:uiPriority w:val="99"/>
    <w:rsid w:val="001E0E01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uiPriority w:val="99"/>
    <w:rsid w:val="001E0E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1E0E01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1E0E0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1E0E01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1E0E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0E01"/>
    <w:rPr>
      <w:rFonts w:ascii="Segoe UI" w:hAnsi="Segoe UI" w:cs="Segoe UI"/>
      <w:sz w:val="18"/>
      <w:szCs w:val="18"/>
      <w:lang w:val="sl-SI"/>
    </w:rPr>
  </w:style>
  <w:style w:type="paragraph" w:customStyle="1" w:styleId="Normal24a">
    <w:name w:val="Normal24a"/>
    <w:basedOn w:val="Normal"/>
    <w:rsid w:val="001E0E01"/>
    <w:pPr>
      <w:spacing w:after="480"/>
    </w:pPr>
  </w:style>
  <w:style w:type="paragraph" w:customStyle="1" w:styleId="NormalBoldCenter">
    <w:name w:val="NormalBoldCenter"/>
    <w:basedOn w:val="Normal"/>
    <w:uiPriority w:val="99"/>
    <w:rsid w:val="001E0E01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1E0E01"/>
    <w:rPr>
      <w:i/>
      <w:iCs/>
    </w:rPr>
  </w:style>
  <w:style w:type="character" w:styleId="CommentReference">
    <w:name w:val="annotation reference"/>
    <w:basedOn w:val="DefaultParagraphFont"/>
    <w:uiPriority w:val="99"/>
    <w:rsid w:val="001E0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0E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E0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E0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0E01"/>
    <w:rPr>
      <w:b/>
      <w:bCs/>
      <w:lang w:val="sl-SI"/>
    </w:rPr>
  </w:style>
  <w:style w:type="paragraph" w:styleId="Revision">
    <w:name w:val="Revision"/>
    <w:hidden/>
    <w:uiPriority w:val="99"/>
    <w:semiHidden/>
    <w:rsid w:val="001E0E01"/>
    <w:rPr>
      <w:sz w:val="24"/>
      <w:lang w:val="sl-SI"/>
    </w:rPr>
  </w:style>
  <w:style w:type="paragraph" w:customStyle="1" w:styleId="NormalCenter12a">
    <w:name w:val="NormalCenter12a"/>
    <w:basedOn w:val="Normal"/>
    <w:rsid w:val="001E0E0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1E0E01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1E0E0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1E0E01"/>
    <w:rPr>
      <w:color w:val="800080"/>
      <w:u w:val="single"/>
    </w:rPr>
  </w:style>
  <w:style w:type="paragraph" w:customStyle="1" w:styleId="Text1">
    <w:name w:val="Text 1"/>
    <w:basedOn w:val="Normal"/>
    <w:rsid w:val="001E0E0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1E0E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1E0E0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1E0E0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E0E0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LetterSignature">
    <w:name w:val="LetterSignature"/>
    <w:basedOn w:val="Normal"/>
    <w:next w:val="Normal"/>
    <w:rsid w:val="001E0E01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E0E0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E0E0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E0E0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1E0E0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E0E0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E0E0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E0E0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E0E0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E0E0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1E0E0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1E0E0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E0E0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1E0E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1E0E0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1E0E0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1E0E0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1E0E0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1E0E0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1E0E0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1E0E0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1E0E0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1E0E01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1E0E01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1E0E01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1E0E01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1E0E0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1E0E0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1E0E0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1E0E01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1E0E0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1E0E0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1E0E0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1E0E01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1E0E0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1E0E0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1E0E0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1E0E0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1E0E0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1E0E0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1E0E01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1E0E0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1E0E01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1E0E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1E0E0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1E0E0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1E0E0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1E0E0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1E0E0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1E0E0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1E0E0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1E0E0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1E0E01"/>
  </w:style>
  <w:style w:type="character" w:customStyle="1" w:styleId="FooterCoverPageChar">
    <w:name w:val="Footer Cover Page Char"/>
    <w:link w:val="FooterCoverPage"/>
    <w:semiHidden/>
    <w:locked/>
    <w:rsid w:val="001E0E01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1E0E0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1E0E01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1E0E01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1E0E0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1E0E0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1E0E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1E0E0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1E0E0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1E0E0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1E0E0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1E0E0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1E0E0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1E0E0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1E0E0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E0E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1E0E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1E0E0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1E0E0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1E0E0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1E0E0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1E0E01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1E0E01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1E0E01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1E0E01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1E0E01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1E0E01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1E0E0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1E0E0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1E0E0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1E0E0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1E0E0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1E0E0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1E0E0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1E0E0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1E0E0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1E0E0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1E0E01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1E0E01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1E0E01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1E0E01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1E0E01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1E0E01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1E0E01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1E0E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1E0E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1E0E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1E0E0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1E0E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1E0E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1E0E0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1E0E0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1E0E0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1E0E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1E0E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1E0E0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1E0E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1E0E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1E0E0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1E0E0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1E0E0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1E0E0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E0E01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E0E01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E0E01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E0E01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E0E01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E0E01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E0E01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E0E01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E0E01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1E0E01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1E0E01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1E0E01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1E0E01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1E0E01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1E0E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1E0E0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1E0E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1E0E0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1E0E0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E0E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E0E0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E0E0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E0E0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E0E01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1E0E0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1E0E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1E0E0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1E0E0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1E0E0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1E0E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1E0E0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1E0E0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1E0E0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1E0E0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1E0E0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1E0E0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1E0E0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1E0E01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1E0E0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1E0E0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1E0E0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1E0E0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1E0E0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1E0E0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1E0E0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1E0E0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1E0E0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1E0E0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E0E0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E0E0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E0E01"/>
  </w:style>
  <w:style w:type="paragraph" w:customStyle="1" w:styleId="Volume">
    <w:name w:val="Volume"/>
    <w:basedOn w:val="Normal"/>
    <w:next w:val="Confidentialit"/>
    <w:uiPriority w:val="99"/>
    <w:rsid w:val="001E0E0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1E0E0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1E0E0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1E0E0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E0E01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E0E0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E0E0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E0E01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normaltextrun">
    <w:name w:val="normaltextrun"/>
    <w:basedOn w:val="DefaultParagraphFont"/>
    <w:rsid w:val="001E0E01"/>
  </w:style>
  <w:style w:type="character" w:customStyle="1" w:styleId="super">
    <w:name w:val="super"/>
    <w:basedOn w:val="DefaultParagraphFont"/>
    <w:rsid w:val="001E0E01"/>
  </w:style>
  <w:style w:type="character" w:customStyle="1" w:styleId="tw4winMark">
    <w:name w:val="tw4winMark"/>
    <w:rsid w:val="001E0E01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1E0E01"/>
    <w:rPr>
      <w:color w:val="00FF00"/>
      <w:sz w:val="40"/>
      <w:lang w:val="sl-SI" w:eastAsia="en-GB"/>
    </w:rPr>
  </w:style>
  <w:style w:type="character" w:customStyle="1" w:styleId="tw4winTerm">
    <w:name w:val="tw4winTerm"/>
    <w:rsid w:val="001E0E01"/>
    <w:rPr>
      <w:color w:val="0000FF"/>
      <w:lang w:val="sl-SI" w:eastAsia="en-GB"/>
    </w:rPr>
  </w:style>
  <w:style w:type="character" w:customStyle="1" w:styleId="tw4winPopup">
    <w:name w:val="tw4winPopup"/>
    <w:rsid w:val="001E0E01"/>
    <w:rPr>
      <w:noProof/>
      <w:color w:val="008000"/>
      <w:lang w:val="sl-SI" w:eastAsia="en-GB"/>
    </w:rPr>
  </w:style>
  <w:style w:type="character" w:customStyle="1" w:styleId="tw4winJump">
    <w:name w:val="tw4winJump"/>
    <w:rsid w:val="001E0E01"/>
    <w:rPr>
      <w:noProof/>
      <w:color w:val="008080"/>
      <w:lang w:val="sl-SI" w:eastAsia="en-GB"/>
    </w:rPr>
  </w:style>
  <w:style w:type="character" w:customStyle="1" w:styleId="tw4winExternal">
    <w:name w:val="tw4winExternal"/>
    <w:rsid w:val="001E0E01"/>
    <w:rPr>
      <w:noProof/>
      <w:color w:val="808080"/>
      <w:lang w:val="sl-SI" w:eastAsia="en-GB"/>
    </w:rPr>
  </w:style>
  <w:style w:type="character" w:customStyle="1" w:styleId="tw4winInternal">
    <w:name w:val="tw4winInternal"/>
    <w:rsid w:val="001E0E01"/>
    <w:rPr>
      <w:noProof/>
      <w:color w:val="FF0000"/>
      <w:lang w:val="sl-SI" w:eastAsia="en-GB"/>
    </w:rPr>
  </w:style>
  <w:style w:type="character" w:customStyle="1" w:styleId="DONOTTRANSLATE">
    <w:name w:val="DO_NOT_TRANSLATE"/>
    <w:rsid w:val="001E0E01"/>
    <w:rPr>
      <w:noProof/>
      <w:color w:val="800000"/>
      <w:lang w:val="sl-SI" w:eastAsia="en-GB"/>
    </w:rPr>
  </w:style>
  <w:style w:type="character" w:customStyle="1" w:styleId="Marker">
    <w:name w:val="Marker"/>
    <w:rsid w:val="001E0E01"/>
    <w:rPr>
      <w:color w:val="0000FF"/>
    </w:rPr>
  </w:style>
  <w:style w:type="character" w:customStyle="1" w:styleId="Marker1">
    <w:name w:val="Marker1"/>
    <w:rsid w:val="001E0E01"/>
    <w:rPr>
      <w:color w:val="008000"/>
    </w:rPr>
  </w:style>
  <w:style w:type="character" w:customStyle="1" w:styleId="Marker2">
    <w:name w:val="Marker2"/>
    <w:rsid w:val="001E0E01"/>
    <w:rPr>
      <w:color w:val="FF0000"/>
    </w:rPr>
  </w:style>
  <w:style w:type="character" w:customStyle="1" w:styleId="Added">
    <w:name w:val="Added"/>
    <w:rsid w:val="001E0E01"/>
    <w:rPr>
      <w:b/>
      <w:bCs w:val="0"/>
      <w:u w:val="single"/>
    </w:rPr>
  </w:style>
  <w:style w:type="character" w:customStyle="1" w:styleId="Deleted">
    <w:name w:val="Deleted"/>
    <w:rsid w:val="001E0E01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1E0E0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1E0E01"/>
  </w:style>
  <w:style w:type="paragraph" w:customStyle="1" w:styleId="Sous-titre">
    <w:name w:val="Sous-titre"/>
    <w:basedOn w:val="Soustitr"/>
    <w:uiPriority w:val="99"/>
    <w:semiHidden/>
    <w:rsid w:val="001E0E01"/>
  </w:style>
  <w:style w:type="paragraph" w:customStyle="1" w:styleId="ListNumber3Level2">
    <w:name w:val="List Number 3 (Level 2)"/>
    <w:basedOn w:val="Text3"/>
    <w:uiPriority w:val="99"/>
    <w:semiHidden/>
    <w:rsid w:val="001E0E0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1E0E0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1E0E0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1E0E0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1E0E01"/>
    <w:pPr>
      <w:spacing w:before="120" w:after="120" w:line="360" w:lineRule="auto"/>
      <w:jc w:val="both"/>
    </w:pPr>
    <w:rPr>
      <w:rFonts w:eastAsiaTheme="minorHAnsi"/>
      <w:sz w:val="24"/>
      <w:szCs w:val="22"/>
      <w:lang w:val="sl-SI" w:eastAsia="en-US"/>
    </w:rPr>
  </w:style>
  <w:style w:type="paragraph" w:customStyle="1" w:styleId="HeaderDisclaimer">
    <w:name w:val="HeaderDisclaimer"/>
    <w:basedOn w:val="Normal"/>
    <w:uiPriority w:val="99"/>
    <w:qFormat/>
    <w:rsid w:val="001E0E0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1E0E0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1E0E0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1E0E0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1E0E01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1E0E01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1E0E0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1E0E0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1E0E0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1E0E0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1E0E0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1E0E0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1E0E0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1E0E0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1E0E0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1E0E01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1E0E0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1E0E0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E0E0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E0E0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E0E0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E0E0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E0E0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E0E0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E0E0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E0E0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E0E0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E0E0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1E0E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E0E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E0E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E0E0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1E0E01"/>
    <w:pPr>
      <w:spacing w:before="600" w:after="360"/>
    </w:pPr>
  </w:style>
  <w:style w:type="paragraph" w:customStyle="1" w:styleId="LetterSubject">
    <w:name w:val="LetterSubject"/>
    <w:basedOn w:val="Normal"/>
    <w:rsid w:val="001E0E0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E0E01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1E0E01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1E0E01"/>
    <w:rPr>
      <w:color w:val="262626"/>
      <w:sz w:val="24"/>
      <w:szCs w:val="24"/>
      <w:shd w:val="clear" w:color="auto" w:fill="FFFFFF"/>
      <w:lang w:val="sl-SI" w:bidi="en-GB"/>
    </w:rPr>
  </w:style>
  <w:style w:type="character" w:customStyle="1" w:styleId="Bodytext2">
    <w:name w:val="Body text (2)_"/>
    <w:link w:val="Bodytext20"/>
    <w:locked/>
    <w:rsid w:val="001E0E01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E0E01"/>
    <w:pPr>
      <w:shd w:val="clear" w:color="auto" w:fill="FFFFFF"/>
      <w:ind w:left="2200" w:hanging="1800"/>
    </w:pPr>
    <w:rPr>
      <w:color w:val="262626"/>
      <w:sz w:val="20"/>
      <w:lang w:val="en-GB"/>
    </w:rPr>
  </w:style>
  <w:style w:type="character" w:customStyle="1" w:styleId="PageHeadingChar">
    <w:name w:val="PageHeading Char"/>
    <w:basedOn w:val="DefaultParagraphFont"/>
    <w:link w:val="PageHeading"/>
    <w:rsid w:val="001E0E01"/>
    <w:rPr>
      <w:rFonts w:ascii="Arial" w:hAnsi="Arial" w:cs="Arial"/>
      <w:b/>
      <w:sz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1E0E0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E0E01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E0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E0E01"/>
    <w:rPr>
      <w:rFonts w:ascii="Arial" w:eastAsiaTheme="majorEastAsia" w:hAnsi="Arial" w:cs="Arial"/>
      <w:sz w:val="24"/>
      <w:szCs w:val="24"/>
      <w:lang w:val="sl-SI" w:eastAsia="en-US"/>
    </w:rPr>
  </w:style>
  <w:style w:type="paragraph" w:styleId="NoSpacing">
    <w:name w:val="No Spacing"/>
    <w:basedOn w:val="Normal"/>
    <w:uiPriority w:val="1"/>
    <w:qFormat/>
    <w:rsid w:val="001E0E01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elvel bullet green,List Paragraph compact,Normal bullet 2,Paragraphe de liste 2,Reference list,Bullet list,Numbered List,List Paragraph1,1st level - Bullet List Paragraph,Lettre d'introduction,Paragraph,Bullet EY,List Paragraph11"/>
    <w:basedOn w:val="Normal"/>
    <w:link w:val="ListParagraphChar"/>
    <w:uiPriority w:val="34"/>
    <w:qFormat/>
    <w:rsid w:val="001E0E0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E0E0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E0E01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E0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E01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1E0E01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E0E01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E0E0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E0E01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E0E01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F6E02"/>
  </w:style>
  <w:style w:type="character" w:styleId="Strong">
    <w:name w:val="Strong"/>
    <w:basedOn w:val="DefaultParagraphFont"/>
    <w:uiPriority w:val="22"/>
    <w:qFormat/>
    <w:rsid w:val="00EF6E02"/>
    <w:rPr>
      <w:b/>
      <w:bCs/>
    </w:rPr>
  </w:style>
  <w:style w:type="numbering" w:customStyle="1" w:styleId="NoList11">
    <w:name w:val="No List11"/>
    <w:next w:val="NoList"/>
    <w:uiPriority w:val="99"/>
    <w:semiHidden/>
    <w:unhideWhenUsed/>
    <w:rsid w:val="00EF6E02"/>
  </w:style>
  <w:style w:type="paragraph" w:customStyle="1" w:styleId="NormalJustified">
    <w:name w:val="Normal Justified"/>
    <w:basedOn w:val="Normal"/>
    <w:rsid w:val="00EF6E0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F6E0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F6E0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F6E0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F6E0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F6E0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EF6E0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F6E0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F6E0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F6E0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F6E0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F6E0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F6E0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F6E0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F6E0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F6E0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F6E0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F6E0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F6E02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F6E02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F6E02"/>
    <w:pPr>
      <w:widowControl/>
      <w:numPr>
        <w:ilvl w:val="8"/>
        <w:numId w:val="35"/>
      </w:numPr>
      <w:tabs>
        <w:tab w:val="clear" w:pos="2835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F6E02"/>
    <w:pPr>
      <w:widowControl/>
      <w:numPr>
        <w:ilvl w:val="1"/>
        <w:numId w:val="35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F6E02"/>
    <w:pPr>
      <w:widowControl/>
      <w:numPr>
        <w:ilvl w:val="3"/>
        <w:numId w:val="35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F6E02"/>
    <w:pPr>
      <w:widowControl/>
      <w:numPr>
        <w:ilvl w:val="5"/>
        <w:numId w:val="35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F6E02"/>
    <w:pPr>
      <w:widowControl/>
      <w:numPr>
        <w:ilvl w:val="7"/>
        <w:numId w:val="35"/>
      </w:numPr>
      <w:tabs>
        <w:tab w:val="clear" w:pos="2268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F6E02"/>
    <w:pPr>
      <w:widowControl/>
      <w:numPr>
        <w:numId w:val="36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F6E02"/>
    <w:pPr>
      <w:widowControl/>
      <w:numPr>
        <w:ilvl w:val="1"/>
        <w:numId w:val="36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F6E02"/>
    <w:pPr>
      <w:widowControl/>
      <w:numPr>
        <w:ilvl w:val="2"/>
        <w:numId w:val="36"/>
      </w:numPr>
      <w:tabs>
        <w:tab w:val="clear" w:pos="1701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F6E02"/>
    <w:pPr>
      <w:widowControl/>
      <w:numPr>
        <w:ilvl w:val="3"/>
        <w:numId w:val="36"/>
      </w:numPr>
      <w:tabs>
        <w:tab w:val="clear" w:pos="2268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F6E02"/>
    <w:pPr>
      <w:widowControl/>
      <w:numPr>
        <w:ilvl w:val="4"/>
        <w:numId w:val="36"/>
      </w:numPr>
      <w:tabs>
        <w:tab w:val="clear" w:pos="2835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F6E02"/>
    <w:pPr>
      <w:widowControl/>
      <w:numPr>
        <w:numId w:val="34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F6E02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F6E02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F6E0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F6E02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F6E02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F6E02"/>
    <w:pPr>
      <w:numPr>
        <w:numId w:val="29"/>
      </w:numPr>
      <w:tabs>
        <w:tab w:val="clear" w:pos="567"/>
        <w:tab w:val="num" w:pos="1134"/>
      </w:tabs>
      <w:ind w:left="1134" w:hanging="283"/>
    </w:pPr>
  </w:style>
  <w:style w:type="paragraph" w:customStyle="1" w:styleId="DashEqual1">
    <w:name w:val="Dash Equal 1"/>
    <w:basedOn w:val="Dash1"/>
    <w:rsid w:val="00EF6E02"/>
    <w:pPr>
      <w:numPr>
        <w:numId w:val="30"/>
      </w:numPr>
      <w:ind w:hanging="283"/>
    </w:pPr>
  </w:style>
  <w:style w:type="paragraph" w:customStyle="1" w:styleId="DashEqual2">
    <w:name w:val="Dash Equal 2"/>
    <w:basedOn w:val="Dash2"/>
    <w:rsid w:val="00EF6E02"/>
    <w:pPr>
      <w:numPr>
        <w:numId w:val="31"/>
      </w:numPr>
      <w:tabs>
        <w:tab w:val="clear" w:pos="1701"/>
        <w:tab w:val="num" w:pos="1134"/>
      </w:tabs>
      <w:ind w:left="1134" w:hanging="283"/>
    </w:pPr>
  </w:style>
  <w:style w:type="paragraph" w:customStyle="1" w:styleId="DashEqual3">
    <w:name w:val="Dash Equal 3"/>
    <w:basedOn w:val="Dash3"/>
    <w:rsid w:val="00EF6E02"/>
    <w:pPr>
      <w:numPr>
        <w:numId w:val="32"/>
      </w:numPr>
      <w:tabs>
        <w:tab w:val="clear" w:pos="2268"/>
        <w:tab w:val="num" w:pos="1560"/>
      </w:tabs>
      <w:ind w:left="1560" w:hanging="709"/>
    </w:pPr>
  </w:style>
  <w:style w:type="paragraph" w:customStyle="1" w:styleId="DashEqual4">
    <w:name w:val="Dash Equal 4"/>
    <w:basedOn w:val="Dash4"/>
    <w:rsid w:val="00EF6E02"/>
    <w:pPr>
      <w:numPr>
        <w:numId w:val="33"/>
      </w:numPr>
      <w:tabs>
        <w:tab w:val="clear" w:pos="2835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EF6E0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F6E02"/>
    <w:pPr>
      <w:numPr>
        <w:numId w:val="39"/>
      </w:numPr>
      <w:tabs>
        <w:tab w:val="clear" w:pos="567"/>
        <w:tab w:val="num" w:pos="1984"/>
      </w:tabs>
      <w:ind w:left="1984"/>
    </w:pPr>
  </w:style>
  <w:style w:type="paragraph" w:customStyle="1" w:styleId="Heading123">
    <w:name w:val="Heading 123"/>
    <w:basedOn w:val="HeadingLeft"/>
    <w:next w:val="Normal"/>
    <w:rsid w:val="00EF6E02"/>
    <w:pPr>
      <w:numPr>
        <w:numId w:val="38"/>
      </w:numPr>
      <w:tabs>
        <w:tab w:val="clear" w:pos="567"/>
        <w:tab w:val="num" w:pos="1417"/>
      </w:tabs>
      <w:ind w:left="1417"/>
    </w:pPr>
  </w:style>
  <w:style w:type="paragraph" w:customStyle="1" w:styleId="HeadingABC">
    <w:name w:val="Heading ABC"/>
    <w:basedOn w:val="HeadingLeft"/>
    <w:next w:val="Normal"/>
    <w:rsid w:val="00EF6E02"/>
    <w:pPr>
      <w:numPr>
        <w:numId w:val="37"/>
      </w:numPr>
      <w:tabs>
        <w:tab w:val="clear" w:pos="567"/>
        <w:tab w:val="num" w:pos="850"/>
      </w:tabs>
      <w:ind w:left="850" w:hanging="850"/>
    </w:pPr>
  </w:style>
  <w:style w:type="paragraph" w:customStyle="1" w:styleId="HeadingCentered">
    <w:name w:val="Heading Centered"/>
    <w:basedOn w:val="HeadingLeft"/>
    <w:next w:val="Normal"/>
    <w:rsid w:val="00EF6E02"/>
    <w:pPr>
      <w:jc w:val="center"/>
    </w:pPr>
  </w:style>
  <w:style w:type="paragraph" w:customStyle="1" w:styleId="Jardin">
    <w:name w:val="Jardin"/>
    <w:basedOn w:val="Normal"/>
    <w:rsid w:val="00EF6E0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F6E0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F6E0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F6E0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F6E02"/>
    <w:rPr>
      <w:b/>
    </w:rPr>
  </w:style>
  <w:style w:type="paragraph" w:customStyle="1" w:styleId="Annex">
    <w:name w:val="Annex"/>
    <w:basedOn w:val="Normal"/>
    <w:next w:val="Normal"/>
    <w:rsid w:val="00EF6E0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F6E0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F6E0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EF6E0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F6E02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F6E02"/>
    <w:rPr>
      <w:rFonts w:ascii="Times New Roman" w:hAnsi="Times New Roman"/>
      <w:sz w:val="20"/>
      <w:szCs w:val="20"/>
      <w:lang w:val="sl-SI"/>
    </w:rPr>
  </w:style>
  <w:style w:type="character" w:styleId="EndnoteReference">
    <w:name w:val="endnote reference"/>
    <w:basedOn w:val="DefaultParagraphFont"/>
    <w:uiPriority w:val="99"/>
    <w:unhideWhenUsed/>
    <w:rsid w:val="00EF6E0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F6E0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F6E02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F6E02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EF6E0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F6E02"/>
    <w:rPr>
      <w:color w:val="808080"/>
    </w:rPr>
  </w:style>
  <w:style w:type="paragraph" w:customStyle="1" w:styleId="Par-dash">
    <w:name w:val="Par-dash"/>
    <w:basedOn w:val="Normal"/>
    <w:next w:val="Normal"/>
    <w:rsid w:val="00EF6E02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"/>
    <w:basedOn w:val="DefaultParagraphFont"/>
    <w:link w:val="ListParagraph"/>
    <w:uiPriority w:val="34"/>
    <w:qFormat/>
    <w:rsid w:val="00EF6E02"/>
    <w:rPr>
      <w:rFonts w:eastAsiaTheme="minorHAnsi"/>
      <w:sz w:val="24"/>
      <w:szCs w:val="24"/>
      <w:lang w:val="sl-SI" w:eastAsia="en-US"/>
    </w:rPr>
  </w:style>
  <w:style w:type="paragraph" w:customStyle="1" w:styleId="EntText">
    <w:name w:val="EntText"/>
    <w:basedOn w:val="Normal"/>
    <w:rsid w:val="00EF6E0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EF6E02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1"/>
    <w:uiPriority w:val="99"/>
    <w:rsid w:val="00EF6E02"/>
    <w:rPr>
      <w:rFonts w:ascii="Calibri" w:eastAsia="Calibri" w:hAnsi="Calibri"/>
      <w:sz w:val="22"/>
      <w:szCs w:val="21"/>
      <w:lang w:val="sl-SI" w:eastAsia="en-US"/>
    </w:rPr>
  </w:style>
  <w:style w:type="character" w:customStyle="1" w:styleId="cf01">
    <w:name w:val="cf01"/>
    <w:basedOn w:val="DefaultParagraphFont"/>
    <w:rsid w:val="00EF6E02"/>
    <w:rPr>
      <w:rFonts w:ascii="Segoe UI" w:hAnsi="Segoe UI" w:cs="Segoe UI" w:hint="default"/>
      <w:sz w:val="18"/>
      <w:szCs w:val="18"/>
    </w:rPr>
  </w:style>
  <w:style w:type="paragraph" w:customStyle="1" w:styleId="Tabletalkingpoints">
    <w:name w:val="Table talking points"/>
    <w:basedOn w:val="ListParagraph"/>
    <w:qFormat/>
    <w:rsid w:val="00EF6E02"/>
    <w:pPr>
      <w:numPr>
        <w:numId w:val="40"/>
      </w:numPr>
      <w:spacing w:before="120" w:after="120"/>
      <w:jc w:val="left"/>
    </w:pPr>
    <w:rPr>
      <w:rFonts w:ascii="Arial" w:eastAsia="Times New Roman" w:hAnsi="Arial" w:cs="Arial"/>
      <w:sz w:val="22"/>
      <w:szCs w:val="22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F6E02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EF6E0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6E0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EF6E02"/>
    <w:rPr>
      <w:color w:val="800080"/>
      <w:u w:val="single"/>
    </w:rPr>
  </w:style>
  <w:style w:type="paragraph" w:customStyle="1" w:styleId="Default">
    <w:name w:val="Default"/>
    <w:rsid w:val="00EF6E0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character" w:customStyle="1" w:styleId="Bodytext1">
    <w:name w:val="Body text|1_"/>
    <w:basedOn w:val="DefaultParagraphFont"/>
    <w:link w:val="Bodytext10"/>
    <w:locked/>
    <w:rsid w:val="00EF6E02"/>
  </w:style>
  <w:style w:type="paragraph" w:customStyle="1" w:styleId="Bodytext10">
    <w:name w:val="Body text|1"/>
    <w:basedOn w:val="Normal"/>
    <w:link w:val="Bodytext1"/>
    <w:rsid w:val="00EF6E02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EF6E02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EF6E02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EF6E02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EF6E02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EF6E02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F6E02"/>
    <w:rPr>
      <w:color w:val="605E5C"/>
      <w:shd w:val="clear" w:color="auto" w:fill="E1DFDD"/>
    </w:rPr>
  </w:style>
  <w:style w:type="paragraph" w:customStyle="1" w:styleId="PlainText2">
    <w:name w:val="Plain Text2"/>
    <w:basedOn w:val="Normal"/>
    <w:next w:val="PlainText"/>
    <w:link w:val="PlainTextChar1"/>
    <w:uiPriority w:val="99"/>
    <w:semiHidden/>
    <w:unhideWhenUsed/>
    <w:rsid w:val="00EF6E02"/>
    <w:pPr>
      <w:widowControl/>
      <w:jc w:val="both"/>
    </w:pPr>
    <w:rPr>
      <w:rFonts w:ascii="Consolas" w:hAnsi="Consolas"/>
      <w:sz w:val="21"/>
      <w:szCs w:val="21"/>
      <w:lang w:val="en-GB"/>
    </w:rPr>
  </w:style>
  <w:style w:type="character" w:customStyle="1" w:styleId="PlainTextChar1">
    <w:name w:val="Plain Text Char1"/>
    <w:basedOn w:val="DefaultParagraphFont"/>
    <w:link w:val="PlainText2"/>
    <w:uiPriority w:val="99"/>
    <w:semiHidden/>
    <w:rsid w:val="00EF6E02"/>
    <w:rPr>
      <w:rFonts w:ascii="Consolas" w:hAnsi="Consolas"/>
      <w:sz w:val="21"/>
      <w:szCs w:val="21"/>
    </w:rPr>
  </w:style>
  <w:style w:type="paragraph" w:styleId="EndnoteText">
    <w:name w:val="endnote text"/>
    <w:basedOn w:val="Normal"/>
    <w:link w:val="EndnoteTextChar1"/>
    <w:rsid w:val="00EF6E02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F6E02"/>
    <w:rPr>
      <w:lang w:val="sl-SI"/>
    </w:rPr>
  </w:style>
  <w:style w:type="paragraph" w:styleId="PlainText">
    <w:name w:val="Plain Text"/>
    <w:basedOn w:val="Normal"/>
    <w:link w:val="PlainTextChar2"/>
    <w:rsid w:val="00EF6E02"/>
    <w:rPr>
      <w:rFonts w:ascii="Consolas" w:hAnsi="Consolas"/>
      <w:sz w:val="21"/>
      <w:szCs w:val="21"/>
    </w:rPr>
  </w:style>
  <w:style w:type="character" w:customStyle="1" w:styleId="PlainTextChar2">
    <w:name w:val="Plain Text Char2"/>
    <w:basedOn w:val="DefaultParagraphFont"/>
    <w:link w:val="PlainText"/>
    <w:rsid w:val="00EF6E02"/>
    <w:rPr>
      <w:rFonts w:ascii="Consolas" w:hAnsi="Consolas"/>
      <w:sz w:val="21"/>
      <w:szCs w:val="21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6E174-4EDF-49E7-97E4-16126E28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2024-07-24T08:45:00Z</dcterms:created>
  <dcterms:modified xsi:type="dcterms:W3CDTF">2024-07-24T08:45:00Z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