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9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2938" w:rsidRDefault="00634E1B" w:rsidP="0010095E">
            <w:pPr>
              <w:pStyle w:val="EPName"/>
            </w:pPr>
            <w:r w:rsidRPr="00C72938">
              <w:t>Европейски</w:t>
            </w:r>
            <w:r w:rsidR="008B1167" w:rsidRPr="00C72938">
              <w:t xml:space="preserve"> парламент</w:t>
            </w:r>
          </w:p>
          <w:p w:rsidR="00751A4A" w:rsidRPr="00C72938" w:rsidRDefault="00634E1B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C7293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72938" w:rsidRDefault="00187494" w:rsidP="0010095E">
            <w:pPr>
              <w:pStyle w:val="EPLogo"/>
            </w:pPr>
            <w:r w:rsidRPr="00C729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2938" w:rsidRDefault="00D058B8" w:rsidP="004C5D52">
      <w:pPr>
        <w:pStyle w:val="LineTop"/>
      </w:pPr>
    </w:p>
    <w:p w:rsidR="00680577" w:rsidRPr="00C72938" w:rsidRDefault="008B1167" w:rsidP="00680577">
      <w:pPr>
        <w:pStyle w:val="EPBodyTA1"/>
      </w:pPr>
      <w:r w:rsidRPr="00C72938">
        <w:t>ПРИЕТИ ТЕКСТОВЕ</w:t>
      </w:r>
    </w:p>
    <w:p w:rsidR="00D058B8" w:rsidRPr="00C72938" w:rsidRDefault="00D058B8" w:rsidP="00D058B8">
      <w:pPr>
        <w:pStyle w:val="LineBottom"/>
      </w:pPr>
    </w:p>
    <w:p w:rsidR="008B1167" w:rsidRPr="00C72938" w:rsidRDefault="008B1167" w:rsidP="008B1167">
      <w:pPr>
        <w:pStyle w:val="ATHeading1"/>
      </w:pPr>
      <w:bookmarkStart w:id="0" w:name="TANumber"/>
      <w:r w:rsidRPr="00C72938">
        <w:t>P9_TA(2024)0</w:t>
      </w:r>
      <w:r w:rsidR="002E4953" w:rsidRPr="00A67FB1">
        <w:t>283</w:t>
      </w:r>
      <w:bookmarkEnd w:id="0"/>
    </w:p>
    <w:p w:rsidR="008B1167" w:rsidRPr="00C72938" w:rsidRDefault="00136E83" w:rsidP="008B1167">
      <w:pPr>
        <w:pStyle w:val="ATHeading2"/>
      </w:pPr>
      <w:r w:rsidRPr="00136E83">
        <w:t>Общи правила за вътрешния пазар на възобновяем и природен газ и на водород (преработен текст)</w:t>
      </w:r>
    </w:p>
    <w:p w:rsidR="008B1167" w:rsidRPr="00C72938" w:rsidRDefault="008B1167" w:rsidP="008B1167">
      <w:pPr>
        <w:rPr>
          <w:i/>
          <w:vanish/>
        </w:rPr>
      </w:pPr>
      <w:r w:rsidRPr="00C72938">
        <w:rPr>
          <w:i/>
        </w:rPr>
        <w:fldChar w:fldCharType="begin"/>
      </w:r>
      <w:r w:rsidRPr="00C72938">
        <w:rPr>
          <w:i/>
        </w:rPr>
        <w:instrText xml:space="preserve"> TC"(</w:instrText>
      </w:r>
      <w:bookmarkStart w:id="1" w:name="DocNumber"/>
      <w:r w:rsidRPr="00C72938">
        <w:rPr>
          <w:i/>
        </w:rPr>
        <w:instrText>A9-0035/2023</w:instrText>
      </w:r>
      <w:bookmarkEnd w:id="1"/>
      <w:r w:rsidRPr="00C72938">
        <w:rPr>
          <w:i/>
        </w:rPr>
        <w:instrText xml:space="preserve"> - Докладчик: Йенс </w:instrText>
      </w:r>
      <w:proofErr w:type="spellStart"/>
      <w:r w:rsidRPr="00C72938">
        <w:rPr>
          <w:i/>
        </w:rPr>
        <w:instrText>Гайер</w:instrText>
      </w:r>
      <w:proofErr w:type="spellEnd"/>
      <w:r w:rsidRPr="00C72938">
        <w:rPr>
          <w:i/>
        </w:rPr>
        <w:instrText xml:space="preserve">)"\l3 \n&gt; \* MERGEFORMAT </w:instrText>
      </w:r>
      <w:r w:rsidRPr="00C72938">
        <w:rPr>
          <w:i/>
        </w:rPr>
        <w:fldChar w:fldCharType="end"/>
      </w:r>
    </w:p>
    <w:p w:rsidR="008B1167" w:rsidRPr="00C72938" w:rsidRDefault="008B1167" w:rsidP="008B1167">
      <w:pPr>
        <w:rPr>
          <w:vanish/>
        </w:rPr>
      </w:pPr>
      <w:bookmarkStart w:id="2" w:name="Commission"/>
      <w:r w:rsidRPr="00C72938">
        <w:rPr>
          <w:vanish/>
        </w:rPr>
        <w:t>Комисия по промишленост, изследвания и енергетика</w:t>
      </w:r>
      <w:bookmarkEnd w:id="2"/>
    </w:p>
    <w:p w:rsidR="008B1167" w:rsidRPr="00C72938" w:rsidRDefault="008B1167" w:rsidP="008B1167">
      <w:pPr>
        <w:rPr>
          <w:vanish/>
        </w:rPr>
      </w:pPr>
      <w:bookmarkStart w:id="3" w:name="PE"/>
      <w:r w:rsidRPr="00C72938">
        <w:rPr>
          <w:vanish/>
        </w:rPr>
        <w:t>PE732.908</w:t>
      </w:r>
      <w:bookmarkEnd w:id="3"/>
    </w:p>
    <w:p w:rsidR="008B1167" w:rsidRPr="00C72938" w:rsidRDefault="008B1167" w:rsidP="008B1167">
      <w:pPr>
        <w:pStyle w:val="ATHeading3"/>
      </w:pPr>
      <w:bookmarkStart w:id="4" w:name="Sujet"/>
      <w:r w:rsidRPr="00C72938">
        <w:t xml:space="preserve">Законодателна резолюция на Европейския парламент от </w:t>
      </w:r>
      <w:r w:rsidR="004001A0">
        <w:t>11</w:t>
      </w:r>
      <w:r w:rsidR="008C341C">
        <w:t xml:space="preserve"> април</w:t>
      </w:r>
      <w:r w:rsidR="008C341C" w:rsidRPr="00C72938">
        <w:t xml:space="preserve"> </w:t>
      </w:r>
      <w:r w:rsidRPr="00C72938">
        <w:t>2024 г. относно предложението за директива на Европейския парламент и на Съвета относно общите правила за вътрешния пазар на възобновяем и природен газ и на водород (преработен текст).</w:t>
      </w:r>
      <w:bookmarkEnd w:id="4"/>
      <w:r w:rsidRPr="00C72938">
        <w:t xml:space="preserve"> </w:t>
      </w:r>
      <w:bookmarkStart w:id="5" w:name="References"/>
      <w:r w:rsidRPr="00C72938">
        <w:t>(COM(2021)0803 – C9-0468/2021 – 2021/0425(COD))</w:t>
      </w:r>
      <w:bookmarkEnd w:id="5"/>
    </w:p>
    <w:p w:rsidR="008B1167" w:rsidRPr="00C72938" w:rsidRDefault="008B1167" w:rsidP="008B1167"/>
    <w:p w:rsidR="001B727A" w:rsidRPr="00C72938" w:rsidRDefault="001B727A" w:rsidP="001B727A">
      <w:pPr>
        <w:pStyle w:val="NormalBold"/>
      </w:pPr>
      <w:bookmarkStart w:id="6" w:name="TextBodyBegin"/>
      <w:bookmarkEnd w:id="6"/>
      <w:r w:rsidRPr="00C72938">
        <w:t>(Обикновена законодателна процедура</w:t>
      </w:r>
      <w:r w:rsidR="00AE2678">
        <w:t> – преработка</w:t>
      </w:r>
      <w:r w:rsidRPr="00C72938">
        <w:t>)</w:t>
      </w:r>
    </w:p>
    <w:p w:rsidR="001B727A" w:rsidRPr="00C72938" w:rsidRDefault="001B727A" w:rsidP="001B727A">
      <w:pPr>
        <w:pStyle w:val="EPComma"/>
      </w:pPr>
      <w:r w:rsidRPr="00C72938">
        <w:rPr>
          <w:i/>
          <w:iCs/>
        </w:rPr>
        <w:t>Европейският парламент</w:t>
      </w:r>
      <w:r w:rsidRPr="00C72938">
        <w:t>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 xml:space="preserve">като взе предвид предложението на Комисията до </w:t>
      </w:r>
      <w:r w:rsidR="008C341C">
        <w:t>П</w:t>
      </w:r>
      <w:r w:rsidRPr="00C72938">
        <w:t>арламент</w:t>
      </w:r>
      <w:r w:rsidR="008C341C">
        <w:t>а</w:t>
      </w:r>
      <w:r w:rsidRPr="00C72938">
        <w:t xml:space="preserve"> и до Съвета (COM(2021)0803),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член 294, параграф 2 и член 194, параграф 2 от Договора за функционирането на Европейския съюз, съгласно които</w:t>
      </w:r>
      <w:r w:rsidR="00AE2678">
        <w:t xml:space="preserve"> </w:t>
      </w:r>
      <w:r w:rsidR="00AE2678" w:rsidRPr="00AE2678">
        <w:t>Комисията е внесла предложението в Парламента</w:t>
      </w:r>
      <w:r w:rsidRPr="00C72938">
        <w:t xml:space="preserve"> (C9</w:t>
      </w:r>
      <w:r w:rsidRPr="00C72938">
        <w:noBreakHyphen/>
        <w:t>0468/2021),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член 294, параграф 3 от Договора за функционирането на Европейския съюз,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мотивираните становища, изпратени от Камарата на депутатите на Чешката република и Сената на Чешката република в рамките на Протокол № 2 относно прилагането на принципите на субсидиарност и на пропорционалност, в които се заявява, че проектът на законодателен акт не съответства на принципа на субсидиарност,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становището на Европейския икономически и социален комитет от 19 май 2022 г.</w:t>
      </w:r>
      <w:r w:rsidRPr="00C72938">
        <w:rPr>
          <w:rStyle w:val="FootnoteReference"/>
        </w:rPr>
        <w:footnoteReference w:id="1"/>
      </w:r>
      <w:r w:rsidRPr="00C72938">
        <w:t>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становището на Комитета на регионите от 1</w:t>
      </w:r>
      <w:r w:rsidR="00AE2678">
        <w:t>2</w:t>
      </w:r>
      <w:r w:rsidRPr="00C72938">
        <w:t xml:space="preserve"> октомври 2022 г.</w:t>
      </w:r>
      <w:r w:rsidRPr="00C72938">
        <w:rPr>
          <w:rStyle w:val="FootnoteReference"/>
        </w:rPr>
        <w:footnoteReference w:id="2"/>
      </w:r>
      <w:r w:rsidRPr="00C72938">
        <w:t>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 xml:space="preserve">като взе предвид Междуинституционалното споразумение от 28 ноември 2001 г. относно по-структурирано използване на техниката за преработване на нормативни </w:t>
      </w:r>
      <w:r w:rsidRPr="00C72938">
        <w:lastRenderedPageBreak/>
        <w:t>актове</w:t>
      </w:r>
      <w:r w:rsidRPr="00C72938">
        <w:rPr>
          <w:rStyle w:val="FootnoteReference"/>
        </w:rPr>
        <w:footnoteReference w:id="3"/>
      </w:r>
      <w:r w:rsidRPr="00C72938">
        <w:t>,</w:t>
      </w:r>
    </w:p>
    <w:p w:rsidR="001B727A" w:rsidRDefault="001B727A" w:rsidP="001B727A">
      <w:pPr>
        <w:pStyle w:val="NormalHanging12a"/>
      </w:pPr>
      <w:r w:rsidRPr="00C72938">
        <w:t>–</w:t>
      </w:r>
      <w:r w:rsidRPr="00C72938">
        <w:tab/>
        <w:t xml:space="preserve">като взе предвид писмото от 2 февруари 2023 г., изпратено от комисията по правни въпроси до комисията по промишленост, изследвания и енергетика в съответствие с член 110, параграф 3 от своя </w:t>
      </w:r>
      <w:r w:rsidR="005D4794">
        <w:t>П</w:t>
      </w:r>
      <w:r w:rsidRPr="00C72938">
        <w:t>равилник</w:t>
      </w:r>
      <w:r w:rsidR="005D4794">
        <w:t xml:space="preserve"> за дейността</w:t>
      </w:r>
      <w:r w:rsidRPr="00C72938">
        <w:t>,</w:t>
      </w:r>
    </w:p>
    <w:p w:rsidR="005D4794" w:rsidRPr="00C72938" w:rsidRDefault="005D4794" w:rsidP="001B727A">
      <w:pPr>
        <w:pStyle w:val="NormalHanging12a"/>
      </w:pPr>
      <w:r>
        <w:t>–</w:t>
      </w:r>
      <w:r>
        <w:tab/>
      </w:r>
      <w:r w:rsidRPr="005D4794">
        <w:t>като взе предвид временното споразумение, одобрено от компетентната комисия съгласно член 74, параграф 4 от своя Правилник за д</w:t>
      </w:r>
      <w:r>
        <w:t>ейността, и поетия с писмо от 20 декември 2023</w:t>
      </w:r>
      <w:r w:rsidRPr="005D4794">
        <w:t>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членове 110 и 59 от своя Правилник за дейността,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становищата на комисията по вътрешния пазар и защита на потребителите и комисията по земеделие и развитие на селските райони,</w:t>
      </w:r>
    </w:p>
    <w:p w:rsidR="001B727A" w:rsidRPr="00C72938" w:rsidRDefault="001B727A" w:rsidP="001B727A">
      <w:pPr>
        <w:pStyle w:val="NormalHanging12a"/>
      </w:pPr>
      <w:r w:rsidRPr="00C72938">
        <w:t>–</w:t>
      </w:r>
      <w:r w:rsidRPr="00C72938">
        <w:tab/>
        <w:t>като взе предвид доклада на комисията по промишленост, изследвания и енергетика (A9-0035/2023),</w:t>
      </w:r>
    </w:p>
    <w:p w:rsidR="001B727A" w:rsidRPr="00C72938" w:rsidRDefault="001B727A" w:rsidP="001B727A">
      <w:pPr>
        <w:pStyle w:val="NormalHanging12a"/>
      </w:pPr>
      <w:r w:rsidRPr="00C72938">
        <w:t>А.</w:t>
      </w:r>
      <w:r w:rsidRPr="00C72938">
        <w:tab/>
        <w:t>като има предвид, че съгласно становището на консултативната група на правните служби на Европейския парламент, Съвета и Комисията предложението на Комисията не съдържа никакви изменения по същество освен тези, които са идентифицирани като такива в предложението, и че по отношение на кодификацията на непроменените разпоредби на предишните актове с въпросните изменения предложението се свежда до обикновена кодификация на съществуващите актове, без промяна по същество;</w:t>
      </w:r>
    </w:p>
    <w:p w:rsidR="001B727A" w:rsidRPr="00C72938" w:rsidRDefault="001B727A" w:rsidP="001B727A">
      <w:pPr>
        <w:pStyle w:val="NormalHanging12a"/>
      </w:pPr>
      <w:r w:rsidRPr="00C72938">
        <w:t>1.</w:t>
      </w:r>
      <w:r w:rsidRPr="00C72938">
        <w:tab/>
        <w:t>приема изложената по-долу позиция на първо четене, като взема предвид препоръките на консултативната група на правните служби на Европейския парламент, Съвета и Комисията;</w:t>
      </w:r>
    </w:p>
    <w:p w:rsidR="001B727A" w:rsidRPr="00C72938" w:rsidRDefault="001B727A" w:rsidP="001B727A">
      <w:pPr>
        <w:pStyle w:val="NormalHanging12a"/>
      </w:pPr>
      <w:r w:rsidRPr="00C72938">
        <w:t>2.</w:t>
      </w:r>
      <w:r w:rsidRPr="00C72938">
        <w:tab/>
        <w:t>приканва Комисията да се отнесе до него отново, в случай че замени своето предложение с друг текст</w:t>
      </w:r>
      <w:r w:rsidR="008C341C">
        <w:t>,</w:t>
      </w:r>
      <w:r w:rsidRPr="00C72938">
        <w:t xml:space="preserve"> внесе или възнамерява да внесе съществени промени в това предложение;</w:t>
      </w:r>
    </w:p>
    <w:p w:rsidR="00A67FB1" w:rsidRDefault="001B727A" w:rsidP="00A67FB1">
      <w:pPr>
        <w:pStyle w:val="NormalHanging12a"/>
        <w:sectPr w:rsidR="00A67FB1" w:rsidSect="000903AB">
          <w:footerReference w:type="default" r:id="rId9"/>
          <w:footnotePr>
            <w:numRestart w:val="eachSect"/>
          </w:footnotePr>
          <w:pgSz w:w="11907" w:h="16839"/>
          <w:pgMar w:top="1134" w:right="1134" w:bottom="1134" w:left="1134" w:header="567" w:footer="567" w:gutter="0"/>
          <w:pgNumType w:start="1"/>
          <w:cols w:space="720"/>
          <w:docGrid w:linePitch="360"/>
        </w:sectPr>
      </w:pPr>
      <w:r w:rsidRPr="00C72938">
        <w:t>3.</w:t>
      </w:r>
      <w:r w:rsidRPr="00C7293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  <w:bookmarkStart w:id="7" w:name="TextBodyEnd"/>
      <w:bookmarkEnd w:id="7"/>
    </w:p>
    <w:p w:rsidR="000903AB" w:rsidRPr="009D129C" w:rsidRDefault="000903AB" w:rsidP="00A67FB1">
      <w:pPr>
        <w:pStyle w:val="NormalHanging12a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P9_TC1-COD(2021</w:t>
      </w:r>
      <w:r w:rsidRPr="009D129C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425</w:t>
      </w:r>
    </w:p>
    <w:p w:rsidR="00E365E1" w:rsidRDefault="000903AB" w:rsidP="000903AB">
      <w:pPr>
        <w:pStyle w:val="AmNumberTabs"/>
        <w:keepNext/>
        <w:rPr>
          <w:rFonts w:eastAsia="Calibri"/>
          <w:szCs w:val="22"/>
          <w:lang w:eastAsia="en-US"/>
        </w:rPr>
      </w:pPr>
      <w:r w:rsidRPr="00900F1D">
        <w:rPr>
          <w:szCs w:val="24"/>
        </w:rPr>
        <w:t>Позиция на Европейския парламент, приета на първо че</w:t>
      </w:r>
      <w:r w:rsidRPr="000903AB">
        <w:rPr>
          <w:szCs w:val="24"/>
        </w:rPr>
        <w:t xml:space="preserve">тене на </w:t>
      </w:r>
      <w:r>
        <w:rPr>
          <w:szCs w:val="24"/>
        </w:rPr>
        <w:t>11 април</w:t>
      </w:r>
      <w:r w:rsidRPr="000903AB">
        <w:rPr>
          <w:szCs w:val="24"/>
        </w:rPr>
        <w:t xml:space="preserve"> 2024 г. с оглед на приемането на Директива (ЕС) 2024/... на Европейски</w:t>
      </w:r>
      <w:r w:rsidRPr="00900F1D">
        <w:rPr>
          <w:szCs w:val="24"/>
        </w:rPr>
        <w:t xml:space="preserve">я парламент и на Съвета </w:t>
      </w:r>
      <w:r w:rsidRPr="00A64A4F">
        <w:rPr>
          <w:rFonts w:eastAsia="Calibri"/>
          <w:szCs w:val="22"/>
          <w:lang w:eastAsia="en-US"/>
        </w:rPr>
        <w:t xml:space="preserve">относно общите правила за вътрешните пазари на </w:t>
      </w:r>
      <w:r w:rsidRPr="00E928EF">
        <w:rPr>
          <w:rFonts w:eastAsia="Calibri"/>
          <w:szCs w:val="22"/>
          <w:lang w:eastAsia="en-US"/>
        </w:rPr>
        <w:t>газ от възобновяеми източници, природен газ и водород, за изменение на Директива (ЕС) 2023/1791 и за отмяна на Директива 2009/73/ЕО</w:t>
      </w:r>
      <w:r w:rsidRPr="00A64A4F">
        <w:rPr>
          <w:rFonts w:eastAsia="Calibri"/>
          <w:szCs w:val="22"/>
          <w:lang w:eastAsia="en-US"/>
        </w:rPr>
        <w:t xml:space="preserve"> (преработен текст)</w:t>
      </w:r>
    </w:p>
    <w:p w:rsidR="000903AB" w:rsidRPr="00E928EF" w:rsidRDefault="00E928EF" w:rsidP="00E928EF">
      <w:pPr>
        <w:pStyle w:val="AmNumberTabs"/>
        <w:keepNext/>
        <w:rPr>
          <w:b w:val="0"/>
        </w:rPr>
      </w:pPr>
      <w:r w:rsidRPr="00E928EF">
        <w:rPr>
          <w:b w:val="0"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proofErr w:type="spellStart"/>
      <w:r w:rsidRPr="00E928EF">
        <w:rPr>
          <w:b w:val="0"/>
          <w:i/>
          <w:szCs w:val="24"/>
          <w:lang w:val="lt-LT"/>
        </w:rPr>
        <w:t>Директива</w:t>
      </w:r>
      <w:proofErr w:type="spellEnd"/>
      <w:r w:rsidRPr="00E928EF">
        <w:rPr>
          <w:b w:val="0"/>
          <w:i/>
          <w:szCs w:val="24"/>
          <w:lang w:val="lt-LT"/>
        </w:rPr>
        <w:t xml:space="preserve"> </w:t>
      </w:r>
      <w:r w:rsidRPr="00E928EF">
        <w:rPr>
          <w:b w:val="0"/>
          <w:i/>
          <w:szCs w:val="24"/>
          <w:lang w:val="lt-LT"/>
        </w:rPr>
        <w:t xml:space="preserve">(ЕС) </w:t>
      </w:r>
      <w:r w:rsidRPr="00E928EF">
        <w:rPr>
          <w:b w:val="0"/>
          <w:i/>
          <w:szCs w:val="24"/>
          <w:lang w:val="lt-LT"/>
        </w:rPr>
        <w:t>2024/1788</w:t>
      </w:r>
      <w:r w:rsidRPr="00E928EF">
        <w:rPr>
          <w:b w:val="0"/>
          <w:i/>
          <w:szCs w:val="24"/>
          <w:lang w:val="lt-LT"/>
        </w:rPr>
        <w:t>.)</w:t>
      </w:r>
      <w:bookmarkStart w:id="8" w:name="_GoBack"/>
      <w:bookmarkEnd w:id="8"/>
    </w:p>
    <w:sectPr w:rsidR="000903AB" w:rsidRPr="00E928EF" w:rsidSect="00E928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67" w:rsidRPr="00C72938" w:rsidRDefault="008B1167">
      <w:r w:rsidRPr="00C72938">
        <w:separator/>
      </w:r>
    </w:p>
  </w:endnote>
  <w:endnote w:type="continuationSeparator" w:id="0">
    <w:p w:rsidR="008B1167" w:rsidRPr="00C72938" w:rsidRDefault="008B1167">
      <w:r w:rsidRPr="00C729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AB" w:rsidRPr="000903AB" w:rsidRDefault="000903AB" w:rsidP="000903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67" w:rsidRPr="00C72938" w:rsidRDefault="008B1167">
      <w:r w:rsidRPr="00C72938">
        <w:separator/>
      </w:r>
    </w:p>
  </w:footnote>
  <w:footnote w:type="continuationSeparator" w:id="0">
    <w:p w:rsidR="008B1167" w:rsidRPr="00C72938" w:rsidRDefault="008B1167">
      <w:r w:rsidRPr="00C72938">
        <w:continuationSeparator/>
      </w:r>
    </w:p>
  </w:footnote>
  <w:footnote w:id="1">
    <w:p w:rsidR="001B727A" w:rsidRPr="000903AB" w:rsidRDefault="001B727A" w:rsidP="00C72938">
      <w:pPr>
        <w:pStyle w:val="FootnoteText"/>
        <w:ind w:left="567" w:hanging="567"/>
        <w:rPr>
          <w:sz w:val="24"/>
          <w:szCs w:val="24"/>
          <w:lang w:val="bg-BG"/>
        </w:rPr>
      </w:pPr>
      <w:r w:rsidRPr="000903AB">
        <w:rPr>
          <w:rStyle w:val="FootnoteReference"/>
          <w:sz w:val="24"/>
          <w:szCs w:val="24"/>
          <w:lang w:val="bg-BG"/>
        </w:rPr>
        <w:footnoteRef/>
      </w:r>
      <w:r w:rsidR="00C72938" w:rsidRPr="000903AB">
        <w:rPr>
          <w:sz w:val="24"/>
          <w:lang w:val="bg-BG"/>
        </w:rPr>
        <w:t xml:space="preserve"> </w:t>
      </w:r>
      <w:r w:rsidR="00C72938" w:rsidRPr="000903AB">
        <w:rPr>
          <w:sz w:val="24"/>
          <w:lang w:val="bg-BG"/>
        </w:rPr>
        <w:tab/>
      </w:r>
      <w:r w:rsidRPr="000903AB">
        <w:rPr>
          <w:sz w:val="24"/>
          <w:lang w:val="bg-BG"/>
        </w:rPr>
        <w:t>ОВ C 323, 26.8.2022 г., стр. 101.</w:t>
      </w:r>
    </w:p>
  </w:footnote>
  <w:footnote w:id="2">
    <w:p w:rsidR="001B727A" w:rsidRPr="000903AB" w:rsidRDefault="001B727A" w:rsidP="00C72938">
      <w:pPr>
        <w:pStyle w:val="FootnoteText"/>
        <w:ind w:left="567" w:hanging="567"/>
        <w:rPr>
          <w:sz w:val="24"/>
          <w:szCs w:val="24"/>
          <w:lang w:val="bg-BG"/>
        </w:rPr>
      </w:pPr>
      <w:r w:rsidRPr="000903AB">
        <w:rPr>
          <w:rStyle w:val="FootnoteReference"/>
          <w:sz w:val="24"/>
          <w:szCs w:val="24"/>
          <w:lang w:val="bg-BG"/>
        </w:rPr>
        <w:footnoteRef/>
      </w:r>
      <w:r w:rsidR="00C72938" w:rsidRPr="000903AB">
        <w:rPr>
          <w:sz w:val="24"/>
          <w:lang w:val="bg-BG"/>
        </w:rPr>
        <w:t xml:space="preserve"> </w:t>
      </w:r>
      <w:r w:rsidR="00C72938" w:rsidRPr="000903AB">
        <w:rPr>
          <w:sz w:val="24"/>
          <w:lang w:val="bg-BG"/>
        </w:rPr>
        <w:tab/>
      </w:r>
      <w:r w:rsidRPr="000903AB">
        <w:rPr>
          <w:sz w:val="24"/>
          <w:lang w:val="bg-BG"/>
        </w:rPr>
        <w:t>ОВ C 498, 30.12.2022 г., стр. 83.</w:t>
      </w:r>
    </w:p>
  </w:footnote>
  <w:footnote w:id="3">
    <w:p w:rsidR="001B727A" w:rsidRPr="000903AB" w:rsidRDefault="001B727A" w:rsidP="00C72938">
      <w:pPr>
        <w:pStyle w:val="FootnoteText"/>
        <w:ind w:left="567" w:hanging="567"/>
        <w:rPr>
          <w:sz w:val="24"/>
          <w:szCs w:val="24"/>
          <w:lang w:val="bg-BG"/>
        </w:rPr>
      </w:pPr>
      <w:r w:rsidRPr="000903AB">
        <w:rPr>
          <w:rStyle w:val="FootnoteReference"/>
          <w:sz w:val="24"/>
          <w:szCs w:val="24"/>
          <w:lang w:val="bg-BG"/>
        </w:rPr>
        <w:footnoteRef/>
      </w:r>
      <w:r w:rsidR="00C72938" w:rsidRPr="000903AB">
        <w:rPr>
          <w:sz w:val="24"/>
          <w:lang w:val="bg-BG"/>
        </w:rPr>
        <w:t xml:space="preserve"> </w:t>
      </w:r>
      <w:r w:rsidR="00C72938" w:rsidRPr="000903AB">
        <w:rPr>
          <w:sz w:val="24"/>
          <w:lang w:val="bg-BG"/>
        </w:rPr>
        <w:tab/>
      </w:r>
      <w:r w:rsidRPr="000903AB">
        <w:rPr>
          <w:sz w:val="24"/>
          <w:lang w:val="bg-BG"/>
        </w:rPr>
        <w:t>OВ C 77, 28.3.2002 г.,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29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7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7"/>
  </w:num>
  <w:num w:numId="3">
    <w:abstractNumId w:val="24"/>
    <w:lvlOverride w:ilvl="0">
      <w:startOverride w:val="1"/>
    </w:lvlOverride>
  </w:num>
  <w:num w:numId="4">
    <w:abstractNumId w:val="20"/>
    <w:lvlOverride w:ilvl="0">
      <w:startOverride w:val="1"/>
    </w:lvlOverride>
  </w:num>
  <w:num w:numId="5">
    <w:abstractNumId w:val="0"/>
  </w:num>
  <w:num w:numId="6">
    <w:abstractNumId w:val="15"/>
  </w:num>
  <w:num w:numId="7">
    <w:abstractNumId w:val="27"/>
  </w:num>
  <w:num w:numId="8">
    <w:abstractNumId w:val="25"/>
  </w:num>
  <w:num w:numId="9">
    <w:abstractNumId w:val="6"/>
  </w:num>
  <w:num w:numId="10">
    <w:abstractNumId w:val="16"/>
  </w:num>
  <w:num w:numId="11">
    <w:abstractNumId w:val="7"/>
  </w:num>
  <w:num w:numId="12">
    <w:abstractNumId w:val="39"/>
    <w:lvlOverride w:ilvl="0">
      <w:startOverride w:val="1"/>
    </w:lvlOverride>
  </w:num>
  <w:num w:numId="13">
    <w:abstractNumId w:val="34"/>
  </w:num>
  <w:num w:numId="14">
    <w:abstractNumId w:val="14"/>
  </w:num>
  <w:num w:numId="15">
    <w:abstractNumId w:val="21"/>
  </w:num>
  <w:num w:numId="16">
    <w:abstractNumId w:val="22"/>
  </w:num>
  <w:num w:numId="17">
    <w:abstractNumId w:val="10"/>
  </w:num>
  <w:num w:numId="18">
    <w:abstractNumId w:val="9"/>
  </w:num>
  <w:num w:numId="19">
    <w:abstractNumId w:val="32"/>
  </w:num>
  <w:num w:numId="20">
    <w:abstractNumId w:val="33"/>
  </w:num>
  <w:num w:numId="21">
    <w:abstractNumId w:val="13"/>
  </w:num>
  <w:num w:numId="22">
    <w:abstractNumId w:val="28"/>
  </w:num>
  <w:num w:numId="23">
    <w:abstractNumId w:val="48"/>
  </w:num>
  <w:num w:numId="24">
    <w:abstractNumId w:val="18"/>
  </w:num>
  <w:num w:numId="25">
    <w:abstractNumId w:val="19"/>
  </w:num>
  <w:num w:numId="26">
    <w:abstractNumId w:val="26"/>
  </w:num>
  <w:num w:numId="27">
    <w:abstractNumId w:val="31"/>
  </w:num>
  <w:num w:numId="28">
    <w:abstractNumId w:val="45"/>
  </w:num>
  <w:num w:numId="29">
    <w:abstractNumId w:val="44"/>
  </w:num>
  <w:num w:numId="30">
    <w:abstractNumId w:val="46"/>
  </w:num>
  <w:num w:numId="31">
    <w:abstractNumId w:val="40"/>
  </w:num>
  <w:num w:numId="32">
    <w:abstractNumId w:val="2"/>
  </w:num>
  <w:num w:numId="33">
    <w:abstractNumId w:val="41"/>
  </w:num>
  <w:num w:numId="34">
    <w:abstractNumId w:val="35"/>
  </w:num>
  <w:num w:numId="35">
    <w:abstractNumId w:val="4"/>
  </w:num>
  <w:num w:numId="36">
    <w:abstractNumId w:val="43"/>
  </w:num>
  <w:num w:numId="37">
    <w:abstractNumId w:val="47"/>
  </w:num>
  <w:num w:numId="38">
    <w:abstractNumId w:val="29"/>
  </w:num>
  <w:num w:numId="39">
    <w:abstractNumId w:val="42"/>
  </w:num>
  <w:num w:numId="40">
    <w:abstractNumId w:val="38"/>
  </w:num>
  <w:num w:numId="41">
    <w:abstractNumId w:val="23"/>
  </w:num>
  <w:num w:numId="42">
    <w:abstractNumId w:val="1"/>
  </w:num>
  <w:num w:numId="43">
    <w:abstractNumId w:val="11"/>
  </w:num>
  <w:num w:numId="44">
    <w:abstractNumId w:val="8"/>
  </w:num>
  <w:num w:numId="45">
    <w:abstractNumId w:val="12"/>
  </w:num>
  <w:num w:numId="46">
    <w:abstractNumId w:val="30"/>
  </w:num>
  <w:num w:numId="47">
    <w:abstractNumId w:val="5"/>
    <w:lvlOverride w:ilvl="0">
      <w:startOverride w:val="1"/>
    </w:lvlOverride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BG"/>
    <w:docVar w:name="dvnumam" w:val="84"/>
    <w:docVar w:name="dvpe" w:val="732.908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общите правила за вътрешния пазар на възобновяем и природен газ и на водород (преработен текст).(COM(2021)0803 – C9-0468/2021 – 2021/0425(COD))"/>
  </w:docVars>
  <w:rsids>
    <w:rsidRoot w:val="008B1167"/>
    <w:rsid w:val="00002272"/>
    <w:rsid w:val="00064002"/>
    <w:rsid w:val="000677B9"/>
    <w:rsid w:val="000831BA"/>
    <w:rsid w:val="000903AB"/>
    <w:rsid w:val="000A42CC"/>
    <w:rsid w:val="000E7DD9"/>
    <w:rsid w:val="0010095E"/>
    <w:rsid w:val="00125B37"/>
    <w:rsid w:val="00136E83"/>
    <w:rsid w:val="00187494"/>
    <w:rsid w:val="001B727A"/>
    <w:rsid w:val="001F32AE"/>
    <w:rsid w:val="002767FF"/>
    <w:rsid w:val="002B18FE"/>
    <w:rsid w:val="002B5493"/>
    <w:rsid w:val="002E4953"/>
    <w:rsid w:val="00343214"/>
    <w:rsid w:val="00361C00"/>
    <w:rsid w:val="00395FA1"/>
    <w:rsid w:val="003E15D4"/>
    <w:rsid w:val="004001A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4794"/>
    <w:rsid w:val="006037C0"/>
    <w:rsid w:val="00634E1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167"/>
    <w:rsid w:val="008C2AC6"/>
    <w:rsid w:val="008C341C"/>
    <w:rsid w:val="00930C23"/>
    <w:rsid w:val="0093193B"/>
    <w:rsid w:val="009509D8"/>
    <w:rsid w:val="00950B64"/>
    <w:rsid w:val="00981893"/>
    <w:rsid w:val="00A1687D"/>
    <w:rsid w:val="00A43E52"/>
    <w:rsid w:val="00A4678D"/>
    <w:rsid w:val="00A67FB1"/>
    <w:rsid w:val="00A778C7"/>
    <w:rsid w:val="00AB441E"/>
    <w:rsid w:val="00AB6293"/>
    <w:rsid w:val="00AE0928"/>
    <w:rsid w:val="00AE267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93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1861"/>
    <w:rsid w:val="00E365E1"/>
    <w:rsid w:val="00E820A4"/>
    <w:rsid w:val="00E928E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30B60F6"/>
  <w15:chartTrackingRefBased/>
  <w15:docId w15:val="{0ABF3C36-74D6-4579-AD6D-6A32F9AA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2" w:uiPriority="99"/>
    <w:lsdException w:name="List Bullet 3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B727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1B727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1B727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1B727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27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27A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27A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1B727A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B727A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1B727A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1B727A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1B727A"/>
    <w:rPr>
      <w:rFonts w:ascii="Arial" w:hAnsi="Arial" w:cs="Arial"/>
      <w:b/>
      <w:sz w:val="24"/>
      <w:lang w:val="bg-BG"/>
    </w:rPr>
  </w:style>
  <w:style w:type="paragraph" w:customStyle="1" w:styleId="EPFooter2">
    <w:name w:val="EPFooter2"/>
    <w:basedOn w:val="Normal"/>
    <w:next w:val="Normal"/>
    <w:rsid w:val="001B727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1B727A"/>
    <w:pPr>
      <w:spacing w:after="240"/>
    </w:pPr>
  </w:style>
  <w:style w:type="paragraph" w:customStyle="1" w:styleId="TOCPage">
    <w:name w:val="TOC Page"/>
    <w:basedOn w:val="Normal"/>
    <w:next w:val="TOC1"/>
    <w:rsid w:val="001B727A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1B727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B727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B727A"/>
    <w:pPr>
      <w:spacing w:after="480"/>
      <w:ind w:left="1417"/>
    </w:pPr>
  </w:style>
  <w:style w:type="paragraph" w:customStyle="1" w:styleId="CoverNormal">
    <w:name w:val="CoverNormal"/>
    <w:basedOn w:val="Normal"/>
    <w:rsid w:val="001B727A"/>
    <w:pPr>
      <w:ind w:left="1418"/>
    </w:pPr>
  </w:style>
  <w:style w:type="paragraph" w:customStyle="1" w:styleId="NormalCenter12a">
    <w:name w:val="NormalCenter12a"/>
    <w:basedOn w:val="Normal"/>
    <w:rsid w:val="001B727A"/>
    <w:pPr>
      <w:spacing w:after="240"/>
      <w:jc w:val="center"/>
    </w:pPr>
  </w:style>
  <w:style w:type="paragraph" w:customStyle="1" w:styleId="CoverReference">
    <w:name w:val="CoverReference"/>
    <w:basedOn w:val="Normal"/>
    <w:rsid w:val="001B727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B727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B727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B727A"/>
    <w:pPr>
      <w:spacing w:before="240" w:after="1200"/>
    </w:pPr>
  </w:style>
  <w:style w:type="paragraph" w:customStyle="1" w:styleId="AmNumberTabs">
    <w:name w:val="AmNumberTabs"/>
    <w:basedOn w:val="Normal"/>
    <w:rsid w:val="001B72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B727A"/>
    <w:pPr>
      <w:spacing w:before="720" w:after="240"/>
      <w:jc w:val="center"/>
    </w:pPr>
  </w:style>
  <w:style w:type="paragraph" w:customStyle="1" w:styleId="EPBody">
    <w:name w:val="EPBody"/>
    <w:basedOn w:val="Normal"/>
    <w:rsid w:val="001B727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1B727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1B727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1B727A"/>
    <w:rPr>
      <w:smallCaps/>
      <w:sz w:val="20"/>
    </w:rPr>
  </w:style>
  <w:style w:type="paragraph" w:customStyle="1" w:styleId="AnnexWPDocType">
    <w:name w:val="AnnexWPDocType"/>
    <w:basedOn w:val="Normal"/>
    <w:rsid w:val="001B727A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1B727A"/>
    <w:pPr>
      <w:spacing w:before="480"/>
    </w:pPr>
    <w:rPr>
      <w:b/>
    </w:rPr>
  </w:style>
  <w:style w:type="paragraph" w:customStyle="1" w:styleId="AnnexWPLogo">
    <w:name w:val="AnnexWPLogo"/>
    <w:basedOn w:val="Normal"/>
    <w:rsid w:val="001B727A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1B727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B727A"/>
    <w:rPr>
      <w:b/>
      <w:sz w:val="24"/>
      <w:lang w:val="bg-BG"/>
    </w:rPr>
  </w:style>
  <w:style w:type="paragraph" w:customStyle="1" w:styleId="EPFooter">
    <w:name w:val="EPFooter"/>
    <w:basedOn w:val="Normal"/>
    <w:rsid w:val="001B727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1B72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27A"/>
    <w:rPr>
      <w:sz w:val="24"/>
      <w:lang w:val="bg-BG"/>
    </w:rPr>
  </w:style>
  <w:style w:type="paragraph" w:customStyle="1" w:styleId="EPComma">
    <w:name w:val="EPComma"/>
    <w:basedOn w:val="Normal"/>
    <w:rsid w:val="001B727A"/>
    <w:pPr>
      <w:spacing w:before="480" w:after="240"/>
    </w:pPr>
  </w:style>
  <w:style w:type="paragraph" w:customStyle="1" w:styleId="Lgendesigne">
    <w:name w:val="Légende signe"/>
    <w:basedOn w:val="Normal"/>
    <w:rsid w:val="001B727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B727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B727A"/>
    <w:rPr>
      <w:sz w:val="18"/>
    </w:rPr>
  </w:style>
  <w:style w:type="paragraph" w:customStyle="1" w:styleId="Normal24a">
    <w:name w:val="Normal24a"/>
    <w:basedOn w:val="Normal"/>
    <w:rsid w:val="001B727A"/>
    <w:pPr>
      <w:spacing w:after="480"/>
    </w:pPr>
  </w:style>
  <w:style w:type="paragraph" w:customStyle="1" w:styleId="NormalBoldCenter">
    <w:name w:val="NormalBoldCenter"/>
    <w:basedOn w:val="Normal"/>
    <w:rsid w:val="001B727A"/>
    <w:pPr>
      <w:jc w:val="center"/>
    </w:pPr>
    <w:rPr>
      <w:b/>
    </w:rPr>
  </w:style>
  <w:style w:type="paragraph" w:customStyle="1" w:styleId="Text1">
    <w:name w:val="Text 1"/>
    <w:basedOn w:val="Normal"/>
    <w:rsid w:val="001B727A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B727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1B727A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1B727A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1B727A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1B727A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1B727A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B727A"/>
    <w:pPr>
      <w:spacing w:after="240"/>
    </w:pPr>
  </w:style>
  <w:style w:type="paragraph" w:customStyle="1" w:styleId="Languesfaisantfoi">
    <w:name w:val="Langues faisant foi"/>
    <w:basedOn w:val="Normal"/>
    <w:next w:val="Normal"/>
    <w:rsid w:val="001B727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1B727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styleId="CommentReference">
    <w:name w:val="annotation reference"/>
    <w:uiPriority w:val="99"/>
    <w:unhideWhenUsed/>
    <w:rsid w:val="001B72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727A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727A"/>
    <w:rPr>
      <w:rFonts w:ascii="Calibri" w:eastAsia="Calibri" w:hAnsi="Calibri"/>
      <w:lang w:val="bg-BG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1B727A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B727A"/>
    <w:rPr>
      <w:rFonts w:ascii="Segoe UI" w:eastAsia="Calibri" w:hAnsi="Segoe UI" w:cs="Segoe UI"/>
      <w:sz w:val="18"/>
      <w:szCs w:val="18"/>
      <w:lang w:val="bg-BG" w:eastAsia="en-US"/>
    </w:rPr>
  </w:style>
  <w:style w:type="paragraph" w:styleId="ListBullet">
    <w:name w:val="List Bullet"/>
    <w:basedOn w:val="Normal"/>
    <w:unhideWhenUsed/>
    <w:rsid w:val="001B727A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1B727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1B727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1B727A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1B727A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1B727A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B727A"/>
    <w:pPr>
      <w:spacing w:before="120" w:after="12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B727A"/>
    <w:rPr>
      <w:rFonts w:ascii="Calibri" w:eastAsia="Calibri" w:hAnsi="Calibri"/>
      <w:b/>
      <w:bCs/>
      <w:lang w:val="bg-BG" w:eastAsia="en-US"/>
    </w:rPr>
  </w:style>
  <w:style w:type="paragraph" w:customStyle="1" w:styleId="Normal2">
    <w:name w:val="Normal2"/>
    <w:basedOn w:val="Normal"/>
    <w:rsid w:val="001B727A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1B727A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1B727A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1B727A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1B727A"/>
    <w:rPr>
      <w:i/>
      <w:iCs/>
    </w:rPr>
  </w:style>
  <w:style w:type="paragraph" w:styleId="Revision">
    <w:name w:val="Revision"/>
    <w:hidden/>
    <w:uiPriority w:val="99"/>
    <w:semiHidden/>
    <w:rsid w:val="001B727A"/>
    <w:rPr>
      <w:rFonts w:eastAsia="Calibri"/>
      <w:sz w:val="24"/>
      <w:szCs w:val="22"/>
      <w:lang w:val="bg-BG" w:eastAsia="en-US"/>
    </w:rPr>
  </w:style>
  <w:style w:type="paragraph" w:customStyle="1" w:styleId="normals">
    <w:name w:val="normals"/>
    <w:basedOn w:val="NumPar1"/>
    <w:rsid w:val="001B727A"/>
  </w:style>
  <w:style w:type="paragraph" w:customStyle="1" w:styleId="NumPar1">
    <w:name w:val="NumPar 1"/>
    <w:basedOn w:val="Normal"/>
    <w:next w:val="Text1"/>
    <w:qFormat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1B727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1B727A"/>
  </w:style>
  <w:style w:type="paragraph" w:styleId="Caption">
    <w:name w:val="caption"/>
    <w:basedOn w:val="Normal"/>
    <w:next w:val="Normal"/>
    <w:unhideWhenUsed/>
    <w:qFormat/>
    <w:rsid w:val="001B727A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1B727A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1B727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1B727A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1B727A"/>
    <w:pPr>
      <w:keepLines w:val="0"/>
      <w:spacing w:line="240" w:lineRule="auto"/>
      <w:ind w:left="720" w:hanging="720"/>
      <w:jc w:val="both"/>
    </w:pPr>
    <w:rPr>
      <w:rFonts w:eastAsia="Calibri"/>
      <w:sz w:val="20"/>
      <w:lang w:val="bg-BG" w:eastAsia="en-US"/>
    </w:rPr>
  </w:style>
  <w:style w:type="paragraph" w:customStyle="1" w:styleId="ListBullet1">
    <w:name w:val="List Bullet 1"/>
    <w:basedOn w:val="Normal"/>
    <w:rsid w:val="001B727A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1B727A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1B727A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1B727A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1B727A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1B727A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1B727A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1B727A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1B727A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1B727A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1B727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1B727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1B727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1B727A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1B727A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1B727A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1B727A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1B727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1B727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1B727A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1B727A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1B727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1B727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1B727A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1B727A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1B727A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1B727A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1B727A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1B727A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1B727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B727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B727A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1B727A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1B727A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1B727A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1B727A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1B727A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1B727A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1B727A"/>
    <w:rPr>
      <w:vanish/>
      <w:color w:val="800080"/>
      <w:vertAlign w:val="subscript"/>
    </w:rPr>
  </w:style>
  <w:style w:type="character" w:styleId="FollowedHyperlink">
    <w:name w:val="FollowedHyperlink"/>
    <w:rsid w:val="001B727A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1B727A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1B727A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1B727A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1B727A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1B727A"/>
    <w:rPr>
      <w:rFonts w:eastAsia="Calibri"/>
      <w:sz w:val="24"/>
      <w:szCs w:val="22"/>
      <w:lang w:val="bg-BG"/>
    </w:rPr>
  </w:style>
  <w:style w:type="paragraph" w:customStyle="1" w:styleId="Soustitr">
    <w:name w:val="Sous titr"/>
    <w:basedOn w:val="Titreobjet"/>
    <w:rsid w:val="001B727A"/>
  </w:style>
  <w:style w:type="paragraph" w:customStyle="1" w:styleId="Sous-titre">
    <w:name w:val="Sous-titre"/>
    <w:basedOn w:val="Soustitr"/>
    <w:rsid w:val="001B727A"/>
  </w:style>
  <w:style w:type="paragraph" w:customStyle="1" w:styleId="paragraph">
    <w:name w:val="paragraph"/>
    <w:basedOn w:val="Normal"/>
    <w:rsid w:val="001B727A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1B727A"/>
  </w:style>
  <w:style w:type="character" w:customStyle="1" w:styleId="tw4winError">
    <w:name w:val="tw4winError"/>
    <w:rsid w:val="001B727A"/>
    <w:rPr>
      <w:color w:val="00FF00"/>
      <w:sz w:val="40"/>
      <w:lang w:val="bg-BG" w:eastAsia="en-GB"/>
    </w:rPr>
  </w:style>
  <w:style w:type="character" w:customStyle="1" w:styleId="tw4winTerm">
    <w:name w:val="tw4winTerm"/>
    <w:rsid w:val="001B727A"/>
    <w:rPr>
      <w:color w:val="0000FF"/>
      <w:lang w:val="bg-BG" w:eastAsia="en-GB"/>
    </w:rPr>
  </w:style>
  <w:style w:type="character" w:customStyle="1" w:styleId="tw4winPopup">
    <w:name w:val="tw4winPopup"/>
    <w:rsid w:val="001B727A"/>
    <w:rPr>
      <w:noProof/>
      <w:color w:val="008000"/>
      <w:lang w:val="bg-BG" w:eastAsia="en-GB"/>
    </w:rPr>
  </w:style>
  <w:style w:type="character" w:customStyle="1" w:styleId="tw4winJump">
    <w:name w:val="tw4winJump"/>
    <w:rsid w:val="001B727A"/>
    <w:rPr>
      <w:noProof/>
      <w:color w:val="008080"/>
      <w:lang w:val="bg-BG" w:eastAsia="en-GB"/>
    </w:rPr>
  </w:style>
  <w:style w:type="character" w:customStyle="1" w:styleId="tw4winExternal">
    <w:name w:val="tw4winExternal"/>
    <w:rsid w:val="001B727A"/>
    <w:rPr>
      <w:noProof/>
      <w:color w:val="808080"/>
      <w:lang w:val="bg-BG" w:eastAsia="en-GB"/>
    </w:rPr>
  </w:style>
  <w:style w:type="character" w:customStyle="1" w:styleId="tw4winInternal">
    <w:name w:val="tw4winInternal"/>
    <w:rsid w:val="001B727A"/>
    <w:rPr>
      <w:noProof/>
      <w:color w:val="FF0000"/>
      <w:lang w:val="bg-BG" w:eastAsia="en-GB"/>
    </w:rPr>
  </w:style>
  <w:style w:type="character" w:customStyle="1" w:styleId="DONOTTRANSLATE">
    <w:name w:val="DO_NOT_TRANSLATE"/>
    <w:rsid w:val="001B727A"/>
    <w:rPr>
      <w:noProof/>
      <w:color w:val="800000"/>
      <w:lang w:val="bg-BG" w:eastAsia="en-GB"/>
    </w:rPr>
  </w:style>
  <w:style w:type="paragraph" w:styleId="TOC4">
    <w:name w:val="toc 4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B727A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B727A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B727A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1B727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1B727A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1B727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1B727A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1B727A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B727A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B727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B727A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B727A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B727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B727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B727A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B727A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B727A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1B727A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1B727A"/>
    <w:pPr>
      <w:numPr>
        <w:numId w:val="13"/>
      </w:numPr>
    </w:pPr>
  </w:style>
  <w:style w:type="paragraph" w:customStyle="1" w:styleId="Tiret1">
    <w:name w:val="Tiret 1"/>
    <w:basedOn w:val="Point1"/>
    <w:rsid w:val="001B727A"/>
    <w:pPr>
      <w:numPr>
        <w:numId w:val="4"/>
      </w:numPr>
    </w:pPr>
  </w:style>
  <w:style w:type="paragraph" w:customStyle="1" w:styleId="Tiret2">
    <w:name w:val="Tiret 2"/>
    <w:basedOn w:val="Point2"/>
    <w:rsid w:val="001B727A"/>
    <w:pPr>
      <w:numPr>
        <w:numId w:val="12"/>
      </w:numPr>
    </w:pPr>
  </w:style>
  <w:style w:type="paragraph" w:customStyle="1" w:styleId="Tiret3">
    <w:name w:val="Tiret 3"/>
    <w:basedOn w:val="Point3"/>
    <w:rsid w:val="001B727A"/>
    <w:pPr>
      <w:numPr>
        <w:numId w:val="14"/>
      </w:numPr>
    </w:pPr>
  </w:style>
  <w:style w:type="paragraph" w:customStyle="1" w:styleId="Tiret4">
    <w:name w:val="Tiret 4"/>
    <w:basedOn w:val="Point4"/>
    <w:rsid w:val="001B727A"/>
    <w:pPr>
      <w:numPr>
        <w:numId w:val="15"/>
      </w:numPr>
    </w:pPr>
  </w:style>
  <w:style w:type="paragraph" w:customStyle="1" w:styleId="Tiret5">
    <w:name w:val="Tiret 5"/>
    <w:basedOn w:val="Point5"/>
    <w:rsid w:val="001B727A"/>
    <w:pPr>
      <w:numPr>
        <w:numId w:val="16"/>
      </w:numPr>
    </w:pPr>
  </w:style>
  <w:style w:type="paragraph" w:customStyle="1" w:styleId="PointDouble0">
    <w:name w:val="PointDouble 0"/>
    <w:basedOn w:val="Normal"/>
    <w:rsid w:val="001B727A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B727A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B727A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B727A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B727A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B727A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B727A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B727A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B727A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B727A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B727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B727A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B727A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B727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B727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B727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B727A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B727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B727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B727A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B727A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B727A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B727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B727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B727A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1B727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1B727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1B727A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B727A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B727A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B727A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B727A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1B727A"/>
    <w:rPr>
      <w:color w:val="0000FF"/>
      <w:shd w:val="clear" w:color="auto" w:fill="auto"/>
    </w:rPr>
  </w:style>
  <w:style w:type="character" w:customStyle="1" w:styleId="Marker1">
    <w:name w:val="Marker1"/>
    <w:rsid w:val="001B727A"/>
    <w:rPr>
      <w:color w:val="008000"/>
      <w:shd w:val="clear" w:color="auto" w:fill="auto"/>
    </w:rPr>
  </w:style>
  <w:style w:type="character" w:customStyle="1" w:styleId="Marker2">
    <w:name w:val="Marker2"/>
    <w:rsid w:val="001B727A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B727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1B727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B727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B727A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1B727A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B727A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B727A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B727A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B727A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B727A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B727A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B727A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B727A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1B727A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1B727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B727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1B727A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1B727A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1B727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1B727A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1B727A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1B727A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1B727A"/>
  </w:style>
  <w:style w:type="paragraph" w:customStyle="1" w:styleId="Rfrencecroise">
    <w:name w:val="Référence croisée"/>
    <w:basedOn w:val="Normal"/>
    <w:uiPriority w:val="99"/>
    <w:rsid w:val="001B727A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1B727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1B727A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1B727A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1B727A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1B727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1B727A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1B727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1B727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1B727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B727A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B727A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B727A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B727A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1B727A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1B727A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B727A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1B727A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B727A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1B727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1B727A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B727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B727A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1B727A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1B727A"/>
    <w:rPr>
      <w:b/>
      <w:u w:val="single"/>
      <w:shd w:val="clear" w:color="auto" w:fill="auto"/>
    </w:rPr>
  </w:style>
  <w:style w:type="character" w:customStyle="1" w:styleId="Deleted">
    <w:name w:val="Deleted"/>
    <w:rsid w:val="001B727A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1B727A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1B727A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1B727A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1B727A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1B727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1B727A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1B727A"/>
  </w:style>
  <w:style w:type="paragraph" w:customStyle="1" w:styleId="Volume">
    <w:name w:val="Volume"/>
    <w:basedOn w:val="Normal"/>
    <w:next w:val="Confidentialit"/>
    <w:uiPriority w:val="99"/>
    <w:rsid w:val="001B727A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1B727A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1B727A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1B727A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1B727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1B727A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1B727A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1B727A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1B727A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1B727A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1B727A"/>
    <w:pPr>
      <w:spacing w:before="120" w:after="120" w:line="360" w:lineRule="auto"/>
      <w:jc w:val="both"/>
    </w:pPr>
    <w:rPr>
      <w:rFonts w:eastAsiaTheme="minorHAnsi"/>
      <w:sz w:val="24"/>
      <w:szCs w:val="22"/>
      <w:lang w:val="bg-BG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1B727A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1B727A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1B727A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1B727A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1B727A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1B727A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1B727A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1B727A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1B727A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1B727A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1B727A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1B727A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1B727A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1B727A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1B727A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1B727A"/>
    <w:pPr>
      <w:spacing w:before="120" w:after="360"/>
    </w:pPr>
  </w:style>
  <w:style w:type="paragraph" w:customStyle="1" w:styleId="Point6">
    <w:name w:val="Point 6"/>
    <w:basedOn w:val="Point5"/>
    <w:qFormat/>
    <w:rsid w:val="001B727A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1B727A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1B727A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1B727A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1B727A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1B727A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1B727A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1B727A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1B727A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1B727A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1B727A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1B727A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1B727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B727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B727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B727A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1B727A"/>
    <w:pPr>
      <w:spacing w:before="600" w:after="360"/>
    </w:pPr>
  </w:style>
  <w:style w:type="paragraph" w:customStyle="1" w:styleId="LetterSubject">
    <w:name w:val="LetterSubject"/>
    <w:basedOn w:val="Normal"/>
    <w:rsid w:val="001B727A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B727A"/>
    <w:pPr>
      <w:spacing w:before="1320"/>
    </w:pPr>
  </w:style>
  <w:style w:type="paragraph" w:customStyle="1" w:styleId="AnnexRight">
    <w:name w:val="AnnexRight"/>
    <w:basedOn w:val="Normal"/>
    <w:rsid w:val="001B727A"/>
    <w:pPr>
      <w:spacing w:after="480"/>
      <w:jc w:val="right"/>
    </w:pPr>
  </w:style>
  <w:style w:type="paragraph" w:customStyle="1" w:styleId="Normal12">
    <w:name w:val="Normal12"/>
    <w:basedOn w:val="Normal"/>
    <w:link w:val="Normal12Char"/>
    <w:rsid w:val="001B727A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1B727A"/>
    <w:rPr>
      <w:rFonts w:ascii="Arial" w:hAnsi="Arial" w:cs="Arial"/>
      <w:b w:val="0"/>
      <w:sz w:val="24"/>
      <w:lang w:val="bg-BG"/>
    </w:rPr>
  </w:style>
  <w:style w:type="character" w:customStyle="1" w:styleId="Normal6Char">
    <w:name w:val="Normal6 Char"/>
    <w:link w:val="Normal6"/>
    <w:locked/>
    <w:rsid w:val="001B727A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B727A"/>
    <w:pPr>
      <w:spacing w:after="120"/>
    </w:pPr>
  </w:style>
  <w:style w:type="paragraph" w:customStyle="1" w:styleId="PageHeadingNotTOC">
    <w:name w:val="PageHeadingNotTOC"/>
    <w:basedOn w:val="Normal"/>
    <w:rsid w:val="001B727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B727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1B727A"/>
    <w:pPr>
      <w:spacing w:before="240"/>
    </w:pPr>
    <w:rPr>
      <w:b/>
    </w:rPr>
  </w:style>
  <w:style w:type="paragraph" w:customStyle="1" w:styleId="AmColumnHeading">
    <w:name w:val="AmColumnHeading"/>
    <w:basedOn w:val="Normal"/>
    <w:rsid w:val="001B727A"/>
    <w:pPr>
      <w:spacing w:after="240"/>
      <w:jc w:val="center"/>
    </w:pPr>
    <w:rPr>
      <w:i/>
    </w:rPr>
  </w:style>
  <w:style w:type="paragraph" w:customStyle="1" w:styleId="Normal6a">
    <w:name w:val="Normal6a"/>
    <w:basedOn w:val="Normal"/>
    <w:rsid w:val="001B727A"/>
    <w:pPr>
      <w:spacing w:after="120"/>
    </w:pPr>
  </w:style>
  <w:style w:type="character" w:customStyle="1" w:styleId="SupBoldItalic">
    <w:name w:val="SupBoldItalic"/>
    <w:uiPriority w:val="1"/>
    <w:qFormat/>
    <w:rsid w:val="001B727A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1B727A"/>
    <w:pPr>
      <w:spacing w:before="1320"/>
    </w:pPr>
  </w:style>
  <w:style w:type="paragraph" w:customStyle="1" w:styleId="AmJustText">
    <w:name w:val="AmJustText"/>
    <w:basedOn w:val="Normal"/>
    <w:rsid w:val="001B727A"/>
    <w:pPr>
      <w:spacing w:after="240"/>
    </w:pPr>
    <w:rPr>
      <w:i/>
    </w:rPr>
  </w:style>
  <w:style w:type="paragraph" w:customStyle="1" w:styleId="AmCrossRef">
    <w:name w:val="AmCrossRef"/>
    <w:basedOn w:val="Normal"/>
    <w:rsid w:val="001B727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B727A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1B727A"/>
    <w:pPr>
      <w:spacing w:before="240" w:after="240"/>
      <w:jc w:val="right"/>
    </w:pPr>
  </w:style>
  <w:style w:type="paragraph" w:customStyle="1" w:styleId="CommitteeAM">
    <w:name w:val="CommitteeAM"/>
    <w:basedOn w:val="Normal"/>
    <w:rsid w:val="001B727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B727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B727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B727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B727A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1B727A"/>
    <w:rPr>
      <w:rFonts w:ascii="Times New Roman" w:hAnsi="Times New Roman" w:cs="Times New Roman"/>
      <w:i/>
      <w:noProof/>
    </w:rPr>
  </w:style>
  <w:style w:type="paragraph" w:customStyle="1" w:styleId="JustificationTitle">
    <w:name w:val="JustificationTitle"/>
    <w:basedOn w:val="Normal"/>
    <w:next w:val="Normal12"/>
    <w:rsid w:val="001B727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B727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B727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B72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B727A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1B727A"/>
    <w:pPr>
      <w:jc w:val="center"/>
    </w:pPr>
    <w:rPr>
      <w:rFonts w:ascii="Times New Roman" w:hAnsi="Times New Roman" w:cs="Times New Roman"/>
      <w:sz w:val="56"/>
    </w:rPr>
  </w:style>
  <w:style w:type="paragraph" w:styleId="Footer">
    <w:name w:val="footer"/>
    <w:basedOn w:val="Normal"/>
    <w:link w:val="FooterChar"/>
    <w:uiPriority w:val="99"/>
    <w:rsid w:val="001B72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27A"/>
    <w:rPr>
      <w:sz w:val="24"/>
      <w:lang w:val="bg-BG"/>
    </w:rPr>
  </w:style>
  <w:style w:type="paragraph" w:customStyle="1" w:styleId="AmDocTypeTab">
    <w:name w:val="AmDocTypeTab"/>
    <w:basedOn w:val="Normal"/>
    <w:rsid w:val="000903AB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903A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903AB"/>
  </w:style>
  <w:style w:type="paragraph" w:customStyle="1" w:styleId="HeaderCouncilLarge">
    <w:name w:val="Header Council Large"/>
    <w:basedOn w:val="Normal"/>
    <w:link w:val="HeaderCouncilLargeChar"/>
    <w:rsid w:val="000903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0903AB"/>
    <w:rPr>
      <w:rFonts w:ascii="Times New Roman" w:hAnsi="Times New Roman" w:cs="Times New Roman"/>
      <w:sz w:val="24"/>
      <w:lang w:val="bg-BG"/>
    </w:rPr>
  </w:style>
  <w:style w:type="character" w:customStyle="1" w:styleId="HeaderCouncilLargeChar">
    <w:name w:val="Header Council Large Char"/>
    <w:basedOn w:val="TechnicalBlockChar"/>
    <w:link w:val="HeaderCouncilLarge"/>
    <w:rsid w:val="000903AB"/>
    <w:rPr>
      <w:rFonts w:ascii="Times New Roman" w:eastAsia="Calibri" w:hAnsi="Times New Roman" w:cs="Times New Roman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0903A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0903AB"/>
    <w:rPr>
      <w:color w:val="808080"/>
    </w:rPr>
  </w:style>
  <w:style w:type="paragraph" w:customStyle="1" w:styleId="CM4">
    <w:name w:val="CM4"/>
    <w:basedOn w:val="Default"/>
    <w:next w:val="Default"/>
    <w:rsid w:val="000903AB"/>
    <w:pPr>
      <w:adjustRightInd w:val="0"/>
    </w:pPr>
    <w:rPr>
      <w:rFonts w:eastAsia="Times New Roman"/>
      <w:color w:val="auto"/>
      <w:lang w:eastAsia="fr-BE"/>
    </w:rPr>
  </w:style>
  <w:style w:type="paragraph" w:customStyle="1" w:styleId="HeaderCouncil">
    <w:name w:val="Header Council"/>
    <w:basedOn w:val="Normal"/>
    <w:rsid w:val="000903A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903A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903A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903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903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903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903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903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903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903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903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903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903AB"/>
    <w:pPr>
      <w:widowControl/>
      <w:numPr>
        <w:numId w:val="24"/>
      </w:numPr>
      <w:tabs>
        <w:tab w:val="clear" w:pos="4252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903AB"/>
    <w:pPr>
      <w:widowControl/>
      <w:numPr>
        <w:numId w:val="25"/>
      </w:numPr>
      <w:tabs>
        <w:tab w:val="clear" w:pos="4819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903AB"/>
    <w:pPr>
      <w:widowControl/>
      <w:numPr>
        <w:numId w:val="26"/>
      </w:numPr>
      <w:tabs>
        <w:tab w:val="clear" w:pos="5386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903AB"/>
    <w:pPr>
      <w:widowControl/>
      <w:numPr>
        <w:numId w:val="27"/>
      </w:numPr>
      <w:tabs>
        <w:tab w:val="clear" w:pos="3685"/>
        <w:tab w:val="num" w:pos="2551"/>
      </w:tabs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903AB"/>
    <w:pPr>
      <w:widowControl/>
      <w:numPr>
        <w:numId w:val="28"/>
      </w:numPr>
      <w:tabs>
        <w:tab w:val="clear" w:pos="4252"/>
        <w:tab w:val="num" w:pos="3118"/>
      </w:tabs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903AB"/>
    <w:pPr>
      <w:widowControl/>
      <w:numPr>
        <w:numId w:val="29"/>
      </w:numPr>
      <w:tabs>
        <w:tab w:val="clear" w:pos="4819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903AB"/>
    <w:pPr>
      <w:widowControl/>
      <w:numPr>
        <w:numId w:val="30"/>
      </w:numPr>
      <w:tabs>
        <w:tab w:val="clear" w:pos="5386"/>
        <w:tab w:val="num" w:pos="4252"/>
      </w:tabs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903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903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0903A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903A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903A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903A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903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903A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903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903A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903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903AB"/>
    <w:pPr>
      <w:spacing w:before="240"/>
    </w:pPr>
  </w:style>
  <w:style w:type="paragraph" w:customStyle="1" w:styleId="Accordtitre">
    <w:name w:val="Accord titre"/>
    <w:basedOn w:val="Normal"/>
    <w:rsid w:val="000903A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903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903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903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0903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903A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03AB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0903A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903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903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903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903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903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903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903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903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903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903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903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903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903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903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903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903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903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903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903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903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903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903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903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903A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903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903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903A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903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903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0903A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903A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903A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903A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903A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903A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903A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903A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903A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903A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903AB"/>
    <w:pPr>
      <w:widowControl/>
      <w:numPr>
        <w:ilvl w:val="1"/>
        <w:numId w:val="4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903AB"/>
    <w:pPr>
      <w:widowControl/>
      <w:numPr>
        <w:ilvl w:val="3"/>
        <w:numId w:val="4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903AB"/>
    <w:pPr>
      <w:widowControl/>
      <w:numPr>
        <w:ilvl w:val="5"/>
        <w:numId w:val="4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903AB"/>
    <w:pPr>
      <w:widowControl/>
      <w:numPr>
        <w:ilvl w:val="7"/>
        <w:numId w:val="4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903AB"/>
    <w:pPr>
      <w:widowControl/>
      <w:numPr>
        <w:ilvl w:val="8"/>
        <w:numId w:val="42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903AB"/>
    <w:pPr>
      <w:widowControl/>
      <w:numPr>
        <w:numId w:val="4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903AB"/>
    <w:pPr>
      <w:widowControl/>
      <w:numPr>
        <w:ilvl w:val="2"/>
        <w:numId w:val="42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903AB"/>
    <w:pPr>
      <w:widowControl/>
      <w:numPr>
        <w:ilvl w:val="4"/>
        <w:numId w:val="42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903AB"/>
    <w:pPr>
      <w:widowControl/>
      <w:numPr>
        <w:ilvl w:val="6"/>
        <w:numId w:val="42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903AB"/>
    <w:pPr>
      <w:widowControl/>
      <w:numPr>
        <w:numId w:val="4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903AB"/>
    <w:pPr>
      <w:widowControl/>
      <w:numPr>
        <w:ilvl w:val="1"/>
        <w:numId w:val="4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903AB"/>
    <w:pPr>
      <w:widowControl/>
      <w:numPr>
        <w:ilvl w:val="2"/>
        <w:numId w:val="4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903AB"/>
    <w:pPr>
      <w:widowControl/>
      <w:numPr>
        <w:ilvl w:val="3"/>
        <w:numId w:val="43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903AB"/>
    <w:pPr>
      <w:widowControl/>
      <w:numPr>
        <w:ilvl w:val="4"/>
        <w:numId w:val="43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903AB"/>
    <w:pPr>
      <w:widowControl/>
      <w:numPr>
        <w:numId w:val="41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903AB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903AB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903AB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903AB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903AB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903AB"/>
    <w:pPr>
      <w:numPr>
        <w:numId w:val="36"/>
      </w:numPr>
      <w:tabs>
        <w:tab w:val="clear" w:pos="567"/>
        <w:tab w:val="num" w:pos="360"/>
      </w:tabs>
      <w:ind w:left="5386"/>
    </w:pPr>
  </w:style>
  <w:style w:type="paragraph" w:customStyle="1" w:styleId="DashEqual1">
    <w:name w:val="Dash Equal 1"/>
    <w:basedOn w:val="Dash1"/>
    <w:rsid w:val="000903AB"/>
    <w:pPr>
      <w:numPr>
        <w:numId w:val="37"/>
      </w:numPr>
      <w:tabs>
        <w:tab w:val="clear" w:pos="1134"/>
        <w:tab w:val="num" w:pos="360"/>
      </w:tabs>
      <w:ind w:left="850" w:hanging="850"/>
    </w:pPr>
  </w:style>
  <w:style w:type="paragraph" w:customStyle="1" w:styleId="DashEqual2">
    <w:name w:val="Dash Equal 2"/>
    <w:basedOn w:val="Dash2"/>
    <w:rsid w:val="000903AB"/>
    <w:pPr>
      <w:numPr>
        <w:numId w:val="38"/>
      </w:numPr>
      <w:tabs>
        <w:tab w:val="clear" w:pos="1701"/>
        <w:tab w:val="num" w:pos="360"/>
      </w:tabs>
      <w:ind w:left="850" w:hanging="850"/>
    </w:pPr>
  </w:style>
  <w:style w:type="paragraph" w:customStyle="1" w:styleId="DashEqual3">
    <w:name w:val="Dash Equal 3"/>
    <w:basedOn w:val="Dash3"/>
    <w:rsid w:val="000903AB"/>
    <w:pPr>
      <w:numPr>
        <w:numId w:val="39"/>
      </w:numPr>
      <w:tabs>
        <w:tab w:val="clear" w:pos="2268"/>
        <w:tab w:val="num" w:pos="360"/>
      </w:tabs>
    </w:pPr>
  </w:style>
  <w:style w:type="paragraph" w:customStyle="1" w:styleId="DashEqual4">
    <w:name w:val="Dash Equal 4"/>
    <w:basedOn w:val="Dash4"/>
    <w:rsid w:val="000903AB"/>
    <w:pPr>
      <w:numPr>
        <w:numId w:val="40"/>
      </w:numPr>
      <w:tabs>
        <w:tab w:val="clear" w:pos="2835"/>
        <w:tab w:val="num" w:pos="360"/>
      </w:tabs>
    </w:pPr>
  </w:style>
  <w:style w:type="paragraph" w:customStyle="1" w:styleId="HeadingLeft">
    <w:name w:val="Heading Left"/>
    <w:basedOn w:val="Normal"/>
    <w:next w:val="Normal"/>
    <w:rsid w:val="000903A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903AB"/>
    <w:pPr>
      <w:numPr>
        <w:numId w:val="46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0903AB"/>
    <w:pPr>
      <w:numPr>
        <w:numId w:val="45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0903AB"/>
    <w:pPr>
      <w:numPr>
        <w:numId w:val="44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0903AB"/>
    <w:pPr>
      <w:jc w:val="center"/>
    </w:pPr>
  </w:style>
  <w:style w:type="paragraph" w:customStyle="1" w:styleId="Jardin">
    <w:name w:val="Jardin"/>
    <w:basedOn w:val="Normal"/>
    <w:rsid w:val="000903A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903A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903A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903A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903AB"/>
    <w:rPr>
      <w:b/>
    </w:rPr>
  </w:style>
  <w:style w:type="paragraph" w:customStyle="1" w:styleId="Annex">
    <w:name w:val="Annex"/>
    <w:basedOn w:val="Normal"/>
    <w:next w:val="Normal"/>
    <w:rsid w:val="000903A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903A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903A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903A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903A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0903AB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0903AB"/>
    <w:pPr>
      <w:numPr>
        <w:numId w:val="47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0903AB"/>
    <w:rPr>
      <w:rFonts w:ascii="Calibri" w:eastAsia="Calibri" w:hAnsi="Calibri" w:cs="Arial"/>
      <w:color w:val="000000"/>
      <w:sz w:val="22"/>
      <w:szCs w:val="22"/>
      <w:lang w:val="bg-BG"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0903AB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0903AB"/>
    <w:rPr>
      <w:rFonts w:ascii="Calibri" w:hAnsi="Calibri"/>
      <w:szCs w:val="21"/>
      <w:lang w:val="bg-BG"/>
    </w:rPr>
  </w:style>
  <w:style w:type="character" w:customStyle="1" w:styleId="cf01">
    <w:name w:val="cf01"/>
    <w:basedOn w:val="DefaultParagraphFont"/>
    <w:rsid w:val="000903AB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0903AB"/>
    <w:rPr>
      <w:color w:val="0563C1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0903AB"/>
    <w:rPr>
      <w14:ligatures w14:val="standardContextual"/>
    </w:rPr>
  </w:style>
  <w:style w:type="paragraph" w:customStyle="1" w:styleId="s14">
    <w:name w:val="s14"/>
    <w:basedOn w:val="Normal"/>
    <w:rsid w:val="000903AB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0903AB"/>
  </w:style>
  <w:style w:type="character" w:customStyle="1" w:styleId="cf11">
    <w:name w:val="cf11"/>
    <w:basedOn w:val="DefaultParagraphFont"/>
    <w:rsid w:val="000903AB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0903AB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0903AB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0903AB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0903AB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0903AB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CommentQuotedText">
    <w:name w:val="CommentQuotedText"/>
    <w:rsid w:val="000903A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0903A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903A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0903AB"/>
    <w:rPr>
      <w:b/>
      <w:i/>
    </w:rPr>
  </w:style>
  <w:style w:type="character" w:customStyle="1" w:styleId="diff-tte-removed">
    <w:name w:val="diff-tte-removed"/>
    <w:basedOn w:val="DefaultParagraphFont"/>
    <w:rsid w:val="000903AB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03AB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0903AB"/>
  </w:style>
  <w:style w:type="character" w:customStyle="1" w:styleId="Mention1">
    <w:name w:val="Mention1"/>
    <w:basedOn w:val="DefaultParagraphFont"/>
    <w:uiPriority w:val="99"/>
    <w:unhideWhenUsed/>
    <w:rsid w:val="000903AB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903A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903AB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903AB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903AB"/>
    <w:pPr>
      <w:ind w:left="720"/>
      <w:contextualSpacing/>
    </w:pPr>
  </w:style>
  <w:style w:type="paragraph" w:styleId="PlainText">
    <w:name w:val="Plain Text"/>
    <w:basedOn w:val="Normal"/>
    <w:link w:val="PlainTextChar1"/>
    <w:rsid w:val="000903AB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0903AB"/>
    <w:rPr>
      <w:rFonts w:ascii="Consolas" w:hAnsi="Consolas"/>
      <w:sz w:val="21"/>
      <w:szCs w:val="21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E601C-413D-4F75-80D4-F8B3F78E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2024-07-25T08:52:00Z</dcterms:created>
  <dcterms:modified xsi:type="dcterms:W3CDTF">2024-07-25T08:52:00Z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