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2225" w14:paraId="4AEAF6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8BFFEF" w14:textId="77777777" w:rsidR="00751A4A" w:rsidRPr="003D2225" w:rsidRDefault="00CF4DC5" w:rsidP="0010095E">
            <w:pPr>
              <w:pStyle w:val="EPName"/>
            </w:pPr>
            <w:r w:rsidRPr="003D2225">
              <w:t>Europa-Parlamentet</w:t>
            </w:r>
          </w:p>
          <w:p w14:paraId="4BE63EFA" w14:textId="77777777" w:rsidR="00751A4A" w:rsidRPr="003D22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222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B0ADDC7" w14:textId="77777777" w:rsidR="00751A4A" w:rsidRPr="003D2225" w:rsidRDefault="00187494" w:rsidP="0010095E">
            <w:pPr>
              <w:pStyle w:val="EPLogo"/>
            </w:pPr>
            <w:r w:rsidRPr="003D2225">
              <w:rPr>
                <w:noProof/>
                <w:lang w:eastAsia="da-DK"/>
              </w:rPr>
              <w:drawing>
                <wp:inline distT="0" distB="0" distL="0" distR="0" wp14:anchorId="20C8595B" wp14:editId="4118A8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0A282E" w14:textId="77777777" w:rsidR="00D058B8" w:rsidRPr="003D2225" w:rsidRDefault="00D058B8" w:rsidP="004C5D52">
      <w:pPr>
        <w:pStyle w:val="LineTop"/>
      </w:pPr>
    </w:p>
    <w:p w14:paraId="27B4382A" w14:textId="77777777" w:rsidR="00680577" w:rsidRPr="003D2225" w:rsidRDefault="00CF4DC5" w:rsidP="00680577">
      <w:pPr>
        <w:pStyle w:val="EPBodyTA1"/>
      </w:pPr>
      <w:r w:rsidRPr="003D2225">
        <w:t>VEDTAGNE TEKSTER</w:t>
      </w:r>
    </w:p>
    <w:p w14:paraId="47DB79BA" w14:textId="77777777" w:rsidR="00D058B8" w:rsidRPr="003D2225" w:rsidRDefault="00D058B8" w:rsidP="00D058B8">
      <w:pPr>
        <w:pStyle w:val="LineBottom"/>
      </w:pPr>
    </w:p>
    <w:p w14:paraId="49D99F93" w14:textId="4FCE62F1" w:rsidR="00CF4DC5" w:rsidRPr="003D2225" w:rsidRDefault="00CF4DC5" w:rsidP="00CF4DC5">
      <w:pPr>
        <w:pStyle w:val="ATHeading1"/>
      </w:pPr>
      <w:bookmarkStart w:id="0" w:name="TANumber"/>
      <w:r w:rsidRPr="003D2225">
        <w:t>P9_</w:t>
      </w:r>
      <w:proofErr w:type="gramStart"/>
      <w:r w:rsidRPr="003D2225">
        <w:t>TA(</w:t>
      </w:r>
      <w:proofErr w:type="gramEnd"/>
      <w:r w:rsidRPr="003D2225">
        <w:t>2024)0</w:t>
      </w:r>
      <w:bookmarkEnd w:id="0"/>
      <w:r w:rsidR="000C55BD">
        <w:t>283</w:t>
      </w:r>
    </w:p>
    <w:p w14:paraId="3CCB9D6C" w14:textId="77777777" w:rsidR="00CF4DC5" w:rsidRPr="003D2225" w:rsidRDefault="00C258E7" w:rsidP="00CF4DC5">
      <w:pPr>
        <w:pStyle w:val="ATHeading2"/>
      </w:pPr>
      <w:r w:rsidRPr="00C258E7">
        <w:t>Fælles regler for de indre markeder for vedvarende gas, naturgas og brint (omarbejdning)</w:t>
      </w:r>
    </w:p>
    <w:p w14:paraId="6A631BF6" w14:textId="77777777" w:rsidR="00CF4DC5" w:rsidRPr="003D2225" w:rsidRDefault="00CF4DC5" w:rsidP="00CF4DC5">
      <w:pPr>
        <w:rPr>
          <w:i/>
          <w:vanish/>
        </w:rPr>
      </w:pPr>
      <w:r w:rsidRPr="003D2225">
        <w:rPr>
          <w:i/>
        </w:rPr>
        <w:fldChar w:fldCharType="begin"/>
      </w:r>
      <w:r w:rsidRPr="003D2225">
        <w:rPr>
          <w:i/>
        </w:rPr>
        <w:instrText xml:space="preserve"> TC"(</w:instrText>
      </w:r>
      <w:bookmarkStart w:id="1" w:name="DocNumber"/>
      <w:r w:rsidRPr="003D2225">
        <w:rPr>
          <w:i/>
        </w:rPr>
        <w:instrText>A9-0035/2023</w:instrText>
      </w:r>
      <w:bookmarkEnd w:id="1"/>
      <w:r w:rsidRPr="003D2225">
        <w:rPr>
          <w:i/>
        </w:rPr>
        <w:instrText xml:space="preserve"> - Ordfører: Jens </w:instrText>
      </w:r>
      <w:proofErr w:type="spellStart"/>
      <w:r w:rsidRPr="003D2225">
        <w:rPr>
          <w:i/>
        </w:rPr>
        <w:instrText>Geier</w:instrText>
      </w:r>
      <w:proofErr w:type="spellEnd"/>
      <w:r w:rsidRPr="003D2225">
        <w:rPr>
          <w:i/>
        </w:rPr>
        <w:instrText xml:space="preserve">)"\l3 \n&gt; \* MERGEFORMAT </w:instrText>
      </w:r>
      <w:r w:rsidRPr="003D2225">
        <w:rPr>
          <w:i/>
        </w:rPr>
        <w:fldChar w:fldCharType="end"/>
      </w:r>
    </w:p>
    <w:p w14:paraId="7734A380" w14:textId="77777777" w:rsidR="00CF4DC5" w:rsidRPr="003D2225" w:rsidRDefault="00CF4DC5" w:rsidP="00CF4DC5">
      <w:pPr>
        <w:rPr>
          <w:vanish/>
        </w:rPr>
      </w:pPr>
      <w:bookmarkStart w:id="2" w:name="Commission"/>
      <w:r w:rsidRPr="003D2225">
        <w:rPr>
          <w:vanish/>
        </w:rPr>
        <w:t>Udvalget om Industri, Forskning og Energi</w:t>
      </w:r>
      <w:bookmarkEnd w:id="2"/>
    </w:p>
    <w:p w14:paraId="39715E5C" w14:textId="77777777" w:rsidR="00CF4DC5" w:rsidRPr="003D2225" w:rsidRDefault="00CF4DC5" w:rsidP="00CF4DC5">
      <w:pPr>
        <w:rPr>
          <w:vanish/>
        </w:rPr>
      </w:pPr>
      <w:bookmarkStart w:id="3" w:name="PE"/>
      <w:r w:rsidRPr="003D2225">
        <w:rPr>
          <w:vanish/>
        </w:rPr>
        <w:t>PE732.908</w:t>
      </w:r>
      <w:bookmarkEnd w:id="3"/>
    </w:p>
    <w:p w14:paraId="4D3DC8D0" w14:textId="1F509D0E" w:rsidR="00CF4DC5" w:rsidRPr="003D2225" w:rsidRDefault="00CF4DC5" w:rsidP="00CF4DC5">
      <w:pPr>
        <w:pStyle w:val="ATHeading3"/>
      </w:pPr>
      <w:bookmarkStart w:id="4" w:name="Sujet"/>
      <w:r w:rsidRPr="003D2225">
        <w:t xml:space="preserve">Europa-Parlamentets lovgivningsmæssige beslutning af </w:t>
      </w:r>
      <w:r w:rsidR="00F85892">
        <w:t>11</w:t>
      </w:r>
      <w:r w:rsidR="00C258E7">
        <w:t>. april</w:t>
      </w:r>
      <w:r w:rsidRPr="003D2225">
        <w:t xml:space="preserve"> 2024 om forslag til Europa-Parlamentets og Rådets direktiv om fælles regler for de indre markeder for vedvarende gas, naturgas og brint (omarbejdning)</w:t>
      </w:r>
      <w:bookmarkEnd w:id="4"/>
      <w:r w:rsidRPr="003D2225">
        <w:t xml:space="preserve"> </w:t>
      </w:r>
      <w:bookmarkStart w:id="5" w:name="References"/>
      <w:r w:rsidRPr="003D2225">
        <w:t>(</w:t>
      </w:r>
      <w:proofErr w:type="gramStart"/>
      <w:r w:rsidRPr="003D2225">
        <w:t>COM(</w:t>
      </w:r>
      <w:proofErr w:type="gramEnd"/>
      <w:r w:rsidRPr="003D2225">
        <w:t>2021)0803 – C9-0468/2021 – 2021/0425(COD))</w:t>
      </w:r>
      <w:bookmarkEnd w:id="5"/>
    </w:p>
    <w:p w14:paraId="564DA1C9" w14:textId="77777777" w:rsidR="00CF4DC5" w:rsidRPr="003D2225" w:rsidRDefault="00CF4DC5" w:rsidP="00CF4DC5"/>
    <w:p w14:paraId="7B448E22" w14:textId="0D0E1D20" w:rsidR="004560FA" w:rsidRPr="003D2225" w:rsidRDefault="004560FA" w:rsidP="004560FA">
      <w:pPr>
        <w:pStyle w:val="NormalBold"/>
      </w:pPr>
      <w:bookmarkStart w:id="6" w:name="TextBodyBegin"/>
      <w:bookmarkEnd w:id="6"/>
      <w:r w:rsidRPr="003D2225">
        <w:t>(Almindelig lovgivningsprocedure</w:t>
      </w:r>
      <w:r w:rsidR="00AE467D">
        <w:t xml:space="preserve"> </w:t>
      </w:r>
      <w:r w:rsidR="00AE467D" w:rsidRPr="00A651B6">
        <w:rPr>
          <w:szCs w:val="24"/>
        </w:rPr>
        <w:t xml:space="preserve">– </w:t>
      </w:r>
      <w:r w:rsidR="002A2576" w:rsidRPr="003D2225">
        <w:t>omarbejdning</w:t>
      </w:r>
      <w:r w:rsidRPr="003D2225">
        <w:t>)</w:t>
      </w:r>
    </w:p>
    <w:p w14:paraId="100DA0B2" w14:textId="77777777" w:rsidR="004560FA" w:rsidRPr="003D2225" w:rsidRDefault="004560FA" w:rsidP="004560FA">
      <w:pPr>
        <w:pStyle w:val="EPComma"/>
      </w:pPr>
      <w:r w:rsidRPr="003D2225">
        <w:rPr>
          <w:i/>
        </w:rPr>
        <w:t>Europa-Parlamentet,</w:t>
      </w:r>
    </w:p>
    <w:p w14:paraId="75DA8754" w14:textId="77777777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>der henviser til Kommissionens forslag til Europa-Parlamentet og Rådet (</w:t>
      </w:r>
      <w:proofErr w:type="gramStart"/>
      <w:r w:rsidRPr="003D2225">
        <w:t>COM(</w:t>
      </w:r>
      <w:proofErr w:type="gramEnd"/>
      <w:r w:rsidRPr="003D2225">
        <w:t>2021)0803),</w:t>
      </w:r>
    </w:p>
    <w:p w14:paraId="5B86AA55" w14:textId="77777777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>der henviser til artikel 294, stk. 2, og artikel 194, stk. 2, i traktaten om Den Europæiske Unions funktionsmåde, på grundlag af hvilke Kommissionen har forelagt forslaget for Parlamentet (C9</w:t>
      </w:r>
      <w:r w:rsidRPr="003D2225">
        <w:noBreakHyphen/>
        <w:t>0468/2021),</w:t>
      </w:r>
    </w:p>
    <w:p w14:paraId="584172CB" w14:textId="77777777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>der henviser til artikel 294, stk. 3, i traktaten om Den Europæiske Unions funktionsmåde,</w:t>
      </w:r>
    </w:p>
    <w:p w14:paraId="61DDAF82" w14:textId="5798810E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 xml:space="preserve">der henviser til de begrundede udtalelser, som inden for rammerne af protokol nr. 2 om anvendelse af nærhedsprincippet og proportionalitetsprincippet er blevet forelagt af det tjekkiske </w:t>
      </w:r>
      <w:r w:rsidR="00C0481E">
        <w:t>d</w:t>
      </w:r>
      <w:r w:rsidRPr="003D2225">
        <w:t xml:space="preserve">eputeretkammer og det tjekkiske </w:t>
      </w:r>
      <w:r w:rsidR="00C0481E">
        <w:t>s</w:t>
      </w:r>
      <w:r w:rsidRPr="003D2225">
        <w:t>enat, om at udkastet til lovgivningsmæssig retsakt ikke overholder nærhedsprincippet,</w:t>
      </w:r>
    </w:p>
    <w:p w14:paraId="10A2FF4C" w14:textId="109BE702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>der henviser til udtalelse</w:t>
      </w:r>
      <w:r w:rsidR="005C1F61" w:rsidRPr="003D2225">
        <w:t xml:space="preserve"> af 19. maj 2022</w:t>
      </w:r>
      <w:r w:rsidRPr="003D2225">
        <w:t xml:space="preserve"> fra Det Europæiske Økonomiske og Sociale Udvalg</w:t>
      </w:r>
      <w:r w:rsidRPr="003D2225">
        <w:rPr>
          <w:rStyle w:val="FootnoteReference"/>
        </w:rPr>
        <w:footnoteReference w:id="1"/>
      </w:r>
      <w:r w:rsidRPr="003D2225">
        <w:t>,</w:t>
      </w:r>
    </w:p>
    <w:p w14:paraId="5828BDC1" w14:textId="101983ED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 xml:space="preserve">der henviser til udtalelse fra Regionsudvalget af </w:t>
      </w:r>
      <w:r w:rsidR="00AE467D">
        <w:t>12</w:t>
      </w:r>
      <w:r w:rsidRPr="003D2225">
        <w:t>. oktober 2022</w:t>
      </w:r>
      <w:r w:rsidRPr="003D2225">
        <w:rPr>
          <w:rStyle w:val="FootnoteReference"/>
        </w:rPr>
        <w:footnoteReference w:id="2"/>
      </w:r>
      <w:r w:rsidRPr="003D2225">
        <w:t>,</w:t>
      </w:r>
    </w:p>
    <w:p w14:paraId="2E048954" w14:textId="77777777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 xml:space="preserve">der henviser til den </w:t>
      </w:r>
      <w:proofErr w:type="spellStart"/>
      <w:r w:rsidRPr="003D2225">
        <w:t>interinstitutionelle</w:t>
      </w:r>
      <w:proofErr w:type="spellEnd"/>
      <w:r w:rsidRPr="003D2225">
        <w:t xml:space="preserve"> aftale af 28. november 2001 om en mere </w:t>
      </w:r>
      <w:r w:rsidRPr="003D2225">
        <w:lastRenderedPageBreak/>
        <w:t>systematisk omarbejdning af retsakter</w:t>
      </w:r>
      <w:r w:rsidRPr="003D2225">
        <w:rPr>
          <w:rStyle w:val="FootnoteReference"/>
        </w:rPr>
        <w:footnoteReference w:id="3"/>
      </w:r>
      <w:r w:rsidRPr="003D2225">
        <w:t>,</w:t>
      </w:r>
    </w:p>
    <w:p w14:paraId="7F152AC9" w14:textId="0470F14E" w:rsidR="004560FA" w:rsidRDefault="004560FA" w:rsidP="004560FA">
      <w:pPr>
        <w:pStyle w:val="NormalHanging12a"/>
      </w:pPr>
      <w:r w:rsidRPr="003D2225">
        <w:t>–</w:t>
      </w:r>
      <w:r w:rsidRPr="003D2225">
        <w:tab/>
        <w:t>der henviser til skrivelse af 2. februar 2023 fra Retsudvalget til Udvalget om Industri, Forskning og Energi, jf. forretningsordenens artikel 110, stk. 3,</w:t>
      </w:r>
    </w:p>
    <w:p w14:paraId="7BE5F993" w14:textId="35FAD64B" w:rsidR="007C0C58" w:rsidRPr="003D2225" w:rsidRDefault="007C0C58" w:rsidP="004560FA">
      <w:pPr>
        <w:pStyle w:val="NormalHanging12a"/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20. december 2023 forpligtede sig til at godkende Europa-Parlamentets holdning, jf. artikel 294, stk. 4, i traktaten om Den Europæiske Unions funktionsmåde</w:t>
      </w:r>
      <w:r>
        <w:t xml:space="preserve">, </w:t>
      </w:r>
    </w:p>
    <w:p w14:paraId="6A1767F7" w14:textId="77777777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>der henviser til forretningsordenens artikel 110 og 59,</w:t>
      </w:r>
    </w:p>
    <w:p w14:paraId="1EFC4DD1" w14:textId="77777777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>der henviser til udtalelser fra Udvalget om det Indre Marked og Forbrugerbeskyttelse og Udvalget om Landbrug og Udvikling af Landdistrikter,</w:t>
      </w:r>
    </w:p>
    <w:p w14:paraId="504211A8" w14:textId="77777777" w:rsidR="004560FA" w:rsidRPr="003D2225" w:rsidRDefault="004560FA" w:rsidP="004560FA">
      <w:pPr>
        <w:pStyle w:val="NormalHanging12a"/>
      </w:pPr>
      <w:r w:rsidRPr="003D2225">
        <w:t>–</w:t>
      </w:r>
      <w:r w:rsidRPr="003D2225">
        <w:tab/>
        <w:t>der henviser til betænkning fra Udvalget om Industri, Forskning og Energi (A9-0035/2023),</w:t>
      </w:r>
    </w:p>
    <w:p w14:paraId="11AC45DB" w14:textId="77777777" w:rsidR="004560FA" w:rsidRPr="003D2225" w:rsidRDefault="004560FA" w:rsidP="004560FA">
      <w:pPr>
        <w:pStyle w:val="NormalHanging12a"/>
      </w:pPr>
      <w:r w:rsidRPr="003D2225">
        <w:t>A.</w:t>
      </w:r>
      <w:r w:rsidRPr="003D2225">
        <w:tab/>
        <w:t>der henviser til, at forslaget ifølge den rådgivende gruppe bestående af de juridiske tjenester i Europa-Parlamentet, Rådet og Kommissionen ikke indebærer andre indholdsmæssige ændringer end dem, der er angivet som sådanne i selve forslaget, og at det, hvad angår de uændrede bestemmelser i de tidligere retsakter sammen med de nævnte ændringer, udelukkende består i en kodifikation af de eksisterende retsakter uden indholdsmæssige ændringer;</w:t>
      </w:r>
    </w:p>
    <w:p w14:paraId="1900A4A6" w14:textId="77777777" w:rsidR="004560FA" w:rsidRPr="003D2225" w:rsidRDefault="004560FA" w:rsidP="004560FA">
      <w:pPr>
        <w:pStyle w:val="NormalHanging12a"/>
      </w:pPr>
      <w:r w:rsidRPr="003D2225">
        <w:t>1.</w:t>
      </w:r>
      <w:r w:rsidRPr="003D2225">
        <w:tab/>
        <w:t>vedtager nedenstående holdning ved førstebehandling under hensyntagen til henstillingerne fra den rådgivende gruppe bestående af de juridiske tjenester i Europa-Parlamentet, Rådet og Kommissionen;</w:t>
      </w:r>
    </w:p>
    <w:p w14:paraId="48B92FB9" w14:textId="77777777" w:rsidR="004560FA" w:rsidRPr="003D2225" w:rsidRDefault="004560FA" w:rsidP="004560FA">
      <w:pPr>
        <w:pStyle w:val="NormalHanging12a"/>
      </w:pPr>
      <w:r w:rsidRPr="003D2225">
        <w:t>2.</w:t>
      </w:r>
      <w:r w:rsidRPr="003D2225">
        <w:tab/>
        <w:t>anmoder om fornyet forelæggelse, hvis Kommissionen erstatter, i væsentlig grad ændrer eller agter i væsentlig grad at ændre sit forslag;</w:t>
      </w:r>
    </w:p>
    <w:p w14:paraId="60F34950" w14:textId="1DBA0FB0" w:rsidR="004560FA" w:rsidRDefault="004560FA" w:rsidP="00A651B6">
      <w:pPr>
        <w:pStyle w:val="NormalHanging12a"/>
      </w:pPr>
      <w:r w:rsidRPr="003D2225">
        <w:t>3.</w:t>
      </w:r>
      <w:r w:rsidRPr="003D2225">
        <w:tab/>
        <w:t>pålægger sin formand at sende Parlamentets holdning til Rådet og Kommissionen samt til de nationale parlamenter.</w:t>
      </w:r>
    </w:p>
    <w:p w14:paraId="79A980CE" w14:textId="77777777" w:rsidR="00A651B6" w:rsidRDefault="00A651B6" w:rsidP="00A651B6">
      <w:pPr>
        <w:pStyle w:val="NormalHanging12a"/>
        <w:sectPr w:rsidR="00A651B6" w:rsidSect="00A651B6"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14:paraId="7361BD8F" w14:textId="79955F19" w:rsidR="0062121F" w:rsidRPr="00EF7590" w:rsidRDefault="0062121F" w:rsidP="00063561">
      <w:pPr>
        <w:pStyle w:val="ATHeading3"/>
      </w:pPr>
      <w:r w:rsidRPr="00EF7590">
        <w:lastRenderedPageBreak/>
        <w:t>P9_TC1-</w:t>
      </w:r>
      <w:proofErr w:type="gramStart"/>
      <w:r w:rsidRPr="00EF7590">
        <w:t>COD(</w:t>
      </w:r>
      <w:proofErr w:type="gramEnd"/>
      <w:r w:rsidRPr="00EF7590">
        <w:t>202</w:t>
      </w:r>
      <w:r>
        <w:t>1)0425</w:t>
      </w:r>
    </w:p>
    <w:p w14:paraId="07B207DF" w14:textId="6D474075" w:rsidR="0062121F" w:rsidRPr="00F770B1" w:rsidRDefault="0062121F" w:rsidP="00063561">
      <w:pPr>
        <w:pStyle w:val="Typedudocument"/>
        <w:spacing w:before="240" w:after="240"/>
        <w:jc w:val="left"/>
        <w:rPr>
          <w:color w:val="000000"/>
        </w:rPr>
      </w:pPr>
      <w:r w:rsidRPr="00F770B1">
        <w:t xml:space="preserve">Europa-Parlamentets holdning fastlagt ved førstebehandlingen den </w:t>
      </w:r>
      <w:r w:rsidR="00F85892" w:rsidRPr="00F770B1">
        <w:t>11</w:t>
      </w:r>
      <w:r w:rsidRPr="00F770B1">
        <w:t xml:space="preserve">. april 2024 med henblik på vedtagelse af Europa-Parlamentets og Rådets direktiv (EU) 2024/... om </w:t>
      </w:r>
      <w:r w:rsidRPr="00F770B1">
        <w:rPr>
          <w:color w:val="000000"/>
        </w:rPr>
        <w:t>fælles regler for de indre markeder for vedvarende gas, naturgas og brint, om ændring af direktiv (EU) 2023/1791 og om ophævelse af direktiv 2009/73/EF (omarbejdning)</w:t>
      </w:r>
    </w:p>
    <w:p w14:paraId="34765F84" w14:textId="77777777" w:rsidR="00F770B1" w:rsidRDefault="00F770B1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6180C45C" w14:textId="43F2B196" w:rsidR="00F770B1" w:rsidRPr="00F770B1" w:rsidRDefault="00F770B1" w:rsidP="00F770B1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2024/1788.)</w:t>
      </w:r>
      <w:bookmarkStart w:id="7" w:name="_GoBack"/>
      <w:bookmarkEnd w:id="7"/>
    </w:p>
    <w:sectPr w:rsidR="00F770B1" w:rsidRPr="00F770B1" w:rsidSect="00F770B1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4CF74" w14:textId="77777777" w:rsidR="00063561" w:rsidRPr="003D2225" w:rsidRDefault="00063561">
      <w:r w:rsidRPr="003D2225">
        <w:separator/>
      </w:r>
    </w:p>
  </w:endnote>
  <w:endnote w:type="continuationSeparator" w:id="0">
    <w:p w14:paraId="3EC30E07" w14:textId="77777777" w:rsidR="00063561" w:rsidRPr="003D2225" w:rsidRDefault="00063561">
      <w:r w:rsidRPr="003D22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FDE00" w14:textId="77777777" w:rsidR="00063561" w:rsidRPr="003D2225" w:rsidRDefault="00063561">
      <w:r w:rsidRPr="003D2225">
        <w:separator/>
      </w:r>
    </w:p>
  </w:footnote>
  <w:footnote w:type="continuationSeparator" w:id="0">
    <w:p w14:paraId="04069360" w14:textId="77777777" w:rsidR="00063561" w:rsidRPr="003D2225" w:rsidRDefault="00063561">
      <w:r w:rsidRPr="003D2225">
        <w:continuationSeparator/>
      </w:r>
    </w:p>
  </w:footnote>
  <w:footnote w:id="1">
    <w:p w14:paraId="18645600" w14:textId="77777777" w:rsidR="00063561" w:rsidRPr="007C0C58" w:rsidRDefault="00063561" w:rsidP="007C0C58">
      <w:pPr>
        <w:pStyle w:val="FootnoteText"/>
        <w:ind w:left="851" w:hanging="851"/>
        <w:rPr>
          <w:sz w:val="24"/>
          <w:szCs w:val="24"/>
          <w:lang w:val="da-DK"/>
        </w:rPr>
      </w:pPr>
      <w:r w:rsidRPr="007C0C58">
        <w:rPr>
          <w:rStyle w:val="FootnoteReference"/>
          <w:sz w:val="24"/>
          <w:szCs w:val="24"/>
          <w:lang w:val="da-DK"/>
        </w:rPr>
        <w:footnoteRef/>
      </w:r>
      <w:r w:rsidRPr="007C0C58">
        <w:rPr>
          <w:sz w:val="24"/>
          <w:szCs w:val="24"/>
          <w:lang w:val="da-DK"/>
        </w:rPr>
        <w:t xml:space="preserve"> </w:t>
      </w:r>
      <w:r w:rsidRPr="007C0C58">
        <w:rPr>
          <w:sz w:val="24"/>
          <w:szCs w:val="24"/>
          <w:lang w:val="da-DK"/>
        </w:rPr>
        <w:tab/>
        <w:t>EUT C 323 af 26.8.2022, s. 101.</w:t>
      </w:r>
    </w:p>
  </w:footnote>
  <w:footnote w:id="2">
    <w:p w14:paraId="5C43FBE4" w14:textId="77777777" w:rsidR="00063561" w:rsidRPr="007C0C58" w:rsidRDefault="00063561" w:rsidP="007C0C58">
      <w:pPr>
        <w:pStyle w:val="FootnoteText"/>
        <w:ind w:left="851" w:hanging="851"/>
        <w:rPr>
          <w:sz w:val="24"/>
          <w:szCs w:val="24"/>
          <w:lang w:val="da-DK"/>
        </w:rPr>
      </w:pPr>
      <w:r w:rsidRPr="007C0C58">
        <w:rPr>
          <w:rStyle w:val="FootnoteReference"/>
          <w:sz w:val="24"/>
          <w:szCs w:val="24"/>
          <w:lang w:val="da-DK"/>
        </w:rPr>
        <w:footnoteRef/>
      </w:r>
      <w:r w:rsidRPr="007C0C58">
        <w:rPr>
          <w:sz w:val="24"/>
          <w:szCs w:val="24"/>
          <w:lang w:val="da-DK"/>
        </w:rPr>
        <w:t xml:space="preserve"> </w:t>
      </w:r>
      <w:r w:rsidRPr="007C0C58">
        <w:rPr>
          <w:sz w:val="24"/>
          <w:szCs w:val="24"/>
          <w:lang w:val="da-DK"/>
        </w:rPr>
        <w:tab/>
        <w:t>EUT C 498 af 30.12.2022, s. 83.</w:t>
      </w:r>
    </w:p>
  </w:footnote>
  <w:footnote w:id="3">
    <w:p w14:paraId="37233504" w14:textId="2DDFE201" w:rsidR="00063561" w:rsidRPr="007C0C58" w:rsidRDefault="00063561" w:rsidP="007C0C58">
      <w:pPr>
        <w:pStyle w:val="FootnoteText"/>
        <w:ind w:left="851" w:hanging="851"/>
        <w:rPr>
          <w:sz w:val="24"/>
          <w:szCs w:val="24"/>
          <w:lang w:val="da-DK"/>
        </w:rPr>
      </w:pPr>
      <w:r w:rsidRPr="007C0C58">
        <w:rPr>
          <w:rStyle w:val="FootnoteReference"/>
          <w:sz w:val="24"/>
          <w:szCs w:val="24"/>
          <w:lang w:val="da-DK"/>
        </w:rPr>
        <w:footnoteRef/>
      </w:r>
      <w:r w:rsidRPr="007C0C58">
        <w:rPr>
          <w:sz w:val="24"/>
          <w:szCs w:val="24"/>
          <w:lang w:val="da-DK"/>
        </w:rPr>
        <w:t xml:space="preserve"> </w:t>
      </w:r>
      <w:r w:rsidRPr="007C0C58"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 xml:space="preserve">EFT </w:t>
      </w:r>
      <w:r w:rsidRPr="007C0C58">
        <w:rPr>
          <w:sz w:val="24"/>
          <w:szCs w:val="24"/>
          <w:lang w:val="da-DK"/>
        </w:rPr>
        <w:t>C 77 af 28.3.2002, s.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7B722C1"/>
    <w:multiLevelType w:val="multilevel"/>
    <w:tmpl w:val="78107FCA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3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rFonts w:hint="default"/>
        <w:strike w:val="0"/>
      </w:rPr>
    </w:lvl>
    <w:lvl w:ilvl="4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9"/>
  </w:num>
  <w:num w:numId="3">
    <w:abstractNumId w:val="26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29"/>
  </w:num>
  <w:num w:numId="8">
    <w:abstractNumId w:val="27"/>
  </w:num>
  <w:num w:numId="9">
    <w:abstractNumId w:val="6"/>
  </w:num>
  <w:num w:numId="10">
    <w:abstractNumId w:val="18"/>
  </w:num>
  <w:num w:numId="11">
    <w:abstractNumId w:val="7"/>
  </w:num>
  <w:num w:numId="12">
    <w:abstractNumId w:val="39"/>
    <w:lvlOverride w:ilvl="0">
      <w:startOverride w:val="1"/>
    </w:lvlOverride>
  </w:num>
  <w:num w:numId="13">
    <w:abstractNumId w:val="36"/>
  </w:num>
  <w:num w:numId="14">
    <w:abstractNumId w:val="16"/>
  </w:num>
  <w:num w:numId="15">
    <w:abstractNumId w:val="23"/>
  </w:num>
  <w:num w:numId="16">
    <w:abstractNumId w:val="24"/>
  </w:num>
  <w:num w:numId="17">
    <w:abstractNumId w:val="12"/>
  </w:num>
  <w:num w:numId="18">
    <w:abstractNumId w:val="10"/>
  </w:num>
  <w:num w:numId="19">
    <w:abstractNumId w:val="34"/>
  </w:num>
  <w:num w:numId="20">
    <w:abstractNumId w:val="35"/>
  </w:num>
  <w:num w:numId="21">
    <w:abstractNumId w:val="15"/>
  </w:num>
  <w:num w:numId="22">
    <w:abstractNumId w:val="30"/>
  </w:num>
  <w:num w:numId="23">
    <w:abstractNumId w:val="50"/>
  </w:num>
  <w:num w:numId="24">
    <w:abstractNumId w:val="41"/>
  </w:num>
  <w:num w:numId="25">
    <w:abstractNumId w:val="1"/>
  </w:num>
  <w:num w:numId="26">
    <w:abstractNumId w:val="42"/>
  </w:num>
  <w:num w:numId="27">
    <w:abstractNumId w:val="37"/>
  </w:num>
  <w:num w:numId="28">
    <w:abstractNumId w:val="4"/>
  </w:num>
  <w:num w:numId="29">
    <w:abstractNumId w:val="44"/>
  </w:num>
  <w:num w:numId="30">
    <w:abstractNumId w:val="49"/>
  </w:num>
  <w:num w:numId="31">
    <w:abstractNumId w:val="31"/>
  </w:num>
  <w:num w:numId="32">
    <w:abstractNumId w:val="43"/>
  </w:num>
  <w:num w:numId="33">
    <w:abstractNumId w:val="38"/>
  </w:num>
  <w:num w:numId="34">
    <w:abstractNumId w:val="25"/>
  </w:num>
  <w:num w:numId="35">
    <w:abstractNumId w:val="13"/>
  </w:num>
  <w:num w:numId="36">
    <w:abstractNumId w:val="8"/>
  </w:num>
  <w:num w:numId="37">
    <w:abstractNumId w:val="14"/>
  </w:num>
  <w:num w:numId="38">
    <w:abstractNumId w:val="32"/>
  </w:num>
  <w:num w:numId="39">
    <w:abstractNumId w:val="5"/>
    <w:lvlOverride w:ilvl="0">
      <w:startOverride w:val="1"/>
    </w:lvlOverride>
  </w:num>
  <w:num w:numId="40">
    <w:abstractNumId w:val="2"/>
  </w:num>
  <w:num w:numId="41">
    <w:abstractNumId w:val="20"/>
  </w:num>
  <w:num w:numId="42">
    <w:abstractNumId w:val="21"/>
  </w:num>
  <w:num w:numId="43">
    <w:abstractNumId w:val="28"/>
  </w:num>
  <w:num w:numId="44">
    <w:abstractNumId w:val="33"/>
  </w:num>
  <w:num w:numId="45">
    <w:abstractNumId w:val="47"/>
  </w:num>
  <w:num w:numId="46">
    <w:abstractNumId w:val="46"/>
  </w:num>
  <w:num w:numId="47">
    <w:abstractNumId w:val="4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DA"/>
    <w:docVar w:name="dvnumam" w:val="84"/>
    <w:docVar w:name="dvpe" w:val="732.908"/>
    <w:docVar w:name="dvrapporteur" w:val="Ordfører: "/>
    <w:docVar w:name="dvstar" w:val="***I"/>
    <w:docVar w:name="dvtitre" w:val="Europa-Parlamentets lovgivningsmæssige beslutning af xx.xx 2024 om forslag til Europa-Parlamentets og Rådets direktiv om fælles regler for de indre markeder for vedvarende gas, naturgas og brint (omarbejdning)(COM(2021)0803 – C9-0468/2021 – 2021/0425(COD))"/>
  </w:docVars>
  <w:rsids>
    <w:rsidRoot w:val="00CF4DC5"/>
    <w:rsid w:val="00002272"/>
    <w:rsid w:val="00063561"/>
    <w:rsid w:val="00064002"/>
    <w:rsid w:val="000677B9"/>
    <w:rsid w:val="000831BA"/>
    <w:rsid w:val="000A42CC"/>
    <w:rsid w:val="000C55BD"/>
    <w:rsid w:val="000E7DD9"/>
    <w:rsid w:val="0010095E"/>
    <w:rsid w:val="00125B37"/>
    <w:rsid w:val="00187494"/>
    <w:rsid w:val="001F32AE"/>
    <w:rsid w:val="002767FF"/>
    <w:rsid w:val="00285447"/>
    <w:rsid w:val="002A2576"/>
    <w:rsid w:val="002B18FE"/>
    <w:rsid w:val="002B5493"/>
    <w:rsid w:val="00305D2C"/>
    <w:rsid w:val="00310B89"/>
    <w:rsid w:val="00324C93"/>
    <w:rsid w:val="00343214"/>
    <w:rsid w:val="00361C00"/>
    <w:rsid w:val="00395FA1"/>
    <w:rsid w:val="003D2225"/>
    <w:rsid w:val="003E15D4"/>
    <w:rsid w:val="00411CCE"/>
    <w:rsid w:val="0041666E"/>
    <w:rsid w:val="00421060"/>
    <w:rsid w:val="004560F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F61"/>
    <w:rsid w:val="005C2568"/>
    <w:rsid w:val="006037C0"/>
    <w:rsid w:val="0062121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C58"/>
    <w:rsid w:val="007D1690"/>
    <w:rsid w:val="007E22AD"/>
    <w:rsid w:val="00817416"/>
    <w:rsid w:val="00842779"/>
    <w:rsid w:val="00865F67"/>
    <w:rsid w:val="0087283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E1A"/>
    <w:rsid w:val="00A1687D"/>
    <w:rsid w:val="00A43E52"/>
    <w:rsid w:val="00A4678D"/>
    <w:rsid w:val="00A651B6"/>
    <w:rsid w:val="00A778C7"/>
    <w:rsid w:val="00A925F5"/>
    <w:rsid w:val="00AB441E"/>
    <w:rsid w:val="00AB6293"/>
    <w:rsid w:val="00AE0928"/>
    <w:rsid w:val="00AE467D"/>
    <w:rsid w:val="00AF3B82"/>
    <w:rsid w:val="00B12E95"/>
    <w:rsid w:val="00B22876"/>
    <w:rsid w:val="00B558F0"/>
    <w:rsid w:val="00BD48FE"/>
    <w:rsid w:val="00BD7BD8"/>
    <w:rsid w:val="00BE6ADC"/>
    <w:rsid w:val="00C0481E"/>
    <w:rsid w:val="00C05BFE"/>
    <w:rsid w:val="00C23CD4"/>
    <w:rsid w:val="00C258E7"/>
    <w:rsid w:val="00C304D2"/>
    <w:rsid w:val="00C61C0C"/>
    <w:rsid w:val="00C941CB"/>
    <w:rsid w:val="00CC2357"/>
    <w:rsid w:val="00CF071A"/>
    <w:rsid w:val="00CF4DC5"/>
    <w:rsid w:val="00D058B8"/>
    <w:rsid w:val="00D56C11"/>
    <w:rsid w:val="00D834A0"/>
    <w:rsid w:val="00D872DF"/>
    <w:rsid w:val="00D91E21"/>
    <w:rsid w:val="00DA7FCD"/>
    <w:rsid w:val="00DC226E"/>
    <w:rsid w:val="00E365E1"/>
    <w:rsid w:val="00E820A4"/>
    <w:rsid w:val="00EB006A"/>
    <w:rsid w:val="00EB035E"/>
    <w:rsid w:val="00EB4772"/>
    <w:rsid w:val="00ED169E"/>
    <w:rsid w:val="00ED4235"/>
    <w:rsid w:val="00F04346"/>
    <w:rsid w:val="00F075DC"/>
    <w:rsid w:val="00F149E9"/>
    <w:rsid w:val="00F16772"/>
    <w:rsid w:val="00F5134D"/>
    <w:rsid w:val="00F74202"/>
    <w:rsid w:val="00F770B1"/>
    <w:rsid w:val="00F85892"/>
    <w:rsid w:val="00F87713"/>
    <w:rsid w:val="00FB152F"/>
    <w:rsid w:val="00FB4360"/>
    <w:rsid w:val="00FC6BC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7AAC5"/>
  <w15:chartTrackingRefBased/>
  <w15:docId w15:val="{83C9246E-9338-48BD-9FA3-B96D88EB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4560FA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4560FA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4560F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4560F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0F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0FA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0FA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4560FA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4560FA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4560F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560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4560F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4560FA"/>
    <w:pPr>
      <w:spacing w:after="120"/>
    </w:pPr>
  </w:style>
  <w:style w:type="paragraph" w:customStyle="1" w:styleId="PageHeading">
    <w:name w:val="PageHeading"/>
    <w:basedOn w:val="Normal"/>
    <w:link w:val="PageHeadingChar"/>
    <w:rsid w:val="004560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560F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560FA"/>
    <w:rPr>
      <w:b/>
      <w:sz w:val="24"/>
      <w:lang w:val="da-DK"/>
    </w:rPr>
  </w:style>
  <w:style w:type="paragraph" w:customStyle="1" w:styleId="NormalBold12a">
    <w:name w:val="NormalBold12a"/>
    <w:basedOn w:val="Normal"/>
    <w:uiPriority w:val="99"/>
    <w:rsid w:val="004560FA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4560FA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4560FA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4560FA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4560FA"/>
    <w:pPr>
      <w:ind w:left="1418"/>
    </w:pPr>
  </w:style>
  <w:style w:type="paragraph" w:customStyle="1" w:styleId="AmCrossRef">
    <w:name w:val="AmCrossRef"/>
    <w:basedOn w:val="Normal"/>
    <w:uiPriority w:val="99"/>
    <w:rsid w:val="004560F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4560F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4560F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4560F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4560F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4560F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560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0FA"/>
    <w:rPr>
      <w:sz w:val="24"/>
      <w:lang w:val="da-DK"/>
    </w:rPr>
  </w:style>
  <w:style w:type="paragraph" w:customStyle="1" w:styleId="AmOrLang">
    <w:name w:val="AmOrLang"/>
    <w:basedOn w:val="Normal"/>
    <w:rsid w:val="004560FA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4560F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560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4560FA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4560F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560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4560FA"/>
    <w:pPr>
      <w:spacing w:before="480" w:after="240"/>
    </w:pPr>
  </w:style>
  <w:style w:type="paragraph" w:customStyle="1" w:styleId="Lgendesigne">
    <w:name w:val="Légende signe"/>
    <w:basedOn w:val="Normal"/>
    <w:uiPriority w:val="99"/>
    <w:rsid w:val="004560F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4560F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uiPriority w:val="99"/>
    <w:rsid w:val="004560FA"/>
    <w:rPr>
      <w:sz w:val="18"/>
    </w:rPr>
  </w:style>
  <w:style w:type="paragraph" w:customStyle="1" w:styleId="Normal24a">
    <w:name w:val="Normal24a"/>
    <w:basedOn w:val="Normal"/>
    <w:rsid w:val="004560FA"/>
    <w:pPr>
      <w:spacing w:after="480"/>
    </w:pPr>
  </w:style>
  <w:style w:type="paragraph" w:customStyle="1" w:styleId="NormalBoldCenter">
    <w:name w:val="NormalBoldCenter"/>
    <w:basedOn w:val="Normal"/>
    <w:uiPriority w:val="99"/>
    <w:rsid w:val="004560FA"/>
    <w:pPr>
      <w:jc w:val="center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4560FA"/>
    <w:rPr>
      <w:sz w:val="22"/>
    </w:rPr>
  </w:style>
  <w:style w:type="paragraph" w:styleId="Footer">
    <w:name w:val="footer"/>
    <w:link w:val="FooterChar"/>
    <w:uiPriority w:val="99"/>
    <w:unhideWhenUsed/>
    <w:rsid w:val="004560FA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4560FA"/>
    <w:rPr>
      <w:sz w:val="24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4560FA"/>
    <w:rPr>
      <w:noProof/>
      <w:sz w:val="24"/>
    </w:rPr>
  </w:style>
  <w:style w:type="paragraph" w:customStyle="1" w:styleId="Normal12">
    <w:name w:val="Normal12"/>
    <w:basedOn w:val="Normal"/>
    <w:link w:val="Normal12Char"/>
    <w:rsid w:val="004560F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560FA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4560FA"/>
    <w:pPr>
      <w:spacing w:after="120"/>
    </w:pPr>
  </w:style>
  <w:style w:type="paragraph" w:customStyle="1" w:styleId="Normal12Italic">
    <w:name w:val="Normal12Italic"/>
    <w:basedOn w:val="Normal12"/>
    <w:uiPriority w:val="99"/>
    <w:rsid w:val="004560FA"/>
    <w:rPr>
      <w:i/>
    </w:rPr>
  </w:style>
  <w:style w:type="paragraph" w:customStyle="1" w:styleId="Footer2">
    <w:name w:val="Footer2"/>
    <w:basedOn w:val="Normal12"/>
    <w:rsid w:val="004560F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uiPriority w:val="99"/>
    <w:rsid w:val="004560FA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456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4560F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0F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560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560FA"/>
    <w:rPr>
      <w:b/>
      <w:bCs/>
      <w:lang w:val="da-DK"/>
    </w:rPr>
  </w:style>
  <w:style w:type="paragraph" w:customStyle="1" w:styleId="AMNumberTabs0">
    <w:name w:val="AMNumberTabs"/>
    <w:basedOn w:val="Normal"/>
    <w:uiPriority w:val="99"/>
    <w:rsid w:val="004560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4560FA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4560F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uiPriority w:val="99"/>
    <w:rsid w:val="004560FA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4560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560FA"/>
    <w:rPr>
      <w:rFonts w:ascii="Segoe UI" w:hAnsi="Segoe UI" w:cs="Segoe UI"/>
      <w:sz w:val="18"/>
      <w:szCs w:val="18"/>
      <w:lang w:val="da-DK"/>
    </w:rPr>
  </w:style>
  <w:style w:type="paragraph" w:styleId="Revision">
    <w:name w:val="Revision"/>
    <w:hidden/>
    <w:uiPriority w:val="99"/>
    <w:semiHidden/>
    <w:rsid w:val="004560FA"/>
    <w:rPr>
      <w:sz w:val="24"/>
      <w:lang w:val="da-DK"/>
    </w:rPr>
  </w:style>
  <w:style w:type="character" w:customStyle="1" w:styleId="PageHeadingChar">
    <w:name w:val="PageHeading Char"/>
    <w:basedOn w:val="DefaultParagraphFont"/>
    <w:link w:val="PageHeading"/>
    <w:rsid w:val="004560FA"/>
    <w:rPr>
      <w:rFonts w:ascii="Arial" w:hAnsi="Arial" w:cs="Arial"/>
      <w:b/>
      <w:sz w:val="24"/>
      <w:lang w:val="da-DK"/>
    </w:rPr>
  </w:style>
  <w:style w:type="paragraph" w:customStyle="1" w:styleId="Normal12a">
    <w:name w:val="Normal12a"/>
    <w:basedOn w:val="Normal"/>
    <w:rsid w:val="004560FA"/>
    <w:pPr>
      <w:spacing w:after="240"/>
    </w:pPr>
  </w:style>
  <w:style w:type="paragraph" w:customStyle="1" w:styleId="NormalCenter12a">
    <w:name w:val="NormalCenter12a"/>
    <w:basedOn w:val="Normal"/>
    <w:rsid w:val="004560F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560FA"/>
    <w:pPr>
      <w:spacing w:before="720" w:after="240"/>
      <w:jc w:val="center"/>
    </w:pPr>
  </w:style>
  <w:style w:type="paragraph" w:customStyle="1" w:styleId="AnnexWPTabs">
    <w:name w:val="AnnexWPTabs"/>
    <w:basedOn w:val="Normal"/>
    <w:uiPriority w:val="99"/>
    <w:rsid w:val="004560F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uiPriority w:val="99"/>
    <w:rsid w:val="004560FA"/>
    <w:pPr>
      <w:spacing w:before="240" w:after="480"/>
      <w:jc w:val="right"/>
    </w:pPr>
  </w:style>
  <w:style w:type="paragraph" w:customStyle="1" w:styleId="AnnexWPSmall">
    <w:name w:val="AnnexWPSmall"/>
    <w:basedOn w:val="Normal"/>
    <w:uiPriority w:val="99"/>
    <w:rsid w:val="004560FA"/>
    <w:rPr>
      <w:smallCaps/>
      <w:sz w:val="20"/>
    </w:rPr>
  </w:style>
  <w:style w:type="paragraph" w:customStyle="1" w:styleId="AnnexWPDocType">
    <w:name w:val="AnnexWPDocType"/>
    <w:basedOn w:val="Normal"/>
    <w:uiPriority w:val="99"/>
    <w:rsid w:val="004560FA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uiPriority w:val="99"/>
    <w:rsid w:val="004560FA"/>
    <w:pPr>
      <w:spacing w:before="480"/>
    </w:pPr>
    <w:rPr>
      <w:b/>
    </w:rPr>
  </w:style>
  <w:style w:type="paragraph" w:customStyle="1" w:styleId="AnnexWPLogo">
    <w:name w:val="AnnexWPLogo"/>
    <w:basedOn w:val="Normal"/>
    <w:uiPriority w:val="99"/>
    <w:rsid w:val="004560FA"/>
    <w:pPr>
      <w:spacing w:before="120" w:after="120"/>
    </w:pPr>
  </w:style>
  <w:style w:type="paragraph" w:customStyle="1" w:styleId="Text1">
    <w:name w:val="Text 1"/>
    <w:basedOn w:val="Normal"/>
    <w:rsid w:val="004560F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560F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4560F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4560FA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4560FA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4560FA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4560F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560FA"/>
    <w:pPr>
      <w:spacing w:after="240"/>
    </w:pPr>
  </w:style>
  <w:style w:type="paragraph" w:customStyle="1" w:styleId="Languesfaisantfoi">
    <w:name w:val="Langues faisant foi"/>
    <w:basedOn w:val="Normal"/>
    <w:next w:val="Normal"/>
    <w:rsid w:val="004560F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560F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">
    <w:name w:val="List Bullet"/>
    <w:basedOn w:val="Normal"/>
    <w:uiPriority w:val="99"/>
    <w:unhideWhenUsed/>
    <w:rsid w:val="004560F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560F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560F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560F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uiPriority w:val="99"/>
    <w:rsid w:val="004560FA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4560FA"/>
  </w:style>
  <w:style w:type="paragraph" w:customStyle="1" w:styleId="Normal2">
    <w:name w:val="Normal2"/>
    <w:basedOn w:val="Normal"/>
    <w:uiPriority w:val="99"/>
    <w:rsid w:val="004560F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4560FA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4560FA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uiPriority w:val="99"/>
    <w:rsid w:val="004560FA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4560FA"/>
    <w:rPr>
      <w:i/>
      <w:iCs/>
    </w:rPr>
  </w:style>
  <w:style w:type="paragraph" w:customStyle="1" w:styleId="normals">
    <w:name w:val="normals"/>
    <w:basedOn w:val="NumPar1"/>
    <w:uiPriority w:val="99"/>
    <w:rsid w:val="004560FA"/>
  </w:style>
  <w:style w:type="paragraph" w:customStyle="1" w:styleId="NumPar1">
    <w:name w:val="NumPar 1"/>
    <w:basedOn w:val="Normal"/>
    <w:next w:val="Text1"/>
    <w:qFormat/>
    <w:rsid w:val="004560F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uiPriority w:val="99"/>
    <w:rsid w:val="004560FA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4560FA"/>
  </w:style>
  <w:style w:type="paragraph" w:styleId="Caption">
    <w:name w:val="caption"/>
    <w:basedOn w:val="Normal"/>
    <w:next w:val="Normal"/>
    <w:uiPriority w:val="99"/>
    <w:unhideWhenUsed/>
    <w:qFormat/>
    <w:rsid w:val="004560F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560F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560F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560F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uiPriority w:val="99"/>
    <w:rsid w:val="004560FA"/>
    <w:pPr>
      <w:keepLines w:val="0"/>
      <w:spacing w:line="240" w:lineRule="auto"/>
      <w:ind w:left="720" w:hanging="720"/>
      <w:jc w:val="both"/>
    </w:pPr>
    <w:rPr>
      <w:rFonts w:eastAsia="Calibri"/>
      <w:sz w:val="20"/>
      <w:lang w:val="da-DK" w:eastAsia="en-US"/>
    </w:rPr>
  </w:style>
  <w:style w:type="paragraph" w:customStyle="1" w:styleId="ListBullet1">
    <w:name w:val="List Bullet 1"/>
    <w:basedOn w:val="Normal"/>
    <w:uiPriority w:val="99"/>
    <w:rsid w:val="004560F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rsid w:val="004560F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rsid w:val="004560FA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rsid w:val="004560FA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4560F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rsid w:val="004560F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rsid w:val="004560F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rsid w:val="004560FA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rsid w:val="004560FA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rsid w:val="004560FA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rsid w:val="004560F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rsid w:val="004560F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rsid w:val="004560F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4560F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uiPriority w:val="99"/>
    <w:rsid w:val="004560F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4560F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rsid w:val="004560FA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rsid w:val="004560F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rsid w:val="004560F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rsid w:val="004560F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rsid w:val="004560FA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rsid w:val="004560F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rsid w:val="004560F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rsid w:val="004560F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rsid w:val="004560FA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rsid w:val="004560FA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rsid w:val="004560FA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rsid w:val="004560FA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uiPriority w:val="99"/>
    <w:rsid w:val="004560FA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4560F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560F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560FA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rsid w:val="004560FA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rsid w:val="004560FA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rsid w:val="004560FA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rsid w:val="004560FA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rsid w:val="004560FA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rsid w:val="004560FA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4560FA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4560FA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uiPriority w:val="99"/>
    <w:rsid w:val="004560FA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4560F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4560FA"/>
    <w:rPr>
      <w:rFonts w:eastAsia="Calibri"/>
      <w:sz w:val="24"/>
      <w:szCs w:val="22"/>
      <w:lang w:val="da-DK"/>
    </w:rPr>
  </w:style>
  <w:style w:type="paragraph" w:customStyle="1" w:styleId="HeaderCoverPage">
    <w:name w:val="Header Cover Page"/>
    <w:basedOn w:val="Normal"/>
    <w:link w:val="HeaderCoverPageChar"/>
    <w:rsid w:val="004560F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560FA"/>
    <w:rPr>
      <w:rFonts w:eastAsia="Calibri"/>
      <w:sz w:val="24"/>
      <w:szCs w:val="22"/>
      <w:lang w:val="da-DK"/>
    </w:rPr>
  </w:style>
  <w:style w:type="paragraph" w:customStyle="1" w:styleId="Soustitr">
    <w:name w:val="Sous titr"/>
    <w:basedOn w:val="Titreobjet"/>
    <w:uiPriority w:val="99"/>
    <w:rsid w:val="004560FA"/>
  </w:style>
  <w:style w:type="paragraph" w:customStyle="1" w:styleId="Sous-titre">
    <w:name w:val="Sous-titre"/>
    <w:basedOn w:val="Soustitr"/>
    <w:rsid w:val="004560FA"/>
  </w:style>
  <w:style w:type="paragraph" w:customStyle="1" w:styleId="paragraph">
    <w:name w:val="paragraph"/>
    <w:basedOn w:val="Normal"/>
    <w:uiPriority w:val="99"/>
    <w:rsid w:val="004560FA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4560FA"/>
  </w:style>
  <w:style w:type="character" w:customStyle="1" w:styleId="tw4winError">
    <w:name w:val="tw4winError"/>
    <w:rsid w:val="004560FA"/>
    <w:rPr>
      <w:color w:val="00FF00"/>
      <w:sz w:val="40"/>
      <w:lang w:val="da-DK" w:eastAsia="en-GB"/>
    </w:rPr>
  </w:style>
  <w:style w:type="character" w:customStyle="1" w:styleId="tw4winTerm">
    <w:name w:val="tw4winTerm"/>
    <w:rsid w:val="004560FA"/>
    <w:rPr>
      <w:color w:val="0000FF"/>
      <w:lang w:val="da-DK" w:eastAsia="en-GB"/>
    </w:rPr>
  </w:style>
  <w:style w:type="character" w:customStyle="1" w:styleId="tw4winPopup">
    <w:name w:val="tw4winPopup"/>
    <w:rsid w:val="004560FA"/>
    <w:rPr>
      <w:noProof/>
      <w:color w:val="008000"/>
      <w:lang w:val="da-DK" w:eastAsia="en-GB"/>
    </w:rPr>
  </w:style>
  <w:style w:type="character" w:customStyle="1" w:styleId="tw4winJump">
    <w:name w:val="tw4winJump"/>
    <w:rsid w:val="004560FA"/>
    <w:rPr>
      <w:noProof/>
      <w:color w:val="008080"/>
      <w:lang w:val="da-DK" w:eastAsia="en-GB"/>
    </w:rPr>
  </w:style>
  <w:style w:type="character" w:customStyle="1" w:styleId="tw4winExternal">
    <w:name w:val="tw4winExternal"/>
    <w:rsid w:val="004560FA"/>
    <w:rPr>
      <w:noProof/>
      <w:color w:val="808080"/>
      <w:lang w:val="da-DK" w:eastAsia="en-GB"/>
    </w:rPr>
  </w:style>
  <w:style w:type="character" w:customStyle="1" w:styleId="tw4winInternal">
    <w:name w:val="tw4winInternal"/>
    <w:rsid w:val="004560FA"/>
    <w:rPr>
      <w:noProof/>
      <w:color w:val="FF0000"/>
      <w:lang w:val="da-DK" w:eastAsia="en-GB"/>
    </w:rPr>
  </w:style>
  <w:style w:type="character" w:customStyle="1" w:styleId="DONOTTRANSLATE">
    <w:name w:val="DO_NOT_TRANSLATE"/>
    <w:rsid w:val="004560FA"/>
    <w:rPr>
      <w:noProof/>
      <w:color w:val="800000"/>
      <w:lang w:val="da-DK" w:eastAsia="en-GB"/>
    </w:rPr>
  </w:style>
  <w:style w:type="paragraph" w:styleId="TOC4">
    <w:name w:val="toc 4"/>
    <w:basedOn w:val="Normal"/>
    <w:next w:val="Normal"/>
    <w:uiPriority w:val="39"/>
    <w:unhideWhenUsed/>
    <w:rsid w:val="004560F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560F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560F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560F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560F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560F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560F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560F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4560F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rsid w:val="004560F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4560F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4560F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4560F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560F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560F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560F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560F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560F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560F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560F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560F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560F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4560F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560FA"/>
    <w:pPr>
      <w:numPr>
        <w:numId w:val="13"/>
      </w:numPr>
    </w:pPr>
  </w:style>
  <w:style w:type="paragraph" w:customStyle="1" w:styleId="Tiret1">
    <w:name w:val="Tiret 1"/>
    <w:basedOn w:val="Point1"/>
    <w:rsid w:val="004560FA"/>
    <w:pPr>
      <w:numPr>
        <w:numId w:val="4"/>
      </w:numPr>
    </w:pPr>
  </w:style>
  <w:style w:type="paragraph" w:customStyle="1" w:styleId="Tiret2">
    <w:name w:val="Tiret 2"/>
    <w:basedOn w:val="Point2"/>
    <w:rsid w:val="004560FA"/>
    <w:pPr>
      <w:numPr>
        <w:numId w:val="12"/>
      </w:numPr>
    </w:pPr>
  </w:style>
  <w:style w:type="paragraph" w:customStyle="1" w:styleId="Tiret3">
    <w:name w:val="Tiret 3"/>
    <w:basedOn w:val="Point3"/>
    <w:rsid w:val="004560FA"/>
    <w:pPr>
      <w:numPr>
        <w:numId w:val="14"/>
      </w:numPr>
    </w:pPr>
  </w:style>
  <w:style w:type="paragraph" w:customStyle="1" w:styleId="Tiret4">
    <w:name w:val="Tiret 4"/>
    <w:basedOn w:val="Point4"/>
    <w:rsid w:val="004560FA"/>
    <w:pPr>
      <w:numPr>
        <w:numId w:val="15"/>
      </w:numPr>
    </w:pPr>
  </w:style>
  <w:style w:type="paragraph" w:customStyle="1" w:styleId="Tiret5">
    <w:name w:val="Tiret 5"/>
    <w:basedOn w:val="Point5"/>
    <w:rsid w:val="004560FA"/>
    <w:pPr>
      <w:numPr>
        <w:numId w:val="16"/>
      </w:numPr>
    </w:pPr>
  </w:style>
  <w:style w:type="paragraph" w:customStyle="1" w:styleId="PointDouble0">
    <w:name w:val="PointDouble 0"/>
    <w:basedOn w:val="Normal"/>
    <w:rsid w:val="004560F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560F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560F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560F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560F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560F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560F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560F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560F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560F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560F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560F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560F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560F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560F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560FA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560F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560F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560F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560F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560F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560F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560F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560F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560F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560F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560F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560F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560F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560F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560F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560F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560F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560F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560F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4560FA"/>
    <w:rPr>
      <w:color w:val="0000FF"/>
      <w:shd w:val="clear" w:color="auto" w:fill="auto"/>
    </w:rPr>
  </w:style>
  <w:style w:type="character" w:customStyle="1" w:styleId="Marker1">
    <w:name w:val="Marker1"/>
    <w:rsid w:val="004560FA"/>
    <w:rPr>
      <w:color w:val="008000"/>
      <w:shd w:val="clear" w:color="auto" w:fill="auto"/>
    </w:rPr>
  </w:style>
  <w:style w:type="character" w:customStyle="1" w:styleId="Marker2">
    <w:name w:val="Marker2"/>
    <w:rsid w:val="004560F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4560F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560F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4560F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560F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560F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560F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560F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560F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560FA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560FA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560FA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560FA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560FA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560FA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4560F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4560F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4560F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4560F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4560F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4560F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4560F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4560FA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4560FA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4560FA"/>
  </w:style>
  <w:style w:type="paragraph" w:customStyle="1" w:styleId="Rfrencecroise">
    <w:name w:val="Référence croisée"/>
    <w:basedOn w:val="Normal"/>
    <w:uiPriority w:val="99"/>
    <w:rsid w:val="004560F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4560F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4560F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4560F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rsid w:val="004560F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rsid w:val="004560F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rsid w:val="004560F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4560F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560F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4560F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560F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560F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560F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560F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4560F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4560F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560FA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4560F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560F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4560F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4560F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560F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560F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4560F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4560FA"/>
    <w:rPr>
      <w:b/>
      <w:u w:val="single"/>
      <w:shd w:val="clear" w:color="auto" w:fill="auto"/>
    </w:rPr>
  </w:style>
  <w:style w:type="character" w:customStyle="1" w:styleId="Deleted">
    <w:name w:val="Deleted"/>
    <w:rsid w:val="004560F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4560F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4560F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4560F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4560F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4560F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4560FA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4560FA"/>
  </w:style>
  <w:style w:type="paragraph" w:customStyle="1" w:styleId="Volume">
    <w:name w:val="Volume"/>
    <w:basedOn w:val="Normal"/>
    <w:next w:val="Confidentialit"/>
    <w:uiPriority w:val="99"/>
    <w:rsid w:val="004560F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4560F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4560F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4560F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4560F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4560FA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4560FA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4560F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4560FA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4560F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4560FA"/>
    <w:pPr>
      <w:spacing w:before="120" w:after="120" w:line="360" w:lineRule="auto"/>
      <w:jc w:val="both"/>
    </w:pPr>
    <w:rPr>
      <w:rFonts w:eastAsiaTheme="minorHAnsi"/>
      <w:sz w:val="24"/>
      <w:szCs w:val="22"/>
      <w:lang w:val="da-DK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4560F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4560F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4560FA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4560FA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4560FA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4560FA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4560FA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4560FA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4560FA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4560F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4560FA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4560FA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4560FA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4560FA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4560FA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4560FA"/>
    <w:pPr>
      <w:spacing w:before="120" w:after="360"/>
    </w:pPr>
  </w:style>
  <w:style w:type="paragraph" w:customStyle="1" w:styleId="Point6">
    <w:name w:val="Point 6"/>
    <w:basedOn w:val="Point5"/>
    <w:qFormat/>
    <w:rsid w:val="004560FA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4560FA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4560FA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4560FA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4560FA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4560FA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4560FA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4560FA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4560FA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560FA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4560FA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4560FA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uiPriority w:val="99"/>
    <w:rsid w:val="004560F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uiPriority w:val="99"/>
    <w:qFormat/>
    <w:rsid w:val="004560F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uiPriority w:val="99"/>
    <w:rsid w:val="004560F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uiPriority w:val="99"/>
    <w:rsid w:val="004560FA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4560FA"/>
    <w:pPr>
      <w:spacing w:before="600" w:after="360"/>
    </w:pPr>
  </w:style>
  <w:style w:type="paragraph" w:customStyle="1" w:styleId="LetterSubject">
    <w:name w:val="LetterSubject"/>
    <w:basedOn w:val="Normal"/>
    <w:rsid w:val="004560F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uiPriority w:val="99"/>
    <w:rsid w:val="004560FA"/>
    <w:pPr>
      <w:spacing w:before="1320"/>
    </w:pPr>
  </w:style>
  <w:style w:type="paragraph" w:customStyle="1" w:styleId="AnnexRight">
    <w:name w:val="AnnexRight"/>
    <w:basedOn w:val="Normal"/>
    <w:uiPriority w:val="99"/>
    <w:rsid w:val="004560FA"/>
    <w:pPr>
      <w:spacing w:after="480"/>
      <w:jc w:val="right"/>
    </w:pPr>
  </w:style>
  <w:style w:type="paragraph" w:customStyle="1" w:styleId="PageHeadingNotTOC">
    <w:name w:val="PageHeadingNotTOC"/>
    <w:basedOn w:val="Normal"/>
    <w:uiPriority w:val="99"/>
    <w:rsid w:val="004560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uiPriority w:val="99"/>
    <w:rsid w:val="004560F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BoldItalic">
    <w:name w:val="SupBoldItalic"/>
    <w:uiPriority w:val="1"/>
    <w:qFormat/>
    <w:rsid w:val="004560FA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4560FA"/>
    <w:pPr>
      <w:spacing w:before="1320"/>
    </w:pPr>
  </w:style>
  <w:style w:type="paragraph" w:customStyle="1" w:styleId="CommitteeAM">
    <w:name w:val="CommitteeAM"/>
    <w:basedOn w:val="Normal"/>
    <w:uiPriority w:val="99"/>
    <w:rsid w:val="004560F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uiPriority w:val="99"/>
    <w:rsid w:val="004560F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uiPriority w:val="99"/>
    <w:rsid w:val="004560F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uiPriority w:val="99"/>
    <w:rsid w:val="004560F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uiPriority w:val="99"/>
    <w:rsid w:val="004560FA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uiPriority w:val="99"/>
    <w:rsid w:val="004560FA"/>
    <w:pPr>
      <w:spacing w:before="240"/>
      <w:jc w:val="center"/>
    </w:pPr>
    <w:rPr>
      <w:i/>
    </w:rPr>
  </w:style>
  <w:style w:type="character" w:customStyle="1" w:styleId="Footer2Middle">
    <w:name w:val="Footer2Middle"/>
    <w:rsid w:val="004560F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AmDocTypeTab">
    <w:name w:val="AmDocTypeTab"/>
    <w:basedOn w:val="Normal"/>
    <w:rsid w:val="0062121F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2121F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2121F"/>
  </w:style>
  <w:style w:type="paragraph" w:customStyle="1" w:styleId="NormalJustified">
    <w:name w:val="Normal Justified"/>
    <w:basedOn w:val="Normal"/>
    <w:rsid w:val="0062121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2121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2121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2121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2121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2121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62121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2121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2121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2121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2121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2121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2121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2121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2121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2121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2121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2121F"/>
    <w:pPr>
      <w:widowControl/>
      <w:numPr>
        <w:ilvl w:val="3"/>
        <w:numId w:val="4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2121F"/>
    <w:pPr>
      <w:widowControl/>
      <w:numPr>
        <w:ilvl w:val="5"/>
        <w:numId w:val="40"/>
      </w:numPr>
      <w:tabs>
        <w:tab w:val="clear" w:pos="170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2121F"/>
    <w:pPr>
      <w:widowControl/>
      <w:numPr>
        <w:ilvl w:val="7"/>
        <w:numId w:val="40"/>
      </w:numPr>
      <w:tabs>
        <w:tab w:val="clear" w:pos="226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2121F"/>
    <w:pPr>
      <w:widowControl/>
      <w:numPr>
        <w:ilvl w:val="8"/>
        <w:numId w:val="40"/>
      </w:numPr>
      <w:tabs>
        <w:tab w:val="clear" w:pos="283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2121F"/>
    <w:pPr>
      <w:widowControl/>
      <w:numPr>
        <w:numId w:val="40"/>
      </w:numPr>
      <w:tabs>
        <w:tab w:val="clear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2121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2121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2121F"/>
    <w:pPr>
      <w:widowControl/>
      <w:numPr>
        <w:ilvl w:val="6"/>
        <w:numId w:val="40"/>
      </w:numPr>
      <w:tabs>
        <w:tab w:val="clear" w:pos="226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2121F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2121F"/>
    <w:pPr>
      <w:widowControl/>
      <w:numPr>
        <w:ilvl w:val="1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2121F"/>
    <w:pPr>
      <w:widowControl/>
      <w:numPr>
        <w:ilvl w:val="2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2121F"/>
    <w:pPr>
      <w:widowControl/>
      <w:numPr>
        <w:ilvl w:val="3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2121F"/>
    <w:pPr>
      <w:widowControl/>
      <w:numPr>
        <w:ilvl w:val="4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2121F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2121F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2121F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2121F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2121F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2121F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2121F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2121F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2121F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62121F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62121F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62121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2121F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2121F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ABC">
    <w:name w:val="Heading ABC"/>
    <w:basedOn w:val="HeadingLeft"/>
    <w:next w:val="Normal"/>
    <w:rsid w:val="0062121F"/>
    <w:pPr>
      <w:numPr>
        <w:numId w:val="36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2121F"/>
    <w:pPr>
      <w:jc w:val="center"/>
    </w:pPr>
  </w:style>
  <w:style w:type="paragraph" w:customStyle="1" w:styleId="Jardin">
    <w:name w:val="Jardin"/>
    <w:basedOn w:val="Normal"/>
    <w:rsid w:val="0062121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2121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2121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2121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2121F"/>
    <w:rPr>
      <w:b/>
    </w:rPr>
  </w:style>
  <w:style w:type="paragraph" w:customStyle="1" w:styleId="Annex">
    <w:name w:val="Annex"/>
    <w:basedOn w:val="Normal"/>
    <w:next w:val="Normal"/>
    <w:rsid w:val="0062121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2121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2121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2121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2121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2121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2121F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62121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2121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2121F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2121F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62121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2121F"/>
    <w:rPr>
      <w:color w:val="808080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62121F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val="cs-CZ" w:eastAsia="en-US"/>
    </w:rPr>
  </w:style>
  <w:style w:type="paragraph" w:customStyle="1" w:styleId="Par-dash">
    <w:name w:val="Par-dash"/>
    <w:basedOn w:val="Normal"/>
    <w:next w:val="Normal"/>
    <w:rsid w:val="0062121F"/>
    <w:pPr>
      <w:numPr>
        <w:numId w:val="39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62121F"/>
    <w:rPr>
      <w:rFonts w:ascii="Calibri" w:eastAsia="Calibri" w:hAnsi="Calibri" w:cs="Arial"/>
      <w:color w:val="000000"/>
      <w:sz w:val="22"/>
      <w:szCs w:val="22"/>
      <w:lang w:val="cs-CZ" w:eastAsia="en-US"/>
    </w:rPr>
  </w:style>
  <w:style w:type="paragraph" w:customStyle="1" w:styleId="EntText">
    <w:name w:val="EntText"/>
    <w:basedOn w:val="Normal"/>
    <w:rsid w:val="0062121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62121F"/>
    <w:pPr>
      <w:widowControl/>
    </w:pPr>
    <w:rPr>
      <w:rFonts w:ascii="Calibri" w:hAnsi="Calibri"/>
      <w:sz w:val="20"/>
      <w:szCs w:val="21"/>
      <w:lang w:val="fr-BE"/>
    </w:rPr>
  </w:style>
  <w:style w:type="character" w:customStyle="1" w:styleId="PlainTextChar">
    <w:name w:val="Plain Text Char"/>
    <w:basedOn w:val="DefaultParagraphFont"/>
    <w:link w:val="PlainText1"/>
    <w:uiPriority w:val="99"/>
    <w:rsid w:val="0062121F"/>
    <w:rPr>
      <w:rFonts w:ascii="Calibri" w:hAnsi="Calibri"/>
      <w:szCs w:val="21"/>
      <w:lang w:val="fr-BE"/>
    </w:rPr>
  </w:style>
  <w:style w:type="character" w:customStyle="1" w:styleId="cf01">
    <w:name w:val="cf01"/>
    <w:basedOn w:val="DefaultParagraphFont"/>
    <w:rsid w:val="0062121F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62121F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62121F"/>
    <w:rPr>
      <w14:ligatures w14:val="standardContextual"/>
    </w:rPr>
  </w:style>
  <w:style w:type="paragraph" w:customStyle="1" w:styleId="s14">
    <w:name w:val="s14"/>
    <w:basedOn w:val="Normal"/>
    <w:rsid w:val="0062121F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fr-BE" w:eastAsia="fr-BE"/>
    </w:rPr>
  </w:style>
  <w:style w:type="character" w:customStyle="1" w:styleId="bumpedfont15">
    <w:name w:val="bumpedfont15"/>
    <w:basedOn w:val="DefaultParagraphFont"/>
    <w:rsid w:val="0062121F"/>
  </w:style>
  <w:style w:type="character" w:customStyle="1" w:styleId="cf11">
    <w:name w:val="cf11"/>
    <w:basedOn w:val="DefaultParagraphFont"/>
    <w:rsid w:val="0062121F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62121F"/>
    <w:pPr>
      <w:widowControl/>
      <w:autoSpaceDE w:val="0"/>
      <w:autoSpaceDN w:val="0"/>
    </w:pPr>
    <w:rPr>
      <w:rFonts w:eastAsia="Calibri"/>
      <w:color w:val="000000"/>
      <w:szCs w:val="24"/>
      <w:lang w:val="fr-BE" w:eastAsia="fr-BE"/>
    </w:rPr>
  </w:style>
  <w:style w:type="paragraph" w:customStyle="1" w:styleId="ti-art">
    <w:name w:val="ti-art"/>
    <w:basedOn w:val="Normal"/>
    <w:rsid w:val="0062121F"/>
    <w:pPr>
      <w:widowControl/>
      <w:spacing w:before="100" w:beforeAutospacing="1" w:after="100" w:afterAutospacing="1"/>
    </w:pPr>
    <w:rPr>
      <w:rFonts w:eastAsia="Calibri"/>
      <w:szCs w:val="24"/>
      <w:lang w:val="fr-BE" w:eastAsia="fr-BE"/>
    </w:rPr>
  </w:style>
  <w:style w:type="paragraph" w:customStyle="1" w:styleId="sti-art">
    <w:name w:val="sti-art"/>
    <w:basedOn w:val="Normal"/>
    <w:rsid w:val="0062121F"/>
    <w:pPr>
      <w:widowControl/>
      <w:spacing w:before="100" w:beforeAutospacing="1" w:after="100" w:afterAutospacing="1"/>
    </w:pPr>
    <w:rPr>
      <w:rFonts w:eastAsia="Calibri"/>
      <w:szCs w:val="24"/>
      <w:lang w:val="fr-BE" w:eastAsia="fr-BE"/>
    </w:rPr>
  </w:style>
  <w:style w:type="paragraph" w:customStyle="1" w:styleId="normalcentered0">
    <w:name w:val="normalcentered"/>
    <w:basedOn w:val="Normal"/>
    <w:rsid w:val="0062121F"/>
    <w:pPr>
      <w:widowControl/>
      <w:spacing w:before="120" w:after="120"/>
      <w:jc w:val="center"/>
    </w:pPr>
    <w:rPr>
      <w:rFonts w:eastAsia="Calibri"/>
      <w:szCs w:val="24"/>
      <w:lang w:val="es-ES" w:eastAsia="es-ES"/>
    </w:rPr>
  </w:style>
  <w:style w:type="paragraph" w:customStyle="1" w:styleId="index">
    <w:name w:val="index"/>
    <w:basedOn w:val="Normal"/>
    <w:rsid w:val="0062121F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customStyle="1" w:styleId="Text7">
    <w:name w:val="Text 7"/>
    <w:basedOn w:val="Normal"/>
    <w:rsid w:val="0062121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2121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2121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2121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2121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2121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2121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2121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2121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2121F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2121F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2121F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2121F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2121F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2121F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2121F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2121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2121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62121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2121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2121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2121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2121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2121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2121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2121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2121F"/>
    <w:pPr>
      <w:spacing w:before="240"/>
    </w:pPr>
  </w:style>
  <w:style w:type="paragraph" w:customStyle="1" w:styleId="Accordtitre">
    <w:name w:val="Accord titre"/>
    <w:basedOn w:val="Normal"/>
    <w:rsid w:val="0062121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2121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2121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2121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2121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2121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2121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2121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2121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2121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2121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2121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2121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2121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2121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2121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2121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2121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2121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2121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2121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2121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2121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2121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2121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2121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2121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2121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2121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2121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2121F"/>
    <w:rPr>
      <w:b/>
      <w:i/>
    </w:rPr>
  </w:style>
  <w:style w:type="character" w:customStyle="1" w:styleId="diff-tte-removed">
    <w:name w:val="diff-tte-removed"/>
    <w:basedOn w:val="DefaultParagraphFont"/>
    <w:rsid w:val="0062121F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121F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62121F"/>
  </w:style>
  <w:style w:type="character" w:customStyle="1" w:styleId="Mention1">
    <w:name w:val="Mention1"/>
    <w:basedOn w:val="DefaultParagraphFont"/>
    <w:uiPriority w:val="99"/>
    <w:unhideWhenUsed/>
    <w:rsid w:val="0062121F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2121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212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2121F"/>
    <w:pPr>
      <w:ind w:left="720"/>
      <w:contextualSpacing/>
    </w:pPr>
  </w:style>
  <w:style w:type="paragraph" w:styleId="PlainText">
    <w:name w:val="Plain Text"/>
    <w:basedOn w:val="Normal"/>
    <w:link w:val="PlainTextChar1"/>
    <w:rsid w:val="0062121F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62121F"/>
    <w:rPr>
      <w:rFonts w:ascii="Consolas" w:hAnsi="Consolas"/>
      <w:sz w:val="21"/>
      <w:szCs w:val="21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9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A3F73-11FF-46CA-8622-81240A213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2024-07-25T06:41:00Z</dcterms:created>
  <dcterms:modified xsi:type="dcterms:W3CDTF">2024-07-25T06:41:00Z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