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71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715B" w:rsidRDefault="005C282F" w:rsidP="0010095E">
            <w:pPr>
              <w:pStyle w:val="EPName"/>
            </w:pPr>
            <w:r w:rsidRPr="00BF715B">
              <w:t>Parlament Europejski</w:t>
            </w:r>
          </w:p>
          <w:p w:rsidR="00751A4A" w:rsidRPr="00BF71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15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715B" w:rsidRDefault="00187494" w:rsidP="0010095E">
            <w:pPr>
              <w:pStyle w:val="EPLogo"/>
            </w:pPr>
            <w:r w:rsidRPr="00BF71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715B" w:rsidRDefault="00D058B8" w:rsidP="004C5D52">
      <w:pPr>
        <w:pStyle w:val="LineTop"/>
      </w:pPr>
    </w:p>
    <w:p w:rsidR="00680577" w:rsidRPr="00BF715B" w:rsidRDefault="005C282F" w:rsidP="00680577">
      <w:pPr>
        <w:pStyle w:val="EPBodyTA1"/>
      </w:pPr>
      <w:r w:rsidRPr="00BF715B">
        <w:t>TEKSTY PRZYJĘTE</w:t>
      </w:r>
    </w:p>
    <w:p w:rsidR="00D058B8" w:rsidRPr="00BF715B" w:rsidRDefault="00D058B8" w:rsidP="00D058B8">
      <w:pPr>
        <w:pStyle w:val="LineBottom"/>
      </w:pPr>
    </w:p>
    <w:p w:rsidR="005C282F" w:rsidRPr="00BF715B" w:rsidRDefault="005C282F" w:rsidP="005C282F">
      <w:pPr>
        <w:pStyle w:val="ATHeading1"/>
      </w:pPr>
      <w:bookmarkStart w:id="0" w:name="TANumber"/>
      <w:r w:rsidRPr="00BF715B">
        <w:t>P9_TA(2024)0</w:t>
      </w:r>
      <w:bookmarkEnd w:id="0"/>
      <w:r w:rsidR="00A47A8C">
        <w:t>283</w:t>
      </w:r>
    </w:p>
    <w:p w:rsidR="005C282F" w:rsidRPr="00BF715B" w:rsidRDefault="0074602E" w:rsidP="0074602E">
      <w:pPr>
        <w:pStyle w:val="ATHeading2"/>
      </w:pPr>
      <w:r>
        <w:t>Wspólne zasady rynków wewnętrznych gazów odnawialnych i gazu ziemnego oraz wodoru (wersja przekształcona)</w:t>
      </w:r>
    </w:p>
    <w:p w:rsidR="005C282F" w:rsidRPr="00BF715B" w:rsidRDefault="005C282F" w:rsidP="005C282F">
      <w:pPr>
        <w:rPr>
          <w:i/>
          <w:vanish/>
        </w:rPr>
      </w:pPr>
      <w:r w:rsidRPr="00BF715B">
        <w:rPr>
          <w:i/>
        </w:rPr>
        <w:fldChar w:fldCharType="begin"/>
      </w:r>
      <w:r w:rsidRPr="00BF715B">
        <w:rPr>
          <w:i/>
        </w:rPr>
        <w:instrText xml:space="preserve"> TC"(</w:instrText>
      </w:r>
      <w:bookmarkStart w:id="1" w:name="DocNumber"/>
      <w:r w:rsidRPr="00BF715B">
        <w:rPr>
          <w:i/>
        </w:rPr>
        <w:instrText>A9-0035/2023</w:instrText>
      </w:r>
      <w:bookmarkEnd w:id="1"/>
      <w:r w:rsidRPr="00BF715B">
        <w:rPr>
          <w:i/>
        </w:rPr>
        <w:instrText xml:space="preserve"> - Sprawozdawca: Jens Geier)"\l3 \n&gt; \* MERGEFORMAT </w:instrText>
      </w:r>
      <w:r w:rsidRPr="00BF715B">
        <w:rPr>
          <w:i/>
        </w:rPr>
        <w:fldChar w:fldCharType="end"/>
      </w:r>
    </w:p>
    <w:p w:rsidR="005C282F" w:rsidRPr="00BF715B" w:rsidRDefault="005C282F" w:rsidP="005C282F">
      <w:pPr>
        <w:rPr>
          <w:vanish/>
        </w:rPr>
      </w:pPr>
      <w:bookmarkStart w:id="2" w:name="Commission"/>
      <w:r w:rsidRPr="00BF715B">
        <w:rPr>
          <w:vanish/>
        </w:rPr>
        <w:t>Komisja Przemysłu, Badań Naukowych i Energii</w:t>
      </w:r>
      <w:bookmarkEnd w:id="2"/>
    </w:p>
    <w:p w:rsidR="005C282F" w:rsidRPr="00BF715B" w:rsidRDefault="005C282F" w:rsidP="005C282F">
      <w:pPr>
        <w:rPr>
          <w:vanish/>
        </w:rPr>
      </w:pPr>
      <w:bookmarkStart w:id="3" w:name="PE"/>
      <w:r w:rsidRPr="00BF715B">
        <w:rPr>
          <w:vanish/>
        </w:rPr>
        <w:t>PE732.908</w:t>
      </w:r>
      <w:bookmarkEnd w:id="3"/>
    </w:p>
    <w:p w:rsidR="005C282F" w:rsidRPr="00BF715B" w:rsidRDefault="005C282F" w:rsidP="005C282F">
      <w:pPr>
        <w:pStyle w:val="ATHeading3"/>
      </w:pPr>
      <w:bookmarkStart w:id="4" w:name="Sujet"/>
      <w:r w:rsidRPr="00BF715B">
        <w:t xml:space="preserve">Rezolucja ustawodawcza Parlamentu Europejskiego z dnia </w:t>
      </w:r>
      <w:r w:rsidR="0074602E">
        <w:t>1</w:t>
      </w:r>
      <w:r w:rsidR="00FF57D9">
        <w:t>1</w:t>
      </w:r>
      <w:r w:rsidRPr="00BF715B">
        <w:t xml:space="preserve"> </w:t>
      </w:r>
      <w:r w:rsidR="0098592B">
        <w:t xml:space="preserve">kwietnia </w:t>
      </w:r>
      <w:r w:rsidRPr="00BF715B">
        <w:t>2024 r. w sprawie wniosku dotyczącego dyrektywy Parlamentu Europejskiego i Rady w sprawie wspólnych zasad rynku wewnętrznego gazów odnawialnych i gazu ziemnego oraz wodoru (wersja przekształcona)</w:t>
      </w:r>
      <w:bookmarkEnd w:id="4"/>
      <w:r w:rsidRPr="00BF715B">
        <w:t xml:space="preserve"> </w:t>
      </w:r>
      <w:bookmarkStart w:id="5" w:name="References"/>
      <w:r w:rsidRPr="00BF715B">
        <w:t>(COM(2021)0803 – C9-0468/2021 – 2021/0425(COD))</w:t>
      </w:r>
      <w:bookmarkEnd w:id="5"/>
    </w:p>
    <w:p w:rsidR="005C282F" w:rsidRPr="00BF715B" w:rsidRDefault="005C282F" w:rsidP="005C282F"/>
    <w:p w:rsidR="00C12F88" w:rsidRPr="00BF715B" w:rsidRDefault="00C12F88" w:rsidP="00C12F88">
      <w:pPr>
        <w:pStyle w:val="NormalBold"/>
      </w:pPr>
      <w:bookmarkStart w:id="6" w:name="TextBodyBegin"/>
      <w:bookmarkEnd w:id="6"/>
      <w:r w:rsidRPr="00BF715B">
        <w:t>(Zwykła procedura ustawodawcza</w:t>
      </w:r>
      <w:r w:rsidR="003B0066" w:rsidRPr="003B0066">
        <w:t xml:space="preserve"> – przekształcenie</w:t>
      </w:r>
      <w:r w:rsidRPr="00BF715B">
        <w:t>)</w:t>
      </w:r>
    </w:p>
    <w:p w:rsidR="00C12F88" w:rsidRPr="003A0740" w:rsidRDefault="00C12F88" w:rsidP="00C12F88">
      <w:pPr>
        <w:pStyle w:val="EPComma"/>
        <w:rPr>
          <w:szCs w:val="24"/>
        </w:rPr>
      </w:pPr>
      <w:r w:rsidRPr="003A0740">
        <w:rPr>
          <w:szCs w:val="24"/>
        </w:rPr>
        <w:t>Parlament Europejski,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wniosek Komisji przedstawiony Parlamentowi Europejskiemu i Radzie (COM(2021)0803),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art. 294 ust. 2 i art. 194 ust. 2 Traktatu o funkcjonowaniu Unii Europejskiej, zgodnie z którymi wniosek został przedstawiony Parlamentowi przez Komisję (C9</w:t>
      </w:r>
      <w:r w:rsidRPr="003A0740">
        <w:rPr>
          <w:szCs w:val="24"/>
        </w:rPr>
        <w:noBreakHyphen/>
        <w:t>0468/2021),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art. 294 ust. 3 Traktatu o funkcjonowaniu Unii Europejskiej,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uzasadnione opinie przedstawione – na mocy protokołu nr 2 w sprawie stosowania zasad pomocniczości i proporcjonalności – przez Izbę Poselską i Senat Republiki Czeskiej, w których stwierdzono, że projekt aktu ustawodawczego nie jest zgodny z zasadą pomocniczości,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opinię Europejskiego Komitetu Ekonomiczno-Społecznego z 19 maja 2022 r.</w:t>
      </w:r>
      <w:r w:rsidRPr="003A0740">
        <w:rPr>
          <w:rStyle w:val="FootnoteReference"/>
          <w:szCs w:val="24"/>
        </w:rPr>
        <w:footnoteReference w:id="1"/>
      </w:r>
      <w:r w:rsidRPr="003A0740">
        <w:rPr>
          <w:szCs w:val="24"/>
        </w:rPr>
        <w:t>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opinię Komitetu Regionów z 1</w:t>
      </w:r>
      <w:r w:rsidR="003B0066" w:rsidRPr="003A0740">
        <w:rPr>
          <w:szCs w:val="24"/>
        </w:rPr>
        <w:t>2</w:t>
      </w:r>
      <w:r w:rsidRPr="003A0740">
        <w:rPr>
          <w:szCs w:val="24"/>
        </w:rPr>
        <w:t> października 2022 r.</w:t>
      </w:r>
      <w:r w:rsidRPr="003A0740">
        <w:rPr>
          <w:rStyle w:val="FootnoteReference"/>
          <w:szCs w:val="24"/>
        </w:rPr>
        <w:footnoteReference w:id="2"/>
      </w:r>
      <w:r w:rsidRPr="003A0740">
        <w:rPr>
          <w:szCs w:val="24"/>
        </w:rPr>
        <w:t>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Porozumienie międzyinstytucjonalne z 28 listopada 2001 r. w sprawie bardziej uporządkowanego wykorzystania techniki przekształcania aktów prawnych</w:t>
      </w:r>
      <w:r w:rsidRPr="003A0740">
        <w:rPr>
          <w:rStyle w:val="FootnoteReference"/>
          <w:szCs w:val="24"/>
        </w:rPr>
        <w:footnoteReference w:id="3"/>
      </w:r>
      <w:r w:rsidRPr="003A0740">
        <w:rPr>
          <w:szCs w:val="24"/>
        </w:rPr>
        <w:t>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pismo Komisji Prawnej z 2 lutego 2023 r. skierowane do Komisji Przemysłu, Badań Naukowych i Energii zgodnie z art. 110 ust. 3 Regulaminu,</w:t>
      </w:r>
    </w:p>
    <w:p w:rsidR="003B0066" w:rsidRPr="003A0740" w:rsidRDefault="003B0066" w:rsidP="00C12F88">
      <w:pPr>
        <w:pStyle w:val="NormalHanging12a"/>
        <w:rPr>
          <w:szCs w:val="24"/>
        </w:rPr>
      </w:pPr>
      <w:r w:rsidRPr="003A0740">
        <w:rPr>
          <w:szCs w:val="24"/>
        </w:rPr>
        <w:lastRenderedPageBreak/>
        <w:t>–</w:t>
      </w:r>
      <w:r w:rsidRPr="003A0740">
        <w:rPr>
          <w:szCs w:val="24"/>
        </w:rPr>
        <w:tab/>
        <w:t>uwzględniając wstępne porozumienie zatwierdzone przez komisję przedmiotowo właściwą na podstawie art. 74 ust. 4 Regulaminu oraz przekazane pismem z dnia 20 grudnia 2023 r. zobowiązanie przedstawiciela Rady do zatwierdzenia stanowiska Parlamentu, zgodnie z art. 294 ust. 4 Traktatu o funkcjonowaniu Unii Europejskiej,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art. 110 i art. 59 Regulaminu,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opinie przedstawione przez Komisję Rynku Wewnętrznego i Ochrony Konsumentów oraz Komisję Rolnictwa i Rozwoju Wsi,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–</w:t>
      </w:r>
      <w:r w:rsidRPr="003A0740">
        <w:rPr>
          <w:szCs w:val="24"/>
        </w:rPr>
        <w:tab/>
        <w:t>uwzględniając sprawozdanie Komisji Przemysłu, Badań Naukowych i Energii (A9-0035/2023),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A.</w:t>
      </w:r>
      <w:r w:rsidRPr="003A0740">
        <w:rPr>
          <w:szCs w:val="24"/>
        </w:rPr>
        <w:tab/>
        <w:t>mając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1.</w:t>
      </w:r>
      <w:r w:rsidRPr="003A0740">
        <w:rPr>
          <w:szCs w:val="24"/>
        </w:rPr>
        <w:tab/>
        <w:t>uchwala poniższe stanowisko w pierwszym czytaniu, biorąc pod uwagę zalecenia konsultacyjnej grupy roboczej służb prawnych Parlamentu Europejskiego, Rady i Komisji;</w:t>
      </w:r>
    </w:p>
    <w:p w:rsidR="00C12F88" w:rsidRPr="003A0740" w:rsidRDefault="00C12F88" w:rsidP="00C12F88">
      <w:pPr>
        <w:pStyle w:val="NormalHanging12a"/>
        <w:rPr>
          <w:szCs w:val="24"/>
        </w:rPr>
      </w:pPr>
      <w:r w:rsidRPr="003A0740">
        <w:rPr>
          <w:szCs w:val="24"/>
        </w:rPr>
        <w:t>2.</w:t>
      </w:r>
      <w:r w:rsidRPr="003A0740">
        <w:rPr>
          <w:szCs w:val="24"/>
        </w:rPr>
        <w:tab/>
        <w:t>zwraca się do Komisji o ponowne przekazanie mu sprawy, jeśli zastąpi ona pierwotny wniosek, wprowadzi w nim istotne zmiany lub planuje ich wprowadzenie;</w:t>
      </w:r>
    </w:p>
    <w:p w:rsidR="003A0740" w:rsidRPr="003A0740" w:rsidRDefault="00C12F88" w:rsidP="003A0740">
      <w:pPr>
        <w:pStyle w:val="NormalHanging12a"/>
        <w:rPr>
          <w:szCs w:val="24"/>
        </w:rPr>
        <w:sectPr w:rsidR="003A0740" w:rsidRPr="003A0740" w:rsidSect="003A0740"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3A0740">
        <w:rPr>
          <w:szCs w:val="24"/>
        </w:rPr>
        <w:t>3.</w:t>
      </w:r>
      <w:r w:rsidRPr="003A0740">
        <w:rPr>
          <w:szCs w:val="24"/>
        </w:rPr>
        <w:tab/>
        <w:t>zobowiązuje swoją przewodniczącą do przekazania stanowiska Parlamentu Radzie i Komisji oraz parlamentom narodowym.</w:t>
      </w:r>
    </w:p>
    <w:p w:rsidR="003A0740" w:rsidRPr="003A0740" w:rsidRDefault="003A0740" w:rsidP="003A0740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3A0740">
        <w:rPr>
          <w:rFonts w:eastAsia="Calibri"/>
          <w:b/>
          <w:bCs/>
          <w:color w:val="000000"/>
          <w:szCs w:val="24"/>
        </w:rPr>
        <w:lastRenderedPageBreak/>
        <w:t>P9_TC1-COD(2021)0425</w:t>
      </w:r>
    </w:p>
    <w:p w:rsidR="003A0740" w:rsidRPr="00242188" w:rsidRDefault="003A0740" w:rsidP="003A074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</w:t>
      </w:r>
      <w:r w:rsidR="00FF57D9">
        <w:rPr>
          <w:b/>
        </w:rPr>
        <w:t>1</w:t>
      </w:r>
      <w:r>
        <w:rPr>
          <w:b/>
        </w:rPr>
        <w:t xml:space="preserve"> kwietnia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>(UE) 2024/...</w:t>
      </w:r>
      <w:r w:rsidRPr="003A0740">
        <w:rPr>
          <w:rFonts w:eastAsia="Calibri"/>
          <w:b/>
          <w:szCs w:val="24"/>
          <w:lang w:eastAsia="en-US"/>
        </w:rPr>
        <w:t xml:space="preserve">w sprawie wspólnych zasad rynków wewnętrznych </w:t>
      </w:r>
      <w:r w:rsidRPr="00242188">
        <w:rPr>
          <w:rFonts w:eastAsia="Calibri"/>
          <w:b/>
          <w:szCs w:val="24"/>
          <w:lang w:eastAsia="en-US"/>
        </w:rPr>
        <w:t>gazu</w:t>
      </w:r>
      <w:r w:rsidRPr="003A0740">
        <w:rPr>
          <w:rFonts w:eastAsia="Calibri"/>
          <w:b/>
          <w:szCs w:val="24"/>
          <w:lang w:eastAsia="en-US"/>
        </w:rPr>
        <w:t xml:space="preserve"> odnawialnego</w:t>
      </w:r>
      <w:r w:rsidRPr="00242188">
        <w:rPr>
          <w:rFonts w:eastAsia="Calibri"/>
          <w:b/>
          <w:szCs w:val="24"/>
          <w:lang w:eastAsia="en-US"/>
        </w:rPr>
        <w:t>, gazu ziemnego i wodoru, zmieniająca dyrektywę (UE) 2023/1791 i uchylająca dyrektywę 2009/73/WE (wersja przekształcona)</w:t>
      </w:r>
    </w:p>
    <w:p w:rsidR="00242188" w:rsidRDefault="00242188" w:rsidP="003A074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bookmarkStart w:id="7" w:name="_GoBack"/>
      <w:bookmarkEnd w:id="7"/>
    </w:p>
    <w:p w:rsidR="00242188" w:rsidRPr="003A0740" w:rsidRDefault="00242188" w:rsidP="003A074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2024/1788</w:t>
      </w:r>
      <w:r>
        <w:rPr>
          <w:i/>
        </w:rPr>
        <w:t>.)</w:t>
      </w:r>
    </w:p>
    <w:sectPr w:rsidR="00242188" w:rsidRPr="003A0740" w:rsidSect="00242188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82F" w:rsidRPr="00BF715B" w:rsidRDefault="005C282F">
      <w:r w:rsidRPr="00BF715B">
        <w:separator/>
      </w:r>
    </w:p>
  </w:endnote>
  <w:endnote w:type="continuationSeparator" w:id="0">
    <w:p w:rsidR="005C282F" w:rsidRPr="00BF715B" w:rsidRDefault="005C282F">
      <w:r w:rsidRPr="00BF71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82F" w:rsidRPr="00BF715B" w:rsidRDefault="005C282F">
      <w:r w:rsidRPr="00BF715B">
        <w:separator/>
      </w:r>
    </w:p>
  </w:footnote>
  <w:footnote w:type="continuationSeparator" w:id="0">
    <w:p w:rsidR="005C282F" w:rsidRPr="00BF715B" w:rsidRDefault="005C282F">
      <w:r w:rsidRPr="00BF715B">
        <w:continuationSeparator/>
      </w:r>
    </w:p>
  </w:footnote>
  <w:footnote w:id="1">
    <w:p w:rsidR="00C12F88" w:rsidRPr="003A0740" w:rsidRDefault="00C12F88" w:rsidP="00BF715B">
      <w:pPr>
        <w:pStyle w:val="FootnoteText"/>
        <w:ind w:left="851" w:hanging="851"/>
        <w:rPr>
          <w:sz w:val="24"/>
          <w:szCs w:val="24"/>
          <w:lang w:val="pl-PL"/>
        </w:rPr>
      </w:pPr>
      <w:r w:rsidRPr="003A0740">
        <w:rPr>
          <w:rStyle w:val="FootnoteReference"/>
          <w:sz w:val="24"/>
          <w:szCs w:val="24"/>
          <w:lang w:val="pl-PL"/>
        </w:rPr>
        <w:footnoteRef/>
      </w:r>
      <w:r w:rsidR="00BF715B" w:rsidRPr="003A0740">
        <w:rPr>
          <w:sz w:val="24"/>
          <w:szCs w:val="24"/>
          <w:lang w:val="pl-PL"/>
        </w:rPr>
        <w:t xml:space="preserve"> </w:t>
      </w:r>
      <w:r w:rsidR="00BF715B" w:rsidRPr="003A0740">
        <w:rPr>
          <w:sz w:val="24"/>
          <w:szCs w:val="24"/>
          <w:lang w:val="pl-PL"/>
        </w:rPr>
        <w:tab/>
      </w:r>
      <w:r w:rsidRPr="003A0740">
        <w:rPr>
          <w:sz w:val="24"/>
          <w:szCs w:val="24"/>
          <w:lang w:val="pl-PL"/>
        </w:rPr>
        <w:t>Dz.U. C 323 z 26.8.2022, s. 101.</w:t>
      </w:r>
    </w:p>
  </w:footnote>
  <w:footnote w:id="2">
    <w:p w:rsidR="00C12F88" w:rsidRPr="003A0740" w:rsidRDefault="00C12F88" w:rsidP="00BF715B">
      <w:pPr>
        <w:pStyle w:val="FootnoteText"/>
        <w:ind w:left="851" w:hanging="851"/>
        <w:rPr>
          <w:sz w:val="24"/>
          <w:szCs w:val="24"/>
          <w:lang w:val="pl-PL"/>
        </w:rPr>
      </w:pPr>
      <w:r w:rsidRPr="003A0740">
        <w:rPr>
          <w:rStyle w:val="FootnoteReference"/>
          <w:sz w:val="24"/>
          <w:szCs w:val="24"/>
          <w:lang w:val="pl-PL"/>
        </w:rPr>
        <w:footnoteRef/>
      </w:r>
      <w:r w:rsidR="00BF715B" w:rsidRPr="003A0740">
        <w:rPr>
          <w:sz w:val="24"/>
          <w:szCs w:val="24"/>
          <w:lang w:val="pl-PL"/>
        </w:rPr>
        <w:t xml:space="preserve"> </w:t>
      </w:r>
      <w:r w:rsidR="00BF715B" w:rsidRPr="003A0740">
        <w:rPr>
          <w:sz w:val="24"/>
          <w:szCs w:val="24"/>
          <w:lang w:val="pl-PL"/>
        </w:rPr>
        <w:tab/>
      </w:r>
      <w:r w:rsidRPr="003A0740">
        <w:rPr>
          <w:sz w:val="24"/>
          <w:szCs w:val="24"/>
          <w:lang w:val="pl-PL"/>
        </w:rPr>
        <w:t>Dz.U. C 498 z 30.12.2022, s. 83.</w:t>
      </w:r>
    </w:p>
  </w:footnote>
  <w:footnote w:id="3">
    <w:p w:rsidR="00C12F88" w:rsidRPr="003A0740" w:rsidRDefault="00C12F88" w:rsidP="00BF715B">
      <w:pPr>
        <w:pStyle w:val="FootnoteText"/>
        <w:ind w:left="851" w:hanging="851"/>
        <w:rPr>
          <w:sz w:val="24"/>
          <w:szCs w:val="24"/>
          <w:lang w:val="pl-PL"/>
        </w:rPr>
      </w:pPr>
      <w:r w:rsidRPr="003A0740">
        <w:rPr>
          <w:rStyle w:val="FootnoteReference"/>
          <w:sz w:val="24"/>
          <w:szCs w:val="24"/>
          <w:lang w:val="pl-PL"/>
        </w:rPr>
        <w:footnoteRef/>
      </w:r>
      <w:r w:rsidR="00BF715B" w:rsidRPr="003A0740">
        <w:rPr>
          <w:sz w:val="24"/>
          <w:szCs w:val="24"/>
          <w:lang w:val="pl-PL"/>
        </w:rPr>
        <w:t xml:space="preserve"> </w:t>
      </w:r>
      <w:r w:rsidR="00BF715B" w:rsidRPr="003A0740">
        <w:rPr>
          <w:sz w:val="24"/>
          <w:szCs w:val="24"/>
          <w:lang w:val="pl-PL"/>
        </w:rPr>
        <w:tab/>
      </w:r>
      <w:r w:rsidRPr="003A0740">
        <w:rPr>
          <w:sz w:val="24"/>
          <w:szCs w:val="24"/>
          <w:lang w:val="pl-PL"/>
        </w:rPr>
        <w:t>Dz.U. C 77 z 28.3.2002,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055A18"/>
    <w:multiLevelType w:val="hybridMultilevel"/>
    <w:tmpl w:val="4BF67E7C"/>
    <w:lvl w:ilvl="0" w:tplc="B4CC6272">
      <w:start w:val="1"/>
      <w:numFmt w:val="decimal"/>
      <w:lvlText w:val="%1."/>
      <w:lvlJc w:val="left"/>
      <w:pPr>
        <w:ind w:left="1210" w:hanging="85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41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2"/>
  </w:num>
  <w:num w:numId="24">
    <w:abstractNumId w:val="43"/>
  </w:num>
  <w:num w:numId="25">
    <w:abstractNumId w:val="2"/>
  </w:num>
  <w:num w:numId="26">
    <w:abstractNumId w:val="44"/>
  </w:num>
  <w:num w:numId="27">
    <w:abstractNumId w:val="38"/>
  </w:num>
  <w:num w:numId="28">
    <w:abstractNumId w:val="4"/>
  </w:num>
  <w:num w:numId="29">
    <w:abstractNumId w:val="46"/>
  </w:num>
  <w:num w:numId="30">
    <w:abstractNumId w:val="51"/>
  </w:num>
  <w:num w:numId="31">
    <w:abstractNumId w:val="31"/>
  </w:num>
  <w:num w:numId="32">
    <w:abstractNumId w:val="45"/>
  </w:num>
  <w:num w:numId="33">
    <w:abstractNumId w:val="40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9"/>
  </w:num>
  <w:num w:numId="46">
    <w:abstractNumId w:val="48"/>
  </w:num>
  <w:num w:numId="47">
    <w:abstractNumId w:val="50"/>
  </w:num>
  <w:num w:numId="48">
    <w:abstractNumId w:val="37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PL"/>
    <w:docVar w:name="dvnumam" w:val="84"/>
    <w:docVar w:name="dvpe" w:val="732.908"/>
    <w:docVar w:name="dvrapporteur" w:val="Sprawozdawca: "/>
    <w:docVar w:name="dvstar" w:val="***I"/>
    <w:docVar w:name="dvtitre" w:val="Rezolucja ustawodawcza Parlamentu Europejskiego z dnia  2024 r. w sprawie wniosku dotyczącego dyrektywy Parlamentu Europejskiego i Rady w sprawie wspólnych zasad rynku wewnętrznego gazów odnawialnych i gazu ziemnego oraz wodoru (wersja przekształcona)(COM(2021)0803 – C9-0468/2021 – 2021/0425(COD))"/>
  </w:docVars>
  <w:rsids>
    <w:rsidRoot w:val="005C282F"/>
    <w:rsid w:val="00002272"/>
    <w:rsid w:val="00062D6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188"/>
    <w:rsid w:val="002767FF"/>
    <w:rsid w:val="002B18FE"/>
    <w:rsid w:val="002B5493"/>
    <w:rsid w:val="00343214"/>
    <w:rsid w:val="00361C00"/>
    <w:rsid w:val="00395FA1"/>
    <w:rsid w:val="003A0740"/>
    <w:rsid w:val="003B0066"/>
    <w:rsid w:val="003E15D4"/>
    <w:rsid w:val="003E6D7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82F"/>
    <w:rsid w:val="006037C0"/>
    <w:rsid w:val="006631B6"/>
    <w:rsid w:val="00680577"/>
    <w:rsid w:val="006F74FA"/>
    <w:rsid w:val="00731ADD"/>
    <w:rsid w:val="00734777"/>
    <w:rsid w:val="0074602E"/>
    <w:rsid w:val="00747932"/>
    <w:rsid w:val="00751A4A"/>
    <w:rsid w:val="00756632"/>
    <w:rsid w:val="00762C74"/>
    <w:rsid w:val="00786EC0"/>
    <w:rsid w:val="007D1690"/>
    <w:rsid w:val="007E22AD"/>
    <w:rsid w:val="00817416"/>
    <w:rsid w:val="00823D2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92B"/>
    <w:rsid w:val="00A1687D"/>
    <w:rsid w:val="00A43E52"/>
    <w:rsid w:val="00A4678D"/>
    <w:rsid w:val="00A47A8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15B"/>
    <w:rsid w:val="00C05BFE"/>
    <w:rsid w:val="00C12F8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3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3DB68"/>
  <w15:chartTrackingRefBased/>
  <w15:docId w15:val="{10E4B912-67D7-4B1A-BC97-A7104EE7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Number" w:uiPriority="99"/>
    <w:lsdException w:name="List Bullet 5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First Indent 2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C12F88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C12F88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C12F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C12F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F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F88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F88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12F88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12F88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C12F88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C12F88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12F88"/>
    <w:rPr>
      <w:rFonts w:ascii="Arial" w:hAnsi="Arial" w:cs="Arial"/>
      <w:b/>
      <w:sz w:val="24"/>
      <w:lang w:val="pl-PL"/>
    </w:rPr>
  </w:style>
  <w:style w:type="paragraph" w:customStyle="1" w:styleId="EPFooter2">
    <w:name w:val="EPFooter2"/>
    <w:basedOn w:val="Normal"/>
    <w:next w:val="Normal"/>
    <w:rsid w:val="00C12F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12F88"/>
    <w:pPr>
      <w:spacing w:after="240"/>
    </w:pPr>
  </w:style>
  <w:style w:type="paragraph" w:customStyle="1" w:styleId="TOCPage">
    <w:name w:val="TOC Page"/>
    <w:basedOn w:val="Normal"/>
    <w:next w:val="TOC1"/>
    <w:rsid w:val="00C12F88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C12F8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12F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2F88"/>
    <w:pPr>
      <w:spacing w:after="480"/>
      <w:ind w:left="1417"/>
    </w:pPr>
  </w:style>
  <w:style w:type="paragraph" w:customStyle="1" w:styleId="CoverNormal">
    <w:name w:val="CoverNormal"/>
    <w:basedOn w:val="Normal"/>
    <w:rsid w:val="00C12F88"/>
    <w:pPr>
      <w:ind w:left="1418"/>
    </w:pPr>
  </w:style>
  <w:style w:type="paragraph" w:customStyle="1" w:styleId="NormalCenter12a">
    <w:name w:val="NormalCenter12a"/>
    <w:basedOn w:val="Normal"/>
    <w:rsid w:val="00C12F88"/>
    <w:pPr>
      <w:spacing w:after="240"/>
      <w:jc w:val="center"/>
    </w:pPr>
  </w:style>
  <w:style w:type="paragraph" w:customStyle="1" w:styleId="CoverReference">
    <w:name w:val="CoverReference"/>
    <w:basedOn w:val="Normal"/>
    <w:rsid w:val="00C12F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2F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2F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2F88"/>
    <w:pPr>
      <w:spacing w:before="240" w:after="1200"/>
    </w:pPr>
  </w:style>
  <w:style w:type="paragraph" w:customStyle="1" w:styleId="AmNumberTabs">
    <w:name w:val="AmNumberTabs"/>
    <w:basedOn w:val="Normal"/>
    <w:rsid w:val="00C12F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12F88"/>
    <w:pPr>
      <w:spacing w:before="720" w:after="240"/>
      <w:jc w:val="center"/>
    </w:pPr>
  </w:style>
  <w:style w:type="paragraph" w:customStyle="1" w:styleId="EPBody">
    <w:name w:val="EPBody"/>
    <w:basedOn w:val="Normal"/>
    <w:rsid w:val="00C12F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C12F88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C12F88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C12F88"/>
    <w:rPr>
      <w:smallCaps/>
      <w:sz w:val="20"/>
    </w:rPr>
  </w:style>
  <w:style w:type="paragraph" w:customStyle="1" w:styleId="AnnexWPDocType">
    <w:name w:val="AnnexWPDocType"/>
    <w:basedOn w:val="Normal"/>
    <w:rsid w:val="00C12F88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C12F88"/>
    <w:pPr>
      <w:spacing w:before="480"/>
    </w:pPr>
    <w:rPr>
      <w:b/>
    </w:rPr>
  </w:style>
  <w:style w:type="paragraph" w:customStyle="1" w:styleId="AnnexWPLogo">
    <w:name w:val="AnnexWPLogo"/>
    <w:basedOn w:val="Normal"/>
    <w:rsid w:val="00C12F88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C12F8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12F88"/>
    <w:rPr>
      <w:b/>
      <w:sz w:val="24"/>
      <w:lang w:val="pl-PL"/>
    </w:rPr>
  </w:style>
  <w:style w:type="paragraph" w:customStyle="1" w:styleId="EPFooter">
    <w:name w:val="EPFooter"/>
    <w:basedOn w:val="Normal"/>
    <w:rsid w:val="00C12F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C12F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F88"/>
    <w:rPr>
      <w:sz w:val="24"/>
      <w:lang w:val="pl-PL"/>
    </w:rPr>
  </w:style>
  <w:style w:type="paragraph" w:customStyle="1" w:styleId="EPComma">
    <w:name w:val="EPComma"/>
    <w:basedOn w:val="Normal"/>
    <w:rsid w:val="00C12F88"/>
    <w:pPr>
      <w:spacing w:before="480" w:after="240"/>
    </w:pPr>
  </w:style>
  <w:style w:type="paragraph" w:customStyle="1" w:styleId="Lgendesigne">
    <w:name w:val="Légende signe"/>
    <w:basedOn w:val="Normal"/>
    <w:rsid w:val="00C12F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2F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2F88"/>
    <w:rPr>
      <w:sz w:val="18"/>
    </w:rPr>
  </w:style>
  <w:style w:type="paragraph" w:customStyle="1" w:styleId="Normal24a">
    <w:name w:val="Normal24a"/>
    <w:basedOn w:val="Normal"/>
    <w:rsid w:val="00C12F88"/>
    <w:pPr>
      <w:spacing w:after="480"/>
    </w:pPr>
  </w:style>
  <w:style w:type="paragraph" w:customStyle="1" w:styleId="NormalBoldCenter">
    <w:name w:val="NormalBoldCenter"/>
    <w:basedOn w:val="Normal"/>
    <w:rsid w:val="00C12F88"/>
    <w:pPr>
      <w:jc w:val="center"/>
    </w:pPr>
    <w:rPr>
      <w:b/>
    </w:rPr>
  </w:style>
  <w:style w:type="paragraph" w:customStyle="1" w:styleId="Text1">
    <w:name w:val="Text 1"/>
    <w:basedOn w:val="Normal"/>
    <w:rsid w:val="00C12F88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12F8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C12F88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C12F88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C12F88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C12F88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C12F88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12F88"/>
    <w:pPr>
      <w:spacing w:after="240"/>
    </w:pPr>
  </w:style>
  <w:style w:type="paragraph" w:customStyle="1" w:styleId="Languesfaisantfoi">
    <w:name w:val="Langues faisant foi"/>
    <w:basedOn w:val="Normal"/>
    <w:next w:val="Normal"/>
    <w:rsid w:val="00C12F8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12F8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styleId="CommentReference">
    <w:name w:val="annotation reference"/>
    <w:uiPriority w:val="99"/>
    <w:unhideWhenUsed/>
    <w:rsid w:val="00C12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F88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F88"/>
    <w:rPr>
      <w:rFonts w:ascii="Calibri" w:eastAsia="Calibri" w:hAnsi="Calibri"/>
      <w:lang w:val="pl-PL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C12F88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2F88"/>
    <w:rPr>
      <w:rFonts w:ascii="Segoe UI" w:eastAsia="Calibri" w:hAnsi="Segoe UI" w:cs="Segoe UI"/>
      <w:sz w:val="18"/>
      <w:szCs w:val="18"/>
      <w:lang w:val="pl-PL" w:eastAsia="en-US"/>
    </w:rPr>
  </w:style>
  <w:style w:type="paragraph" w:styleId="ListBullet">
    <w:name w:val="List Bullet"/>
    <w:basedOn w:val="Normal"/>
    <w:unhideWhenUsed/>
    <w:rsid w:val="00C12F8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C12F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C12F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C12F88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C12F88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C12F88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2F88"/>
    <w:pPr>
      <w:spacing w:before="120" w:after="12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2F88"/>
    <w:rPr>
      <w:rFonts w:ascii="Calibri" w:eastAsia="Calibri" w:hAnsi="Calibri"/>
      <w:b/>
      <w:bCs/>
      <w:lang w:val="pl-PL" w:eastAsia="en-US"/>
    </w:rPr>
  </w:style>
  <w:style w:type="paragraph" w:customStyle="1" w:styleId="Normal2">
    <w:name w:val="Normal2"/>
    <w:basedOn w:val="Normal"/>
    <w:rsid w:val="00C12F8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C12F88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C12F88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C12F88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C12F88"/>
    <w:rPr>
      <w:i/>
      <w:iCs/>
    </w:rPr>
  </w:style>
  <w:style w:type="paragraph" w:styleId="Revision">
    <w:name w:val="Revision"/>
    <w:hidden/>
    <w:uiPriority w:val="99"/>
    <w:semiHidden/>
    <w:rsid w:val="00C12F88"/>
    <w:rPr>
      <w:rFonts w:eastAsia="Calibri"/>
      <w:sz w:val="24"/>
      <w:szCs w:val="22"/>
      <w:lang w:val="pl-PL" w:eastAsia="en-US"/>
    </w:rPr>
  </w:style>
  <w:style w:type="paragraph" w:customStyle="1" w:styleId="normals">
    <w:name w:val="normals"/>
    <w:basedOn w:val="NumPar1"/>
    <w:rsid w:val="00C12F88"/>
  </w:style>
  <w:style w:type="paragraph" w:customStyle="1" w:styleId="NumPar1">
    <w:name w:val="NumPar 1"/>
    <w:basedOn w:val="Normal"/>
    <w:next w:val="Text1"/>
    <w:qFormat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C12F8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C12F88"/>
  </w:style>
  <w:style w:type="paragraph" w:styleId="Caption">
    <w:name w:val="caption"/>
    <w:basedOn w:val="Normal"/>
    <w:next w:val="Normal"/>
    <w:unhideWhenUsed/>
    <w:qFormat/>
    <w:rsid w:val="00C12F88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C12F88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C12F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C12F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C12F88"/>
    <w:pPr>
      <w:keepLines w:val="0"/>
      <w:spacing w:line="240" w:lineRule="auto"/>
      <w:ind w:left="720" w:hanging="720"/>
      <w:jc w:val="both"/>
    </w:pPr>
    <w:rPr>
      <w:rFonts w:eastAsia="Calibri"/>
      <w:sz w:val="20"/>
      <w:lang w:val="pl-PL" w:eastAsia="en-US"/>
    </w:rPr>
  </w:style>
  <w:style w:type="paragraph" w:customStyle="1" w:styleId="ListBullet1">
    <w:name w:val="List Bullet 1"/>
    <w:basedOn w:val="Normal"/>
    <w:rsid w:val="00C12F88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C12F88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C12F88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C12F88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C12F88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C12F88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C12F88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C12F88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C12F88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C12F88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C12F88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C12F88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C12F88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C12F88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C12F88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C12F88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C12F88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12F88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C12F88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C12F88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C12F88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12F88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C12F88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C12F88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C12F88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C12F88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C12F88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C12F88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C12F88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C12F8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12F8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12F88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12F88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C12F88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C12F88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C12F88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C12F88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C12F88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C12F88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C12F88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C12F88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C12F8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C12F88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C12F88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C12F88"/>
    <w:rPr>
      <w:rFonts w:eastAsia="Calibri"/>
      <w:sz w:val="24"/>
      <w:szCs w:val="22"/>
      <w:lang w:val="pl-PL"/>
    </w:rPr>
  </w:style>
  <w:style w:type="paragraph" w:customStyle="1" w:styleId="Soustitr">
    <w:name w:val="Sous titr"/>
    <w:basedOn w:val="Titreobjet"/>
    <w:rsid w:val="00C12F88"/>
  </w:style>
  <w:style w:type="paragraph" w:customStyle="1" w:styleId="Sous-titre">
    <w:name w:val="Sous-titre"/>
    <w:basedOn w:val="Soustitr"/>
    <w:rsid w:val="00C12F88"/>
  </w:style>
  <w:style w:type="paragraph" w:customStyle="1" w:styleId="paragraph">
    <w:name w:val="paragraph"/>
    <w:basedOn w:val="Normal"/>
    <w:rsid w:val="00C12F8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C12F88"/>
  </w:style>
  <w:style w:type="character" w:customStyle="1" w:styleId="tw4winError">
    <w:name w:val="tw4winError"/>
    <w:rsid w:val="00C12F88"/>
    <w:rPr>
      <w:color w:val="00FF00"/>
      <w:sz w:val="40"/>
      <w:lang w:val="pl-PL" w:eastAsia="en-GB"/>
    </w:rPr>
  </w:style>
  <w:style w:type="character" w:customStyle="1" w:styleId="tw4winTerm">
    <w:name w:val="tw4winTerm"/>
    <w:rsid w:val="00C12F88"/>
    <w:rPr>
      <w:color w:val="0000FF"/>
      <w:lang w:val="pl-PL" w:eastAsia="en-GB"/>
    </w:rPr>
  </w:style>
  <w:style w:type="character" w:customStyle="1" w:styleId="tw4winPopup">
    <w:name w:val="tw4winPopup"/>
    <w:rsid w:val="00C12F88"/>
    <w:rPr>
      <w:noProof/>
      <w:color w:val="008000"/>
      <w:lang w:val="pl-PL" w:eastAsia="en-GB"/>
    </w:rPr>
  </w:style>
  <w:style w:type="character" w:customStyle="1" w:styleId="tw4winJump">
    <w:name w:val="tw4winJump"/>
    <w:rsid w:val="00C12F88"/>
    <w:rPr>
      <w:noProof/>
      <w:color w:val="008080"/>
      <w:lang w:val="pl-PL" w:eastAsia="en-GB"/>
    </w:rPr>
  </w:style>
  <w:style w:type="character" w:customStyle="1" w:styleId="tw4winExternal">
    <w:name w:val="tw4winExternal"/>
    <w:rsid w:val="00C12F88"/>
    <w:rPr>
      <w:noProof/>
      <w:color w:val="808080"/>
      <w:lang w:val="pl-PL" w:eastAsia="en-GB"/>
    </w:rPr>
  </w:style>
  <w:style w:type="character" w:customStyle="1" w:styleId="tw4winInternal">
    <w:name w:val="tw4winInternal"/>
    <w:rsid w:val="00C12F88"/>
    <w:rPr>
      <w:noProof/>
      <w:color w:val="FF0000"/>
      <w:lang w:val="pl-PL" w:eastAsia="en-GB"/>
    </w:rPr>
  </w:style>
  <w:style w:type="character" w:customStyle="1" w:styleId="DONOTTRANSLATE">
    <w:name w:val="DO_NOT_TRANSLATE"/>
    <w:rsid w:val="00C12F88"/>
    <w:rPr>
      <w:noProof/>
      <w:color w:val="800000"/>
      <w:lang w:val="pl-PL" w:eastAsia="en-GB"/>
    </w:rPr>
  </w:style>
  <w:style w:type="paragraph" w:styleId="TOC4">
    <w:name w:val="toc 4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12F88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12F88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12F8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C12F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12F88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C12F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C12F88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C12F88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12F88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12F8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12F88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12F8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12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12F8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12F88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12F88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12F88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C12F88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12F88"/>
    <w:pPr>
      <w:numPr>
        <w:numId w:val="13"/>
      </w:numPr>
    </w:pPr>
  </w:style>
  <w:style w:type="paragraph" w:customStyle="1" w:styleId="Tiret1">
    <w:name w:val="Tiret 1"/>
    <w:basedOn w:val="Point1"/>
    <w:rsid w:val="00C12F88"/>
    <w:pPr>
      <w:numPr>
        <w:numId w:val="4"/>
      </w:numPr>
    </w:pPr>
  </w:style>
  <w:style w:type="paragraph" w:customStyle="1" w:styleId="Tiret2">
    <w:name w:val="Tiret 2"/>
    <w:basedOn w:val="Point2"/>
    <w:rsid w:val="00C12F88"/>
    <w:pPr>
      <w:numPr>
        <w:numId w:val="12"/>
      </w:numPr>
    </w:pPr>
  </w:style>
  <w:style w:type="paragraph" w:customStyle="1" w:styleId="Tiret3">
    <w:name w:val="Tiret 3"/>
    <w:basedOn w:val="Point3"/>
    <w:rsid w:val="00C12F88"/>
    <w:pPr>
      <w:numPr>
        <w:numId w:val="14"/>
      </w:numPr>
    </w:pPr>
  </w:style>
  <w:style w:type="paragraph" w:customStyle="1" w:styleId="Tiret4">
    <w:name w:val="Tiret 4"/>
    <w:basedOn w:val="Point4"/>
    <w:rsid w:val="00C12F88"/>
    <w:pPr>
      <w:numPr>
        <w:numId w:val="15"/>
      </w:numPr>
    </w:pPr>
  </w:style>
  <w:style w:type="paragraph" w:customStyle="1" w:styleId="Tiret5">
    <w:name w:val="Tiret 5"/>
    <w:basedOn w:val="Point5"/>
    <w:rsid w:val="00C12F88"/>
    <w:pPr>
      <w:numPr>
        <w:numId w:val="16"/>
      </w:numPr>
    </w:pPr>
  </w:style>
  <w:style w:type="paragraph" w:customStyle="1" w:styleId="PointDouble0">
    <w:name w:val="PointDouble 0"/>
    <w:basedOn w:val="Normal"/>
    <w:rsid w:val="00C12F8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12F8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12F8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12F8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12F8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12F8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12F8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12F8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12F8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12F8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12F88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12F88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12F88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12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12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12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12F8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12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12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12F8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12F8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12F8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12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12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12F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12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12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12F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12F88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12F88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12F88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12F88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C12F88"/>
    <w:rPr>
      <w:color w:val="0000FF"/>
      <w:shd w:val="clear" w:color="auto" w:fill="auto"/>
    </w:rPr>
  </w:style>
  <w:style w:type="character" w:customStyle="1" w:styleId="Marker1">
    <w:name w:val="Marker1"/>
    <w:rsid w:val="00C12F88"/>
    <w:rPr>
      <w:color w:val="008000"/>
      <w:shd w:val="clear" w:color="auto" w:fill="auto"/>
    </w:rPr>
  </w:style>
  <w:style w:type="character" w:customStyle="1" w:styleId="Marker2">
    <w:name w:val="Marker2"/>
    <w:rsid w:val="00C12F8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12F8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C12F8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12F8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12F8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C12F8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12F8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12F8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12F88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12F88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12F88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12F88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12F88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12F88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C12F88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C12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C12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C12F88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C12F8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C12F8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C12F88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C12F88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C12F88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C12F88"/>
  </w:style>
  <w:style w:type="paragraph" w:customStyle="1" w:styleId="Rfrencecroise">
    <w:name w:val="Référence croisée"/>
    <w:basedOn w:val="Normal"/>
    <w:uiPriority w:val="99"/>
    <w:rsid w:val="00C12F88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C12F8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C12F8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C12F8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12F88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12F8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12F8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C12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12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C12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12F88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12F88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12F8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12F88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C12F88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C12F88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12F88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C12F88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12F8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C12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C12F88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12F88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12F8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C12F88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C12F88"/>
    <w:rPr>
      <w:b/>
      <w:u w:val="single"/>
      <w:shd w:val="clear" w:color="auto" w:fill="auto"/>
    </w:rPr>
  </w:style>
  <w:style w:type="character" w:customStyle="1" w:styleId="Deleted">
    <w:name w:val="Deleted"/>
    <w:rsid w:val="00C12F8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C12F8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C12F88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C12F88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C12F8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C12F8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C12F88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C12F88"/>
  </w:style>
  <w:style w:type="paragraph" w:customStyle="1" w:styleId="Volume">
    <w:name w:val="Volume"/>
    <w:basedOn w:val="Normal"/>
    <w:next w:val="Confidentialit"/>
    <w:uiPriority w:val="99"/>
    <w:rsid w:val="00C12F8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C12F88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C12F88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C12F88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C12F8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C12F88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C12F88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C12F8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C12F88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C12F8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C12F88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C12F8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C12F8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C12F8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C12F8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C12F88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C12F88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C12F88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C12F8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C12F88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C12F8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C12F88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C12F8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C12F88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C12F88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C12F88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C12F88"/>
    <w:pPr>
      <w:spacing w:before="120" w:after="360"/>
    </w:pPr>
  </w:style>
  <w:style w:type="paragraph" w:customStyle="1" w:styleId="Point6">
    <w:name w:val="Point 6"/>
    <w:basedOn w:val="Point5"/>
    <w:qFormat/>
    <w:rsid w:val="00C12F88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C12F88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C12F88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C12F88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C12F88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C12F88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C12F88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C12F88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C12F88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C12F88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C12F88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C12F88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C12F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2F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2F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2F88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C12F88"/>
    <w:pPr>
      <w:spacing w:before="600" w:after="360"/>
    </w:pPr>
  </w:style>
  <w:style w:type="paragraph" w:customStyle="1" w:styleId="LetterSubject">
    <w:name w:val="LetterSubject"/>
    <w:basedOn w:val="Normal"/>
    <w:rsid w:val="00C12F88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12F88"/>
    <w:pPr>
      <w:spacing w:before="1320"/>
    </w:pPr>
  </w:style>
  <w:style w:type="paragraph" w:customStyle="1" w:styleId="AnnexRight">
    <w:name w:val="AnnexRight"/>
    <w:basedOn w:val="Normal"/>
    <w:rsid w:val="00C12F88"/>
    <w:pPr>
      <w:spacing w:after="480"/>
      <w:jc w:val="right"/>
    </w:pPr>
  </w:style>
  <w:style w:type="paragraph" w:customStyle="1" w:styleId="Normal12">
    <w:name w:val="Normal12"/>
    <w:basedOn w:val="Normal"/>
    <w:link w:val="Normal12Char"/>
    <w:qFormat/>
    <w:rsid w:val="00C12F88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C12F88"/>
    <w:rPr>
      <w:rFonts w:ascii="Arial" w:hAnsi="Arial" w:cs="Arial"/>
      <w:b w:val="0"/>
      <w:sz w:val="24"/>
      <w:lang w:val="pl-PL"/>
    </w:rPr>
  </w:style>
  <w:style w:type="paragraph" w:customStyle="1" w:styleId="AmJustText">
    <w:name w:val="AmJustText"/>
    <w:basedOn w:val="Normal"/>
    <w:rsid w:val="00C12F88"/>
    <w:pPr>
      <w:spacing w:after="240"/>
    </w:pPr>
    <w:rPr>
      <w:i/>
    </w:rPr>
  </w:style>
  <w:style w:type="paragraph" w:customStyle="1" w:styleId="AmCrossRef">
    <w:name w:val="AmCrossRef"/>
    <w:basedOn w:val="Normal"/>
    <w:rsid w:val="00C12F88"/>
    <w:pPr>
      <w:spacing w:before="240" w:after="240"/>
      <w:jc w:val="center"/>
    </w:pPr>
    <w:rPr>
      <w:i/>
    </w:rPr>
  </w:style>
  <w:style w:type="character" w:customStyle="1" w:styleId="Normal6Char">
    <w:name w:val="Normal6 Char"/>
    <w:link w:val="Normal6"/>
    <w:locked/>
    <w:rsid w:val="00C12F88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12F88"/>
    <w:pPr>
      <w:spacing w:after="120"/>
    </w:pPr>
  </w:style>
  <w:style w:type="paragraph" w:customStyle="1" w:styleId="PageHeadingNotTOC">
    <w:name w:val="PageHeadingNotTOC"/>
    <w:basedOn w:val="Normal"/>
    <w:rsid w:val="00C12F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12F8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C12F88"/>
    <w:pPr>
      <w:spacing w:before="240"/>
    </w:pPr>
    <w:rPr>
      <w:b/>
    </w:rPr>
  </w:style>
  <w:style w:type="paragraph" w:customStyle="1" w:styleId="AmColumnHeading">
    <w:name w:val="AmColumnHeading"/>
    <w:basedOn w:val="Normal"/>
    <w:rsid w:val="00C12F88"/>
    <w:pPr>
      <w:spacing w:after="240"/>
      <w:jc w:val="center"/>
    </w:pPr>
    <w:rPr>
      <w:i/>
    </w:rPr>
  </w:style>
  <w:style w:type="paragraph" w:customStyle="1" w:styleId="Normal6a">
    <w:name w:val="Normal6a"/>
    <w:basedOn w:val="Normal"/>
    <w:rsid w:val="00C12F88"/>
    <w:pPr>
      <w:spacing w:after="120"/>
    </w:pPr>
  </w:style>
  <w:style w:type="character" w:customStyle="1" w:styleId="SupBoldItalic">
    <w:name w:val="SupBoldItalic"/>
    <w:uiPriority w:val="1"/>
    <w:qFormat/>
    <w:rsid w:val="00C12F88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C12F88"/>
    <w:pPr>
      <w:spacing w:before="1320"/>
    </w:pPr>
  </w:style>
  <w:style w:type="paragraph" w:customStyle="1" w:styleId="AmJustTitle">
    <w:name w:val="AmJustTitle"/>
    <w:basedOn w:val="Normal"/>
    <w:next w:val="AmJustText"/>
    <w:rsid w:val="00C12F88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12F88"/>
    <w:pPr>
      <w:spacing w:before="240" w:after="240"/>
      <w:jc w:val="right"/>
    </w:pPr>
  </w:style>
  <w:style w:type="paragraph" w:customStyle="1" w:styleId="CommitteeAM">
    <w:name w:val="CommitteeAM"/>
    <w:basedOn w:val="Normal"/>
    <w:rsid w:val="00C12F8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12F8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12F8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12F8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12F88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C12F88"/>
    <w:rPr>
      <w:rFonts w:ascii="Times New Roman" w:hAnsi="Times New Roman" w:cs="Times New Roman"/>
      <w:i/>
      <w:noProof/>
    </w:rPr>
  </w:style>
  <w:style w:type="paragraph" w:customStyle="1" w:styleId="JustificationTitle">
    <w:name w:val="JustificationTitle"/>
    <w:basedOn w:val="Normal"/>
    <w:next w:val="Normal12"/>
    <w:rsid w:val="00C12F8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12F8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12F8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12F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12F88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C12F88"/>
    <w:pPr>
      <w:jc w:val="center"/>
    </w:pPr>
    <w:rPr>
      <w:rFonts w:ascii="Times New Roman" w:hAnsi="Times New Roman" w:cs="Times New Roman"/>
      <w:sz w:val="56"/>
    </w:rPr>
  </w:style>
  <w:style w:type="paragraph" w:styleId="Footer">
    <w:name w:val="footer"/>
    <w:basedOn w:val="Normal"/>
    <w:link w:val="FooterChar"/>
    <w:uiPriority w:val="99"/>
    <w:rsid w:val="00C12F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F88"/>
    <w:rPr>
      <w:sz w:val="24"/>
      <w:lang w:val="pl-PL"/>
    </w:rPr>
  </w:style>
  <w:style w:type="paragraph" w:customStyle="1" w:styleId="AmDocTypeTab">
    <w:name w:val="AmDocTypeTab"/>
    <w:basedOn w:val="Normal"/>
    <w:rsid w:val="003A0740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A074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3A0740"/>
  </w:style>
  <w:style w:type="paragraph" w:customStyle="1" w:styleId="NormalJustified">
    <w:name w:val="Normal Justified"/>
    <w:basedOn w:val="Normal"/>
    <w:rsid w:val="003A074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A074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A074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A074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A074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A074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3A074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A074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A074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A074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A074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A074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A074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A074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A074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A074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A0740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A0740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A0740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A0740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A0740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A0740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A0740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A0740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A0740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A0740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A0740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A0740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A0740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A0740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A0740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A0740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A0740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A0740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A0740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A0740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A0740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3A0740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A0740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3A0740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A0740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3A074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A0740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3A0740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A0740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3A0740"/>
    <w:pPr>
      <w:jc w:val="center"/>
    </w:pPr>
  </w:style>
  <w:style w:type="paragraph" w:customStyle="1" w:styleId="Jardin">
    <w:name w:val="Jardin"/>
    <w:basedOn w:val="Normal"/>
    <w:rsid w:val="003A074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A074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A074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A074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A0740"/>
    <w:rPr>
      <w:b/>
    </w:rPr>
  </w:style>
  <w:style w:type="paragraph" w:customStyle="1" w:styleId="Annex">
    <w:name w:val="Annex"/>
    <w:basedOn w:val="Normal"/>
    <w:next w:val="Normal"/>
    <w:rsid w:val="003A074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A074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A074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A074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A074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A074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0740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3A074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A074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A0740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A0740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3A074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A0740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3A0740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3A0740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3A0740"/>
    <w:rPr>
      <w:rFonts w:ascii="Calibri" w:eastAsia="Calibri" w:hAnsi="Calibri" w:cs="Arial"/>
      <w:color w:val="000000"/>
      <w:sz w:val="22"/>
      <w:szCs w:val="22"/>
      <w:lang w:val="pl-PL" w:eastAsia="en-US"/>
    </w:rPr>
  </w:style>
  <w:style w:type="paragraph" w:customStyle="1" w:styleId="EntText">
    <w:name w:val="EntText"/>
    <w:basedOn w:val="Normal"/>
    <w:rsid w:val="003A07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3A0740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3A0740"/>
    <w:rPr>
      <w:rFonts w:ascii="Calibri" w:hAnsi="Calibri"/>
      <w:szCs w:val="21"/>
      <w:lang w:val="pl-PL"/>
    </w:rPr>
  </w:style>
  <w:style w:type="character" w:customStyle="1" w:styleId="cf01">
    <w:name w:val="cf01"/>
    <w:basedOn w:val="DefaultParagraphFont"/>
    <w:rsid w:val="003A0740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3A0740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3A0740"/>
    <w:rPr>
      <w14:ligatures w14:val="standardContextual"/>
    </w:rPr>
  </w:style>
  <w:style w:type="paragraph" w:customStyle="1" w:styleId="s14">
    <w:name w:val="s14"/>
    <w:basedOn w:val="Normal"/>
    <w:rsid w:val="003A0740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3A0740"/>
  </w:style>
  <w:style w:type="character" w:customStyle="1" w:styleId="cf11">
    <w:name w:val="cf11"/>
    <w:basedOn w:val="DefaultParagraphFont"/>
    <w:rsid w:val="003A0740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3A0740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3A0740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3A0740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3A0740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3A0740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3A074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A074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A074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A074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A074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A074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A074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A074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A074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A0740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A0740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A0740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A0740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A0740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A0740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A0740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A074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A074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3A074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A074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A074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A074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A074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A074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A074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A074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A0740"/>
    <w:pPr>
      <w:spacing w:before="240"/>
    </w:pPr>
  </w:style>
  <w:style w:type="paragraph" w:customStyle="1" w:styleId="Accordtitre">
    <w:name w:val="Accord titre"/>
    <w:basedOn w:val="Normal"/>
    <w:rsid w:val="003A074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A074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A074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A074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A074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A074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A074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A074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A074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A074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A074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A074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A074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A074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A074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A074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A074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A074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A074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A074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A074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A074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A074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A074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A074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A07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A074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A074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3A074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A074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A0740"/>
    <w:rPr>
      <w:b/>
      <w:i/>
    </w:rPr>
  </w:style>
  <w:style w:type="character" w:customStyle="1" w:styleId="diff-tte-removed">
    <w:name w:val="diff-tte-removed"/>
    <w:basedOn w:val="DefaultParagraphFont"/>
    <w:rsid w:val="003A0740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0740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3A0740"/>
  </w:style>
  <w:style w:type="character" w:customStyle="1" w:styleId="Mention1">
    <w:name w:val="Mention1"/>
    <w:basedOn w:val="DefaultParagraphFont"/>
    <w:uiPriority w:val="99"/>
    <w:unhideWhenUsed/>
    <w:rsid w:val="003A0740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A074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A0740"/>
    <w:rPr>
      <w:color w:val="605E5C"/>
      <w:shd w:val="clear" w:color="auto" w:fill="E1DFDD"/>
    </w:rPr>
  </w:style>
  <w:style w:type="paragraph" w:styleId="List">
    <w:name w:val="List"/>
    <w:basedOn w:val="Normal"/>
    <w:uiPriority w:val="99"/>
    <w:unhideWhenUsed/>
    <w:rsid w:val="003A0740"/>
    <w:pPr>
      <w:widowControl/>
      <w:spacing w:before="120" w:after="120" w:line="360" w:lineRule="auto"/>
      <w:ind w:left="283" w:hanging="283"/>
      <w:contextualSpacing/>
    </w:pPr>
    <w:rPr>
      <w:rFonts w:eastAsia="Calibri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3A074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3A0740"/>
    <w:rPr>
      <w:rFonts w:eastAsia="Calibri"/>
      <w:sz w:val="24"/>
      <w:szCs w:val="22"/>
      <w:lang w:val="pl-PL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3A0740"/>
    <w:pPr>
      <w:widowControl/>
      <w:spacing w:before="120" w:after="120" w:line="360" w:lineRule="auto"/>
      <w:ind w:left="283"/>
    </w:pPr>
    <w:rPr>
      <w:rFonts w:eastAsia="Calibr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A0740"/>
    <w:rPr>
      <w:rFonts w:eastAsia="Calibri"/>
      <w:sz w:val="24"/>
      <w:szCs w:val="22"/>
      <w:lang w:val="pl-PL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A0740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A0740"/>
    <w:rPr>
      <w:rFonts w:eastAsia="Calibri"/>
      <w:sz w:val="24"/>
      <w:szCs w:val="22"/>
      <w:lang w:val="pl-PL" w:eastAsia="en-US"/>
    </w:rPr>
  </w:style>
  <w:style w:type="paragraph" w:styleId="ListParagraph">
    <w:name w:val="List Paragraph"/>
    <w:basedOn w:val="Normal"/>
    <w:uiPriority w:val="34"/>
    <w:qFormat/>
    <w:rsid w:val="003A0740"/>
    <w:pPr>
      <w:ind w:left="720"/>
      <w:contextualSpacing/>
    </w:pPr>
  </w:style>
  <w:style w:type="paragraph" w:styleId="PlainText">
    <w:name w:val="Plain Text"/>
    <w:basedOn w:val="Normal"/>
    <w:link w:val="PlainTextChar1"/>
    <w:rsid w:val="003A0740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3A0740"/>
    <w:rPr>
      <w:rFonts w:ascii="Consolas" w:hAnsi="Consolas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C73C1-26CC-42B0-8E5A-2E722E50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2024-08-01T09:10:00Z</dcterms:created>
  <dcterms:modified xsi:type="dcterms:W3CDTF">2024-08-01T09:10:00Z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