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5EA3" w14:paraId="58E5EC9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A98531" w14:textId="77777777" w:rsidR="00751A4A" w:rsidRPr="009F5EA3" w:rsidRDefault="009F1611" w:rsidP="0010095E">
            <w:pPr>
              <w:pStyle w:val="EPName"/>
            </w:pPr>
            <w:r w:rsidRPr="009F5EA3">
              <w:t>Parlamento Europeu</w:t>
            </w:r>
          </w:p>
          <w:p w14:paraId="4D6793CC" w14:textId="77777777" w:rsidR="00751A4A" w:rsidRPr="009F5E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5EA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99DE1A3" w14:textId="77777777" w:rsidR="00751A4A" w:rsidRPr="009F5EA3" w:rsidRDefault="00187494" w:rsidP="0010095E">
            <w:pPr>
              <w:pStyle w:val="EPLogo"/>
            </w:pPr>
            <w:r w:rsidRPr="009F5EA3">
              <w:rPr>
                <w:noProof/>
                <w:lang w:val="en-GB"/>
              </w:rPr>
              <w:drawing>
                <wp:inline distT="0" distB="0" distL="0" distR="0" wp14:anchorId="1871984F" wp14:editId="58ECD4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2A73E" w14:textId="77777777" w:rsidR="00D058B8" w:rsidRPr="009F5EA3" w:rsidRDefault="00D058B8" w:rsidP="004C5D52">
      <w:pPr>
        <w:pStyle w:val="LineTop"/>
      </w:pPr>
    </w:p>
    <w:p w14:paraId="6BC69A16" w14:textId="77777777" w:rsidR="00680577" w:rsidRPr="009F5EA3" w:rsidRDefault="009F1611" w:rsidP="00680577">
      <w:pPr>
        <w:pStyle w:val="EPBodyTA1"/>
      </w:pPr>
      <w:r w:rsidRPr="009F5EA3">
        <w:t>TEXTOS APROVADOS</w:t>
      </w:r>
    </w:p>
    <w:p w14:paraId="3D123068" w14:textId="77777777" w:rsidR="00D058B8" w:rsidRPr="009F5EA3" w:rsidRDefault="00D058B8" w:rsidP="00D058B8">
      <w:pPr>
        <w:pStyle w:val="LineBottom"/>
      </w:pPr>
    </w:p>
    <w:p w14:paraId="7DD7EDB4" w14:textId="11A0E966" w:rsidR="009F1611" w:rsidRPr="009F5EA3" w:rsidRDefault="009F1611" w:rsidP="009F1611">
      <w:pPr>
        <w:pStyle w:val="ATHeading1"/>
      </w:pPr>
      <w:bookmarkStart w:id="0" w:name="TANumber"/>
      <w:r w:rsidRPr="009F5EA3">
        <w:t>P9_</w:t>
      </w:r>
      <w:proofErr w:type="gramStart"/>
      <w:r w:rsidRPr="009F5EA3">
        <w:t>TA(</w:t>
      </w:r>
      <w:proofErr w:type="gramEnd"/>
      <w:r w:rsidRPr="009F5EA3">
        <w:t>2024)0</w:t>
      </w:r>
      <w:bookmarkEnd w:id="0"/>
      <w:r w:rsidR="009F5EA3" w:rsidRPr="009F5EA3">
        <w:t>283</w:t>
      </w:r>
    </w:p>
    <w:p w14:paraId="5FC7101E" w14:textId="20A25E1E" w:rsidR="009F1611" w:rsidRPr="009F5EA3" w:rsidRDefault="009F1611" w:rsidP="009F1611">
      <w:pPr>
        <w:pStyle w:val="ATHeading2"/>
      </w:pPr>
      <w:bookmarkStart w:id="1" w:name="title"/>
      <w:r w:rsidRPr="009F5EA3">
        <w:t xml:space="preserve">Regras comuns para os mercados internos do </w:t>
      </w:r>
      <w:r w:rsidR="00610910" w:rsidRPr="009F5EA3">
        <w:t xml:space="preserve">gás renovável, do </w:t>
      </w:r>
      <w:r w:rsidRPr="009F5EA3">
        <w:t>gás natural e do hidrogénio (reformulação)</w:t>
      </w:r>
      <w:bookmarkEnd w:id="1"/>
    </w:p>
    <w:p w14:paraId="72C2474E" w14:textId="77777777" w:rsidR="009F1611" w:rsidRPr="009F5EA3" w:rsidRDefault="009F1611" w:rsidP="009F1611">
      <w:pPr>
        <w:rPr>
          <w:i/>
          <w:vanish/>
        </w:rPr>
      </w:pPr>
      <w:r w:rsidRPr="009F5EA3">
        <w:rPr>
          <w:i/>
        </w:rPr>
        <w:fldChar w:fldCharType="begin"/>
      </w:r>
      <w:r w:rsidRPr="009F5EA3">
        <w:rPr>
          <w:i/>
        </w:rPr>
        <w:instrText xml:space="preserve"> TC"(</w:instrText>
      </w:r>
      <w:bookmarkStart w:id="2" w:name="DocNumber"/>
      <w:r w:rsidRPr="009F5EA3">
        <w:rPr>
          <w:i/>
        </w:rPr>
        <w:instrText>A9-0035/2023</w:instrText>
      </w:r>
      <w:bookmarkEnd w:id="2"/>
      <w:r w:rsidRPr="009F5EA3">
        <w:rPr>
          <w:i/>
        </w:rPr>
        <w:instrText xml:space="preserve"> - Relator: Jens Geier)"\l3 \n&gt; \* MERGEFORMAT </w:instrText>
      </w:r>
      <w:r w:rsidRPr="009F5EA3">
        <w:rPr>
          <w:i/>
        </w:rPr>
        <w:fldChar w:fldCharType="end"/>
      </w:r>
    </w:p>
    <w:p w14:paraId="22367792" w14:textId="77777777" w:rsidR="009F1611" w:rsidRPr="009F5EA3" w:rsidRDefault="009F1611" w:rsidP="009F1611">
      <w:pPr>
        <w:rPr>
          <w:vanish/>
        </w:rPr>
      </w:pPr>
      <w:bookmarkStart w:id="3" w:name="Commission"/>
      <w:r w:rsidRPr="009F5EA3">
        <w:rPr>
          <w:vanish/>
        </w:rPr>
        <w:t>Comissão da Indústria, da Investigação e da Energia</w:t>
      </w:r>
      <w:bookmarkEnd w:id="3"/>
    </w:p>
    <w:p w14:paraId="1E95D5D0" w14:textId="77777777" w:rsidR="009F1611" w:rsidRPr="009F5EA3" w:rsidRDefault="009F1611" w:rsidP="009F1611">
      <w:pPr>
        <w:rPr>
          <w:vanish/>
        </w:rPr>
      </w:pPr>
      <w:bookmarkStart w:id="4" w:name="PE"/>
      <w:r w:rsidRPr="009F5EA3">
        <w:rPr>
          <w:vanish/>
        </w:rPr>
        <w:t>PE732.908</w:t>
      </w:r>
      <w:bookmarkEnd w:id="4"/>
    </w:p>
    <w:p w14:paraId="753841C2" w14:textId="5B06F3CC" w:rsidR="009F1611" w:rsidRPr="009F5EA3" w:rsidRDefault="009F1611" w:rsidP="009F1611">
      <w:pPr>
        <w:pStyle w:val="ATHeading3"/>
      </w:pPr>
      <w:bookmarkStart w:id="5" w:name="Sujet"/>
      <w:r w:rsidRPr="009F5EA3">
        <w:t xml:space="preserve">Resolução legislativa do Parlamento Europeu, de </w:t>
      </w:r>
      <w:r w:rsidR="001F6A78" w:rsidRPr="009F5EA3">
        <w:t>11</w:t>
      </w:r>
      <w:r w:rsidRPr="009F5EA3">
        <w:t xml:space="preserve"> de </w:t>
      </w:r>
      <w:r w:rsidR="001F6A78" w:rsidRPr="009F5EA3">
        <w:t>abril</w:t>
      </w:r>
      <w:r w:rsidRPr="009F5EA3">
        <w:t xml:space="preserve"> de 2024, sobre a proposta de diretiva do Parlamento Europeu e do Conselho relativa a regras comuns para os mercados internos do gás natural e gases renováveis e do hidrogénio (reformulação)</w:t>
      </w:r>
      <w:bookmarkEnd w:id="5"/>
      <w:r w:rsidRPr="009F5EA3">
        <w:t xml:space="preserve"> </w:t>
      </w:r>
      <w:bookmarkStart w:id="6" w:name="References"/>
      <w:r w:rsidRPr="009F5EA3">
        <w:t>(</w:t>
      </w:r>
      <w:proofErr w:type="gramStart"/>
      <w:r w:rsidRPr="009F5EA3">
        <w:t>COM(</w:t>
      </w:r>
      <w:proofErr w:type="gramEnd"/>
      <w:r w:rsidRPr="009F5EA3">
        <w:t>2021)0803 – C9-0468/2021 – 2021/0425(COD))</w:t>
      </w:r>
      <w:bookmarkEnd w:id="6"/>
    </w:p>
    <w:p w14:paraId="0A3FAE55" w14:textId="77777777" w:rsidR="009F1611" w:rsidRPr="009F5EA3" w:rsidRDefault="009F1611" w:rsidP="009F1611"/>
    <w:p w14:paraId="480FBA49" w14:textId="22BD6FD8" w:rsidR="009C210B" w:rsidRPr="009F5EA3" w:rsidRDefault="009C210B" w:rsidP="009C210B">
      <w:pPr>
        <w:pStyle w:val="NormalBold"/>
      </w:pPr>
      <w:bookmarkStart w:id="7" w:name="TextBodyBegin"/>
      <w:bookmarkEnd w:id="7"/>
      <w:r w:rsidRPr="009F5EA3">
        <w:t>(Processo legislativo ordinário</w:t>
      </w:r>
      <w:r w:rsidR="001F6A78" w:rsidRPr="009F5EA3">
        <w:t xml:space="preserve"> –</w:t>
      </w:r>
      <w:r w:rsidRPr="009F5EA3">
        <w:t xml:space="preserve"> </w:t>
      </w:r>
      <w:r w:rsidR="001F6A78" w:rsidRPr="009F5EA3">
        <w:t>reformulação</w:t>
      </w:r>
      <w:r w:rsidRPr="009F5EA3">
        <w:t>)</w:t>
      </w:r>
    </w:p>
    <w:p w14:paraId="1E6A6055" w14:textId="77777777" w:rsidR="009C210B" w:rsidRPr="009F5EA3" w:rsidRDefault="009C210B" w:rsidP="009C210B">
      <w:pPr>
        <w:pStyle w:val="EPComma"/>
      </w:pPr>
      <w:r w:rsidRPr="009F5EA3">
        <w:rPr>
          <w:i/>
        </w:rPr>
        <w:t>O Parlamento Europeu</w:t>
      </w:r>
      <w:r w:rsidRPr="009F5EA3">
        <w:t>,</w:t>
      </w:r>
    </w:p>
    <w:p w14:paraId="71FE603D" w14:textId="58787DD2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a proposta da Comissão ao Parlamento e ao Conselho (</w:t>
      </w:r>
      <w:proofErr w:type="gramStart"/>
      <w:r w:rsidRPr="009F5EA3">
        <w:t>COM(</w:t>
      </w:r>
      <w:proofErr w:type="gramEnd"/>
      <w:r w:rsidRPr="009F5EA3">
        <w:t>2021)0803),</w:t>
      </w:r>
    </w:p>
    <w:p w14:paraId="46BEE950" w14:textId="77777777" w:rsidR="009C210B" w:rsidRPr="009F5EA3" w:rsidRDefault="009C210B" w:rsidP="009C210B">
      <w:pPr>
        <w:pStyle w:val="NormalHanging12a"/>
      </w:pPr>
      <w:bookmarkStart w:id="8" w:name="_Toc105399652"/>
      <w:bookmarkStart w:id="9" w:name="_Toc96425345"/>
      <w:r w:rsidRPr="009F5EA3">
        <w:t>–</w:t>
      </w:r>
      <w:r w:rsidRPr="009F5EA3">
        <w:tab/>
        <w:t>Tendo em conta o artigo 294.º, n.º 2, e o artigo 194.º, n.º 2, do Tratado sobre o Funcionamento da União Europeia, nos termos dos quais a proposta lhe foi apresentada pela Comissão (C9</w:t>
      </w:r>
      <w:r w:rsidRPr="009F5EA3">
        <w:noBreakHyphen/>
        <w:t>0468/2021),</w:t>
      </w:r>
    </w:p>
    <w:p w14:paraId="2509844C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 artigo 294.º, n.º 3, do Tratado sobre o Funcionamento da União Europeia,</w:t>
      </w:r>
    </w:p>
    <w:p w14:paraId="7925101A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os pareceres fundamentados apresentados pela Câmara dos Deputados checa e pelo Senado checo, no âmbito do Protocolo n.º 2 relativo à aplicação dos princípios da subsidiariedade e da proporcionalidade, segundo os quais o projeto de ato legislativo não respeita o princípio da subsidiariedade,</w:t>
      </w:r>
    </w:p>
    <w:p w14:paraId="1DE7B400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 parecer do Comité Económico e Social Europeu, de 19 de maio de 2022</w:t>
      </w:r>
      <w:r w:rsidRPr="009F5EA3">
        <w:rPr>
          <w:rStyle w:val="FootnoteReference"/>
        </w:rPr>
        <w:footnoteReference w:id="1"/>
      </w:r>
      <w:r w:rsidRPr="009F5EA3">
        <w:t>,</w:t>
      </w:r>
    </w:p>
    <w:p w14:paraId="5CF135E5" w14:textId="4B6FD6CA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 parecer do Comité das Regiões, de 1</w:t>
      </w:r>
      <w:r w:rsidR="001F6A78" w:rsidRPr="009F5EA3">
        <w:t>2</w:t>
      </w:r>
      <w:r w:rsidRPr="009F5EA3">
        <w:t xml:space="preserve"> de outubro de 2022</w:t>
      </w:r>
      <w:r w:rsidRPr="009F5EA3">
        <w:rPr>
          <w:rStyle w:val="FootnoteReference"/>
        </w:rPr>
        <w:footnoteReference w:id="2"/>
      </w:r>
      <w:r w:rsidRPr="009F5EA3">
        <w:t>,</w:t>
      </w:r>
    </w:p>
    <w:p w14:paraId="2CAD807D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 Acordo Interinstitucional, de 28 de novembro de 2001, para um recurso mais estruturado à técnica de reformulação dos atos jurídicos</w:t>
      </w:r>
      <w:r w:rsidRPr="009F5EA3">
        <w:rPr>
          <w:rStyle w:val="FootnoteReference"/>
        </w:rPr>
        <w:footnoteReference w:id="3"/>
      </w:r>
      <w:r w:rsidRPr="009F5EA3">
        <w:t>,</w:t>
      </w:r>
    </w:p>
    <w:p w14:paraId="1726FD46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 xml:space="preserve">Tendo em conta a carta que, em 2 de fevereiro de 2023, a Comissão dos Assuntos Jurídicos endereçou à Comissão da Indústria, da Investigação e da Energia, nos termos </w:t>
      </w:r>
      <w:r w:rsidRPr="009F5EA3">
        <w:lastRenderedPageBreak/>
        <w:t>do artigo 110.º, n.º 3, do seu Regimento,</w:t>
      </w:r>
    </w:p>
    <w:p w14:paraId="4DCF334E" w14:textId="1C8FDE80" w:rsidR="001F6A78" w:rsidRPr="009F5EA3" w:rsidRDefault="001F6A78" w:rsidP="009C210B">
      <w:pPr>
        <w:pStyle w:val="NormalHanging12a"/>
      </w:pPr>
      <w:r w:rsidRPr="009F5EA3">
        <w:t>–</w:t>
      </w:r>
      <w:r w:rsidRPr="009F5EA3">
        <w:tab/>
        <w:t>Tendo em conta o acordo provisório aprovado pela comissão competente, nos termos do artigo 74.º, n.º 4, do seu Regimento, e o compromisso assumido pelo representante do Conselho, em carta de 20 de dezembro de 202</w:t>
      </w:r>
      <w:r w:rsidR="00EE469D" w:rsidRPr="009F5EA3">
        <w:t>3</w:t>
      </w:r>
      <w:r w:rsidRPr="009F5EA3">
        <w:t>, de aprovar a posição do Parlamento, nos termos do artigo 294.º, n.º 4, do Tratado sobre o Funcionamento da União Europeia,</w:t>
      </w:r>
    </w:p>
    <w:p w14:paraId="20F01F1D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os artigos 110.º e 59.º do seu Regimento,</w:t>
      </w:r>
    </w:p>
    <w:p w14:paraId="36E664F7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os pareceres da Comissão do Mercado Interno e da Proteção dos Consumidores e da Comissão da Agricultura e do Desenvolvimento Rural,</w:t>
      </w:r>
    </w:p>
    <w:p w14:paraId="3FBC31DF" w14:textId="77777777" w:rsidR="009C210B" w:rsidRPr="009F5EA3" w:rsidRDefault="009C210B" w:rsidP="009C210B">
      <w:pPr>
        <w:pStyle w:val="NormalHanging12a"/>
      </w:pPr>
      <w:r w:rsidRPr="009F5EA3">
        <w:t>–</w:t>
      </w:r>
      <w:r w:rsidRPr="009F5EA3">
        <w:tab/>
        <w:t>Tendo em conta o relatório da Comissão da Indústria, da Investigação e da Energia (A9</w:t>
      </w:r>
      <w:r w:rsidRPr="009F5EA3">
        <w:noBreakHyphen/>
        <w:t>0035/2023),</w:t>
      </w:r>
    </w:p>
    <w:p w14:paraId="31D1FF32" w14:textId="77777777" w:rsidR="009C210B" w:rsidRPr="009F5EA3" w:rsidRDefault="009C210B" w:rsidP="009C210B">
      <w:pPr>
        <w:pStyle w:val="NormalHanging12a"/>
      </w:pPr>
      <w:r w:rsidRPr="009F5EA3">
        <w:t>A.</w:t>
      </w:r>
      <w:r w:rsidRPr="009F5EA3">
        <w:tab/>
        <w:t>Considerando que o Grupo Consultivo dos Serviços Jurídicos do Parlamento Europeu, do Conselho e da Comissão concluiu, no seu parecer, que a proposta da Comissão não contém alterações de fundo para além das que nela foram identificadas como tal e que, no que diz respeito à codificação das disposições inalteradas dos atos precedentes com as referidas alterações, a proposta se cinge à codificação pura e simples dos atos existentes, sem alterações substantivas;</w:t>
      </w:r>
    </w:p>
    <w:p w14:paraId="6037EA11" w14:textId="77777777" w:rsidR="009C210B" w:rsidRPr="009F5EA3" w:rsidRDefault="009C210B" w:rsidP="009C210B">
      <w:pPr>
        <w:pStyle w:val="NormalHanging12a"/>
      </w:pPr>
      <w:proofErr w:type="gramStart"/>
      <w:r w:rsidRPr="009F5EA3">
        <w:t>1.</w:t>
      </w:r>
      <w:r w:rsidRPr="009F5EA3">
        <w:tab/>
        <w:t>Aprova</w:t>
      </w:r>
      <w:proofErr w:type="gramEnd"/>
      <w:r w:rsidRPr="009F5EA3">
        <w:t xml:space="preserve"> a posição em primeira leitura que se segue, tendo em conta as recomendações do Grupo Consultivo dos Serviços Jurídicos do Parlamento Europeu, do Conselho e da Comissão;</w:t>
      </w:r>
    </w:p>
    <w:p w14:paraId="5C1B8443" w14:textId="77777777" w:rsidR="009C210B" w:rsidRPr="009F5EA3" w:rsidRDefault="009C210B" w:rsidP="009C210B">
      <w:pPr>
        <w:pStyle w:val="NormalHanging12a"/>
      </w:pPr>
      <w:r w:rsidRPr="009F5EA3">
        <w:t>2.</w:t>
      </w:r>
      <w:r w:rsidRPr="009F5EA3">
        <w:tab/>
        <w:t>Requer à Comissão que lhe submeta de novo a sua proposta, se a substituir, se a alterar substancialmente ou se pretender alterá</w:t>
      </w:r>
      <w:r w:rsidRPr="009F5EA3">
        <w:noBreakHyphen/>
        <w:t>la substancialmente;</w:t>
      </w:r>
    </w:p>
    <w:p w14:paraId="77D21CCB" w14:textId="520AB29C" w:rsidR="008B7FBF" w:rsidRPr="009F5EA3" w:rsidRDefault="009C210B" w:rsidP="008B7FBF">
      <w:pPr>
        <w:pStyle w:val="NormalHanging12a"/>
      </w:pPr>
      <w:proofErr w:type="gramStart"/>
      <w:r w:rsidRPr="009F5EA3">
        <w:t>3.</w:t>
      </w:r>
      <w:r w:rsidRPr="009F5EA3">
        <w:tab/>
        <w:t>Encarrega</w:t>
      </w:r>
      <w:proofErr w:type="gramEnd"/>
      <w:r w:rsidRPr="009F5EA3">
        <w:t xml:space="preserve"> a sua Presidente de transmitir a posição do Parlamento ao Conselho</w:t>
      </w:r>
      <w:r w:rsidR="00EE469D" w:rsidRPr="009F5EA3">
        <w:t>,</w:t>
      </w:r>
      <w:r w:rsidRPr="009F5EA3">
        <w:t xml:space="preserve"> à Comissão</w:t>
      </w:r>
      <w:r w:rsidR="00EE469D" w:rsidRPr="009F5EA3">
        <w:t xml:space="preserve"> e</w:t>
      </w:r>
      <w:r w:rsidRPr="009F5EA3">
        <w:t xml:space="preserve"> aos parlamentos nacionais.</w:t>
      </w:r>
    </w:p>
    <w:p w14:paraId="52A7801F" w14:textId="77777777" w:rsidR="008B7FBF" w:rsidRPr="009F5EA3" w:rsidRDefault="008B7FBF" w:rsidP="009C210B">
      <w:pPr>
        <w:pStyle w:val="AmNumberTabs"/>
        <w:keepNext/>
        <w:sectPr w:rsidR="008B7FBF" w:rsidRPr="009F5EA3" w:rsidSect="007A50D5">
          <w:footerReference w:type="even" r:id="rId9"/>
          <w:footerReference w:type="first" r:id="rId10"/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14:paraId="7EEB0025" w14:textId="472B1167" w:rsidR="00E365E1" w:rsidRPr="009F5EA3" w:rsidRDefault="00F34305" w:rsidP="006E1954">
      <w:pPr>
        <w:pStyle w:val="AmNumberTabs"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rPr>
          <w:rFonts w:eastAsia="Calibri"/>
          <w:bCs/>
          <w:color w:val="000000"/>
          <w:szCs w:val="24"/>
        </w:rPr>
      </w:pPr>
      <w:bookmarkStart w:id="10" w:name="TextBodyEnd"/>
      <w:bookmarkEnd w:id="8"/>
      <w:bookmarkEnd w:id="9"/>
      <w:bookmarkEnd w:id="10"/>
      <w:r w:rsidRPr="009F5EA3">
        <w:rPr>
          <w:rFonts w:eastAsia="Calibri"/>
          <w:bCs/>
          <w:color w:val="000000"/>
          <w:szCs w:val="24"/>
        </w:rPr>
        <w:lastRenderedPageBreak/>
        <w:t>P9_TC1-</w:t>
      </w:r>
      <w:proofErr w:type="gramStart"/>
      <w:r w:rsidRPr="009F5EA3">
        <w:rPr>
          <w:rFonts w:eastAsia="Calibri"/>
          <w:bCs/>
          <w:color w:val="000000"/>
          <w:szCs w:val="24"/>
        </w:rPr>
        <w:t>COD(</w:t>
      </w:r>
      <w:proofErr w:type="gramEnd"/>
      <w:r w:rsidRPr="009F5EA3">
        <w:rPr>
          <w:rFonts w:eastAsia="Calibri"/>
          <w:bCs/>
          <w:color w:val="000000"/>
          <w:szCs w:val="24"/>
        </w:rPr>
        <w:t>2021)0425</w:t>
      </w:r>
    </w:p>
    <w:p w14:paraId="5A47719C" w14:textId="762E2DB4" w:rsidR="00F34305" w:rsidRPr="00C720B1" w:rsidRDefault="00F34305" w:rsidP="006E1954">
      <w:pPr>
        <w:pStyle w:val="AmNumberTabs"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</w:pPr>
      <w:r w:rsidRPr="009F5EA3">
        <w:t>Posição do Parlamento Europeu aprovada em primeira leitura em 1</w:t>
      </w:r>
      <w:r w:rsidR="008C46B6" w:rsidRPr="009F5EA3">
        <w:t>1</w:t>
      </w:r>
      <w:r w:rsidRPr="009F5EA3">
        <w:t xml:space="preserve"> de abril de 2024 tendo em vista a adoção da Diretiva (UE) 2024/... do Parlamento Europeu e do Conselho relativa a regras comuns para os mercados internos do gás renovável, do gás natural e </w:t>
      </w:r>
      <w:bookmarkStart w:id="11" w:name="_GoBack"/>
      <w:r w:rsidRPr="00C720B1">
        <w:t>do hidrogénio, que altera a Diretiva (UE) 2023/1791 e revoga a Diretiva 2009/73/CE (reformulação)</w:t>
      </w:r>
    </w:p>
    <w:bookmarkEnd w:id="11"/>
    <w:p w14:paraId="649C38E4" w14:textId="6BA04803" w:rsidR="006E1954" w:rsidRPr="006E1954" w:rsidRDefault="006E1954" w:rsidP="006E1954">
      <w:pPr>
        <w:pStyle w:val="AmNumberTabs"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rPr>
          <w:b w:val="0"/>
          <w:i/>
        </w:rPr>
      </w:pPr>
      <w:r w:rsidRPr="006E1954">
        <w:rPr>
          <w:b w:val="0"/>
          <w:i/>
        </w:rPr>
        <w:t xml:space="preserve">(Uma vez que foi alcançado um acordo entre o Parlamento e o Conselho, a posição do Parlamento corresponde ao texto legislativo final, </w:t>
      </w:r>
      <w:r>
        <w:rPr>
          <w:b w:val="0"/>
          <w:i/>
        </w:rPr>
        <w:t>Diretiva (UE) 2024/1788</w:t>
      </w:r>
      <w:r w:rsidRPr="006E1954">
        <w:rPr>
          <w:b w:val="0"/>
          <w:i/>
        </w:rPr>
        <w:t>.)</w:t>
      </w:r>
    </w:p>
    <w:sectPr w:rsidR="006E1954" w:rsidRPr="006E1954" w:rsidSect="006E19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26570" w14:textId="77777777" w:rsidR="009F1611" w:rsidRPr="007A50D5" w:rsidRDefault="009F1611">
      <w:r w:rsidRPr="007A50D5">
        <w:separator/>
      </w:r>
    </w:p>
  </w:endnote>
  <w:endnote w:type="continuationSeparator" w:id="0">
    <w:p w14:paraId="5A934EAB" w14:textId="77777777" w:rsidR="009F1611" w:rsidRPr="007A50D5" w:rsidRDefault="009F1611">
      <w:r w:rsidRPr="007A50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A6D04" w14:textId="77777777" w:rsidR="009C210B" w:rsidRPr="007A50D5" w:rsidRDefault="009C210B" w:rsidP="00445FAA">
    <w:pPr>
      <w:pStyle w:val="EPFooter"/>
    </w:pPr>
    <w:r w:rsidRPr="007A50D5">
      <w:t>PE</w:t>
    </w:r>
    <w:r w:rsidRPr="007A50D5">
      <w:rPr>
        <w:rStyle w:val="HideTWBExt"/>
      </w:rPr>
      <w:t>&lt;</w:t>
    </w:r>
    <w:proofErr w:type="spellStart"/>
    <w:r w:rsidRPr="007A50D5">
      <w:rPr>
        <w:rStyle w:val="HideTWBExt"/>
      </w:rPr>
      <w:t>NoPE</w:t>
    </w:r>
    <w:proofErr w:type="spellEnd"/>
    <w:r w:rsidRPr="007A50D5">
      <w:rPr>
        <w:rStyle w:val="HideTWBExt"/>
      </w:rPr>
      <w:t>&gt;</w:t>
    </w:r>
    <w:r w:rsidRPr="007A50D5">
      <w:t>732.908</w:t>
    </w:r>
    <w:r w:rsidRPr="007A50D5">
      <w:rPr>
        <w:rStyle w:val="HideTWBExt"/>
      </w:rPr>
      <w:t>&lt;/</w:t>
    </w:r>
    <w:proofErr w:type="spellStart"/>
    <w:r w:rsidRPr="007A50D5">
      <w:rPr>
        <w:rStyle w:val="HideTWBExt"/>
      </w:rPr>
      <w:t>NoPE</w:t>
    </w:r>
    <w:proofErr w:type="spellEnd"/>
    <w:r w:rsidRPr="007A50D5">
      <w:rPr>
        <w:rStyle w:val="HideTWBExt"/>
      </w:rPr>
      <w:t>&gt;&lt;Version&gt;</w:t>
    </w:r>
    <w:r w:rsidRPr="007A50D5">
      <w:t>v02</w:t>
    </w:r>
    <w:r w:rsidRPr="007A50D5">
      <w:noBreakHyphen/>
      <w:t>00</w:t>
    </w:r>
    <w:r w:rsidRPr="007A50D5">
      <w:rPr>
        <w:rStyle w:val="HideTWBExt"/>
      </w:rPr>
      <w:t>&lt;/</w:t>
    </w:r>
    <w:proofErr w:type="spellStart"/>
    <w:r w:rsidRPr="007A50D5">
      <w:rPr>
        <w:rStyle w:val="HideTWBExt"/>
      </w:rPr>
      <w:t>Version</w:t>
    </w:r>
    <w:proofErr w:type="spellEnd"/>
    <w:r w:rsidRPr="007A50D5">
      <w:rPr>
        <w:rStyle w:val="HideTWBExt"/>
      </w:rPr>
      <w:t>&gt;</w:t>
    </w:r>
    <w:r w:rsidRPr="007A50D5">
      <w:tab/>
    </w:r>
    <w:r w:rsidRPr="007A50D5">
      <w:fldChar w:fldCharType="begin"/>
    </w:r>
    <w:r w:rsidRPr="007A50D5">
      <w:instrText xml:space="preserve"> PAGE  \* MERGEFORMAT </w:instrText>
    </w:r>
    <w:r w:rsidRPr="007A50D5">
      <w:fldChar w:fldCharType="separate"/>
    </w:r>
    <w:r w:rsidRPr="007A50D5">
      <w:rPr>
        <w:noProof/>
      </w:rPr>
      <w:t>206</w:t>
    </w:r>
    <w:r w:rsidRPr="007A50D5">
      <w:fldChar w:fldCharType="end"/>
    </w:r>
    <w:r w:rsidRPr="007A50D5">
      <w:t>/</w:t>
    </w:r>
    <w:r w:rsidR="00C720B1">
      <w:fldChar w:fldCharType="begin"/>
    </w:r>
    <w:r w:rsidR="00C720B1">
      <w:instrText xml:space="preserve"> NUMPAGES  \* MERGEFORMAT </w:instrText>
    </w:r>
    <w:r w:rsidR="00C720B1">
      <w:fldChar w:fldCharType="separate"/>
    </w:r>
    <w:r w:rsidRPr="007A50D5">
      <w:rPr>
        <w:noProof/>
      </w:rPr>
      <w:t>206</w:t>
    </w:r>
    <w:r w:rsidR="00C720B1">
      <w:rPr>
        <w:noProof/>
      </w:rPr>
      <w:fldChar w:fldCharType="end"/>
    </w:r>
    <w:r w:rsidRPr="007A50D5">
      <w:tab/>
    </w:r>
    <w:r w:rsidRPr="007A50D5">
      <w:rPr>
        <w:rStyle w:val="HideTWBExt"/>
      </w:rPr>
      <w:t>&lt;PathFdR&gt;</w:t>
    </w:r>
    <w:r w:rsidRPr="007A50D5">
      <w:t>RR\1273127_S5HCNPT.docx</w:t>
    </w:r>
    <w:r w:rsidRPr="007A50D5">
      <w:rPr>
        <w:rStyle w:val="HideTWBExt"/>
      </w:rPr>
      <w:t>&lt;/</w:t>
    </w:r>
    <w:proofErr w:type="spellStart"/>
    <w:r w:rsidRPr="007A50D5">
      <w:rPr>
        <w:rStyle w:val="HideTWBExt"/>
      </w:rPr>
      <w:t>PathFdR</w:t>
    </w:r>
    <w:proofErr w:type="spellEnd"/>
    <w:r w:rsidRPr="007A50D5">
      <w:rPr>
        <w:rStyle w:val="HideTWBExt"/>
      </w:rPr>
      <w:t>&gt;</w:t>
    </w:r>
  </w:p>
  <w:p w14:paraId="1C350A32" w14:textId="77777777" w:rsidR="009C210B" w:rsidRPr="007A50D5" w:rsidRDefault="009C210B" w:rsidP="00445FAA">
    <w:pPr>
      <w:pStyle w:val="EPFooter2"/>
    </w:pPr>
    <w:r w:rsidRPr="007A50D5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FFDD3" w14:textId="77777777" w:rsidR="009C210B" w:rsidRPr="007A50D5" w:rsidRDefault="009C210B" w:rsidP="00445FAA">
    <w:pPr>
      <w:pStyle w:val="EPFooter"/>
    </w:pPr>
    <w:r w:rsidRPr="007A50D5">
      <w:rPr>
        <w:rStyle w:val="HideTWBExt"/>
      </w:rPr>
      <w:t>&lt;PathFdR&gt;</w:t>
    </w:r>
    <w:r w:rsidRPr="007A50D5">
      <w:t>RR\1273127_S5HCNPT.docx</w:t>
    </w:r>
    <w:r w:rsidRPr="007A50D5">
      <w:rPr>
        <w:rStyle w:val="HideTWBExt"/>
      </w:rPr>
      <w:t>&lt;/</w:t>
    </w:r>
    <w:proofErr w:type="spellStart"/>
    <w:r w:rsidRPr="007A50D5">
      <w:rPr>
        <w:rStyle w:val="HideTWBExt"/>
      </w:rPr>
      <w:t>PathFdR</w:t>
    </w:r>
    <w:proofErr w:type="spellEnd"/>
    <w:r w:rsidRPr="007A50D5">
      <w:rPr>
        <w:rStyle w:val="HideTWBExt"/>
      </w:rPr>
      <w:t>&gt;</w:t>
    </w:r>
    <w:r w:rsidRPr="007A50D5">
      <w:tab/>
    </w:r>
    <w:r w:rsidRPr="007A50D5">
      <w:tab/>
      <w:t>PE</w:t>
    </w:r>
    <w:r w:rsidRPr="007A50D5">
      <w:rPr>
        <w:rStyle w:val="HideTWBExt"/>
      </w:rPr>
      <w:t>&lt;</w:t>
    </w:r>
    <w:proofErr w:type="spellStart"/>
    <w:r w:rsidRPr="007A50D5">
      <w:rPr>
        <w:rStyle w:val="HideTWBExt"/>
      </w:rPr>
      <w:t>NoPE</w:t>
    </w:r>
    <w:proofErr w:type="spellEnd"/>
    <w:r w:rsidRPr="007A50D5">
      <w:rPr>
        <w:rStyle w:val="HideTWBExt"/>
      </w:rPr>
      <w:t>&gt;</w:t>
    </w:r>
    <w:r w:rsidRPr="007A50D5">
      <w:t>732.908</w:t>
    </w:r>
    <w:r w:rsidRPr="007A50D5">
      <w:rPr>
        <w:rStyle w:val="HideTWBExt"/>
      </w:rPr>
      <w:t>&lt;/</w:t>
    </w:r>
    <w:proofErr w:type="spellStart"/>
    <w:r w:rsidRPr="007A50D5">
      <w:rPr>
        <w:rStyle w:val="HideTWBExt"/>
      </w:rPr>
      <w:t>NoPE</w:t>
    </w:r>
    <w:proofErr w:type="spellEnd"/>
    <w:r w:rsidRPr="007A50D5">
      <w:rPr>
        <w:rStyle w:val="HideTWBExt"/>
      </w:rPr>
      <w:t>&gt;&lt;Version&gt;</w:t>
    </w:r>
    <w:r w:rsidRPr="007A50D5">
      <w:t>v02</w:t>
    </w:r>
    <w:r w:rsidRPr="007A50D5">
      <w:noBreakHyphen/>
      <w:t>00</w:t>
    </w:r>
    <w:r w:rsidRPr="007A50D5">
      <w:rPr>
        <w:rStyle w:val="HideTWBExt"/>
      </w:rPr>
      <w:t>&lt;/</w:t>
    </w:r>
    <w:proofErr w:type="spellStart"/>
    <w:r w:rsidRPr="007A50D5">
      <w:rPr>
        <w:rStyle w:val="HideTWBExt"/>
      </w:rPr>
      <w:t>Version</w:t>
    </w:r>
    <w:proofErr w:type="spellEnd"/>
    <w:r w:rsidRPr="007A50D5">
      <w:rPr>
        <w:rStyle w:val="HideTWBExt"/>
      </w:rPr>
      <w:t>&gt;</w:t>
    </w:r>
  </w:p>
  <w:p w14:paraId="1E494B64" w14:textId="77777777" w:rsidR="009C210B" w:rsidRPr="007A50D5" w:rsidRDefault="009C210B" w:rsidP="00445FAA">
    <w:pPr>
      <w:pStyle w:val="EPFooter2"/>
    </w:pPr>
    <w:r w:rsidRPr="007A50D5">
      <w:t>PT</w:t>
    </w:r>
    <w:r w:rsidRPr="007A50D5">
      <w:tab/>
    </w:r>
    <w:r w:rsidRPr="007A50D5">
      <w:rPr>
        <w:b w:val="0"/>
        <w:i/>
        <w:color w:val="C0C0C0"/>
        <w:sz w:val="22"/>
      </w:rPr>
      <w:t>Unida na diversidade</w:t>
    </w:r>
    <w:r w:rsidRPr="007A50D5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92078" w14:textId="77777777" w:rsidR="00064002" w:rsidRPr="007A50D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A65E1" w14:textId="77777777" w:rsidR="00064002" w:rsidRPr="007A50D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1D6D2" w14:textId="77777777" w:rsidR="00064002" w:rsidRPr="007A50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B2B31" w14:textId="77777777" w:rsidR="009F1611" w:rsidRPr="007A50D5" w:rsidRDefault="009F1611">
      <w:r w:rsidRPr="007A50D5">
        <w:separator/>
      </w:r>
    </w:p>
  </w:footnote>
  <w:footnote w:type="continuationSeparator" w:id="0">
    <w:p w14:paraId="23D56114" w14:textId="77777777" w:rsidR="009F1611" w:rsidRPr="007A50D5" w:rsidRDefault="009F1611">
      <w:r w:rsidRPr="007A50D5">
        <w:continuationSeparator/>
      </w:r>
    </w:p>
  </w:footnote>
  <w:footnote w:id="1">
    <w:p w14:paraId="1D9BE350" w14:textId="77777777" w:rsidR="009C210B" w:rsidRPr="001F6A78" w:rsidRDefault="009C210B" w:rsidP="007A50D5">
      <w:pPr>
        <w:pStyle w:val="FootnoteText"/>
        <w:ind w:left="567" w:hanging="567"/>
        <w:rPr>
          <w:sz w:val="24"/>
          <w:szCs w:val="24"/>
          <w:lang w:val="da-DK"/>
        </w:rPr>
      </w:pPr>
      <w:r w:rsidRPr="007A50D5">
        <w:rPr>
          <w:rStyle w:val="FootnoteReference"/>
          <w:sz w:val="24"/>
          <w:szCs w:val="24"/>
          <w:lang w:val="pt-PT"/>
        </w:rPr>
        <w:footnoteRef/>
      </w:r>
      <w:r w:rsidR="007A50D5" w:rsidRPr="001F6A78">
        <w:rPr>
          <w:sz w:val="24"/>
          <w:lang w:val="da-DK"/>
        </w:rPr>
        <w:t xml:space="preserve"> </w:t>
      </w:r>
      <w:r w:rsidR="007A50D5" w:rsidRPr="001F6A78">
        <w:rPr>
          <w:sz w:val="24"/>
          <w:lang w:val="da-DK"/>
        </w:rPr>
        <w:tab/>
      </w:r>
      <w:r w:rsidRPr="001F6A78">
        <w:rPr>
          <w:sz w:val="24"/>
          <w:lang w:val="da-DK"/>
        </w:rPr>
        <w:t>JO C 323 de 26.8.2022, p. 101.</w:t>
      </w:r>
    </w:p>
  </w:footnote>
  <w:footnote w:id="2">
    <w:p w14:paraId="006C46A3" w14:textId="77777777" w:rsidR="009C210B" w:rsidRPr="001F6A78" w:rsidRDefault="009C210B" w:rsidP="007A50D5">
      <w:pPr>
        <w:pStyle w:val="FootnoteText"/>
        <w:ind w:left="567" w:hanging="567"/>
        <w:rPr>
          <w:sz w:val="24"/>
          <w:szCs w:val="24"/>
          <w:lang w:val="da-DK"/>
        </w:rPr>
      </w:pPr>
      <w:r w:rsidRPr="007A50D5">
        <w:rPr>
          <w:rStyle w:val="FootnoteReference"/>
          <w:sz w:val="24"/>
          <w:szCs w:val="24"/>
          <w:lang w:val="pt-PT"/>
        </w:rPr>
        <w:footnoteRef/>
      </w:r>
      <w:r w:rsidR="007A50D5" w:rsidRPr="001F6A78">
        <w:rPr>
          <w:sz w:val="24"/>
          <w:lang w:val="da-DK"/>
        </w:rPr>
        <w:t xml:space="preserve"> </w:t>
      </w:r>
      <w:r w:rsidR="007A50D5" w:rsidRPr="001F6A78">
        <w:rPr>
          <w:sz w:val="24"/>
          <w:lang w:val="da-DK"/>
        </w:rPr>
        <w:tab/>
      </w:r>
      <w:r w:rsidRPr="001F6A78">
        <w:rPr>
          <w:sz w:val="24"/>
          <w:lang w:val="da-DK"/>
        </w:rPr>
        <w:t>JO C 498 de 30.12.2022, p. 83.</w:t>
      </w:r>
    </w:p>
  </w:footnote>
  <w:footnote w:id="3">
    <w:p w14:paraId="54DE9522" w14:textId="77777777" w:rsidR="009C210B" w:rsidRPr="00A63F9C" w:rsidRDefault="009C210B" w:rsidP="007A50D5">
      <w:pPr>
        <w:pStyle w:val="FootnoteText"/>
        <w:ind w:left="567" w:hanging="567"/>
        <w:rPr>
          <w:sz w:val="24"/>
          <w:szCs w:val="24"/>
          <w:lang w:val="da-DK"/>
        </w:rPr>
      </w:pPr>
      <w:r w:rsidRPr="007A50D5">
        <w:rPr>
          <w:rStyle w:val="FootnoteReference"/>
          <w:sz w:val="24"/>
          <w:szCs w:val="24"/>
          <w:lang w:val="pt-PT"/>
        </w:rPr>
        <w:footnoteRef/>
      </w:r>
      <w:r w:rsidR="007A50D5" w:rsidRPr="00A63F9C">
        <w:rPr>
          <w:sz w:val="24"/>
          <w:lang w:val="da-DK"/>
        </w:rPr>
        <w:t xml:space="preserve"> </w:t>
      </w:r>
      <w:r w:rsidR="007A50D5" w:rsidRPr="00A63F9C">
        <w:rPr>
          <w:sz w:val="24"/>
          <w:lang w:val="da-DK"/>
        </w:rPr>
        <w:tab/>
      </w:r>
      <w:r w:rsidRPr="00A63F9C">
        <w:rPr>
          <w:sz w:val="24"/>
          <w:lang w:val="da-DK"/>
        </w:rPr>
        <w:t>JO C 77 de 28.3.2002,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A190E" w14:textId="77777777" w:rsidR="00064002" w:rsidRPr="007A50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42A73" w14:textId="77777777" w:rsidR="00064002" w:rsidRPr="007A50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FB95E" w14:textId="77777777" w:rsidR="00064002" w:rsidRPr="007A50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9"/>
  </w:num>
  <w:num w:numId="3">
    <w:abstractNumId w:val="26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29"/>
  </w:num>
  <w:num w:numId="8">
    <w:abstractNumId w:val="27"/>
  </w:num>
  <w:num w:numId="9">
    <w:abstractNumId w:val="6"/>
  </w:num>
  <w:num w:numId="10">
    <w:abstractNumId w:val="18"/>
  </w:num>
  <w:num w:numId="11">
    <w:abstractNumId w:val="7"/>
  </w:num>
  <w:num w:numId="12">
    <w:abstractNumId w:val="39"/>
    <w:lvlOverride w:ilvl="0">
      <w:startOverride w:val="1"/>
    </w:lvlOverride>
  </w:num>
  <w:num w:numId="13">
    <w:abstractNumId w:val="36"/>
  </w:num>
  <w:num w:numId="14">
    <w:abstractNumId w:val="16"/>
  </w:num>
  <w:num w:numId="15">
    <w:abstractNumId w:val="23"/>
  </w:num>
  <w:num w:numId="16">
    <w:abstractNumId w:val="24"/>
  </w:num>
  <w:num w:numId="17">
    <w:abstractNumId w:val="12"/>
  </w:num>
  <w:num w:numId="18">
    <w:abstractNumId w:val="10"/>
  </w:num>
  <w:num w:numId="19">
    <w:abstractNumId w:val="34"/>
  </w:num>
  <w:num w:numId="20">
    <w:abstractNumId w:val="35"/>
  </w:num>
  <w:num w:numId="21">
    <w:abstractNumId w:val="15"/>
  </w:num>
  <w:num w:numId="22">
    <w:abstractNumId w:val="30"/>
  </w:num>
  <w:num w:numId="23">
    <w:abstractNumId w:val="50"/>
  </w:num>
  <w:num w:numId="24">
    <w:abstractNumId w:val="41"/>
  </w:num>
  <w:num w:numId="25">
    <w:abstractNumId w:val="2"/>
  </w:num>
  <w:num w:numId="26">
    <w:abstractNumId w:val="42"/>
  </w:num>
  <w:num w:numId="27">
    <w:abstractNumId w:val="37"/>
  </w:num>
  <w:num w:numId="28">
    <w:abstractNumId w:val="4"/>
  </w:num>
  <w:num w:numId="29">
    <w:abstractNumId w:val="44"/>
  </w:num>
  <w:num w:numId="30">
    <w:abstractNumId w:val="49"/>
  </w:num>
  <w:num w:numId="31">
    <w:abstractNumId w:val="31"/>
  </w:num>
  <w:num w:numId="32">
    <w:abstractNumId w:val="43"/>
  </w:num>
  <w:num w:numId="33">
    <w:abstractNumId w:val="38"/>
  </w:num>
  <w:num w:numId="34">
    <w:abstractNumId w:val="25"/>
  </w:num>
  <w:num w:numId="35">
    <w:abstractNumId w:val="1"/>
  </w:num>
  <w:num w:numId="36">
    <w:abstractNumId w:val="13"/>
  </w:num>
  <w:num w:numId="37">
    <w:abstractNumId w:val="8"/>
  </w:num>
  <w:num w:numId="38">
    <w:abstractNumId w:val="14"/>
  </w:num>
  <w:num w:numId="39">
    <w:abstractNumId w:val="32"/>
  </w:num>
  <w:num w:numId="40">
    <w:abstractNumId w:val="5"/>
    <w:lvlOverride w:ilvl="0">
      <w:startOverride w:val="1"/>
    </w:lvlOverride>
  </w:num>
  <w:num w:numId="41">
    <w:abstractNumId w:val="20"/>
  </w:num>
  <w:num w:numId="42">
    <w:abstractNumId w:val="21"/>
  </w:num>
  <w:num w:numId="43">
    <w:abstractNumId w:val="28"/>
  </w:num>
  <w:num w:numId="44">
    <w:abstractNumId w:val="33"/>
  </w:num>
  <w:num w:numId="45">
    <w:abstractNumId w:val="47"/>
  </w:num>
  <w:num w:numId="46">
    <w:abstractNumId w:val="46"/>
  </w:num>
  <w:num w:numId="47">
    <w:abstractNumId w:val="4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PT"/>
    <w:docVar w:name="dvnumam" w:val="84"/>
    <w:docVar w:name="dvpe" w:val="732.908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relativa a regras comuns para os mercados internos do gás natural e gases renováveis e do hidrogénio (reformulação)(COM(2021)0803 – C9-0468/2021 – 2021/0425(COD))"/>
  </w:docVars>
  <w:rsids>
    <w:rsidRoot w:val="009F16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A78"/>
    <w:rsid w:val="00262AA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0910"/>
    <w:rsid w:val="006631B6"/>
    <w:rsid w:val="00680577"/>
    <w:rsid w:val="006E1954"/>
    <w:rsid w:val="006F74FA"/>
    <w:rsid w:val="00731ADD"/>
    <w:rsid w:val="00734777"/>
    <w:rsid w:val="00747932"/>
    <w:rsid w:val="00751A4A"/>
    <w:rsid w:val="00756632"/>
    <w:rsid w:val="00762C74"/>
    <w:rsid w:val="00786EC0"/>
    <w:rsid w:val="007A50D5"/>
    <w:rsid w:val="007D1690"/>
    <w:rsid w:val="007E22AD"/>
    <w:rsid w:val="00817416"/>
    <w:rsid w:val="00842779"/>
    <w:rsid w:val="00865F67"/>
    <w:rsid w:val="00881A7B"/>
    <w:rsid w:val="008840E5"/>
    <w:rsid w:val="00887B3E"/>
    <w:rsid w:val="008B7FBF"/>
    <w:rsid w:val="008C2AC6"/>
    <w:rsid w:val="008C46B6"/>
    <w:rsid w:val="00930C23"/>
    <w:rsid w:val="0093193B"/>
    <w:rsid w:val="009509D8"/>
    <w:rsid w:val="00950B64"/>
    <w:rsid w:val="00981893"/>
    <w:rsid w:val="009C210B"/>
    <w:rsid w:val="009F1611"/>
    <w:rsid w:val="009F5EA3"/>
    <w:rsid w:val="00A1687D"/>
    <w:rsid w:val="00A43E52"/>
    <w:rsid w:val="00A4678D"/>
    <w:rsid w:val="00A63F9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0B1"/>
    <w:rsid w:val="00C901A0"/>
    <w:rsid w:val="00C941CB"/>
    <w:rsid w:val="00CC2357"/>
    <w:rsid w:val="00CF071A"/>
    <w:rsid w:val="00D058B8"/>
    <w:rsid w:val="00D5191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69D"/>
    <w:rsid w:val="00F04346"/>
    <w:rsid w:val="00F075DC"/>
    <w:rsid w:val="00F149E9"/>
    <w:rsid w:val="00F3430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CB97A"/>
  <w15:chartTrackingRefBased/>
  <w15:docId w15:val="{BA187492-5499-4DB0-9E3F-945655FA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9C210B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9C210B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9C210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9C210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10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10B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10B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C210B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C210B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9C210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C210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C210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C210B"/>
    <w:pPr>
      <w:spacing w:after="120"/>
    </w:pPr>
  </w:style>
  <w:style w:type="paragraph" w:customStyle="1" w:styleId="PageHeading">
    <w:name w:val="PageHeading"/>
    <w:basedOn w:val="Normal"/>
    <w:link w:val="PageHeadingChar"/>
    <w:rsid w:val="009C21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C210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C210B"/>
    <w:rPr>
      <w:b/>
      <w:sz w:val="24"/>
      <w:lang w:val="pt-PT"/>
    </w:rPr>
  </w:style>
  <w:style w:type="paragraph" w:customStyle="1" w:styleId="NormalBold12a">
    <w:name w:val="NormalBold12a"/>
    <w:basedOn w:val="Normal"/>
    <w:rsid w:val="009C210B"/>
    <w:pPr>
      <w:spacing w:after="240"/>
    </w:pPr>
    <w:rPr>
      <w:b/>
    </w:rPr>
  </w:style>
  <w:style w:type="paragraph" w:customStyle="1" w:styleId="AmJustText">
    <w:name w:val="AmJustText"/>
    <w:basedOn w:val="Normal"/>
    <w:rsid w:val="009C210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C210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C210B"/>
    <w:pPr>
      <w:spacing w:after="480"/>
      <w:ind w:left="1417"/>
    </w:pPr>
  </w:style>
  <w:style w:type="paragraph" w:customStyle="1" w:styleId="CoverNormal">
    <w:name w:val="CoverNormal"/>
    <w:basedOn w:val="Normal"/>
    <w:rsid w:val="009C210B"/>
    <w:pPr>
      <w:ind w:left="1418"/>
    </w:pPr>
  </w:style>
  <w:style w:type="paragraph" w:customStyle="1" w:styleId="AmCrossRef">
    <w:name w:val="AmCrossRef"/>
    <w:basedOn w:val="Normal"/>
    <w:rsid w:val="009C210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C210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C210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C210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C210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C210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C21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10B"/>
    <w:rPr>
      <w:sz w:val="24"/>
      <w:lang w:val="pt-PT"/>
    </w:rPr>
  </w:style>
  <w:style w:type="paragraph" w:customStyle="1" w:styleId="AmOrLang">
    <w:name w:val="AmOrLang"/>
    <w:basedOn w:val="Normal"/>
    <w:rsid w:val="009C210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C21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C21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C210B"/>
    <w:pPr>
      <w:spacing w:before="240"/>
    </w:pPr>
    <w:rPr>
      <w:b/>
    </w:rPr>
  </w:style>
  <w:style w:type="paragraph" w:customStyle="1" w:styleId="EPBody">
    <w:name w:val="EPBody"/>
    <w:basedOn w:val="Normal"/>
    <w:rsid w:val="009C210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C210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210B"/>
    <w:pPr>
      <w:spacing w:before="480" w:after="240"/>
    </w:pPr>
  </w:style>
  <w:style w:type="paragraph" w:customStyle="1" w:styleId="Lgendesigne">
    <w:name w:val="Légende signe"/>
    <w:basedOn w:val="Normal"/>
    <w:rsid w:val="009C21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C21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C210B"/>
    <w:rPr>
      <w:sz w:val="18"/>
    </w:rPr>
  </w:style>
  <w:style w:type="paragraph" w:customStyle="1" w:styleId="Normal24a">
    <w:name w:val="Normal24a"/>
    <w:basedOn w:val="Normal"/>
    <w:rsid w:val="009C210B"/>
    <w:pPr>
      <w:spacing w:after="480"/>
    </w:pPr>
  </w:style>
  <w:style w:type="paragraph" w:customStyle="1" w:styleId="NormalBoldCenter">
    <w:name w:val="NormalBoldCenter"/>
    <w:basedOn w:val="Normal"/>
    <w:rsid w:val="009C210B"/>
    <w:pPr>
      <w:jc w:val="center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9C210B"/>
    <w:rPr>
      <w:sz w:val="22"/>
    </w:rPr>
  </w:style>
  <w:style w:type="paragraph" w:styleId="Footer">
    <w:name w:val="footer"/>
    <w:link w:val="FooterChar"/>
    <w:uiPriority w:val="99"/>
    <w:unhideWhenUsed/>
    <w:rsid w:val="009C210B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9C210B"/>
    <w:rPr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9C210B"/>
    <w:rPr>
      <w:noProof/>
      <w:sz w:val="24"/>
    </w:rPr>
  </w:style>
  <w:style w:type="paragraph" w:customStyle="1" w:styleId="Normal12">
    <w:name w:val="Normal12"/>
    <w:basedOn w:val="Normal"/>
    <w:link w:val="Normal12Char"/>
    <w:rsid w:val="009C210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C210B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9C210B"/>
    <w:pPr>
      <w:spacing w:after="120"/>
    </w:pPr>
  </w:style>
  <w:style w:type="paragraph" w:customStyle="1" w:styleId="Normal12Italic">
    <w:name w:val="Normal12Italic"/>
    <w:basedOn w:val="Normal12"/>
    <w:rsid w:val="009C210B"/>
    <w:rPr>
      <w:i/>
    </w:rPr>
  </w:style>
  <w:style w:type="paragraph" w:customStyle="1" w:styleId="Footer2">
    <w:name w:val="Footer2"/>
    <w:basedOn w:val="Normal12"/>
    <w:rsid w:val="009C210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9C210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9C2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C21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210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2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210B"/>
    <w:rPr>
      <w:b/>
      <w:bCs/>
      <w:lang w:val="pt-PT"/>
    </w:rPr>
  </w:style>
  <w:style w:type="paragraph" w:customStyle="1" w:styleId="AMNumberTabs0">
    <w:name w:val="AMNumberTabs"/>
    <w:basedOn w:val="Normal"/>
    <w:rsid w:val="009C21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C210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C210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9C210B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9C21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C210B"/>
    <w:rPr>
      <w:rFonts w:ascii="Segoe UI" w:hAnsi="Segoe UI" w:cs="Segoe UI"/>
      <w:sz w:val="18"/>
      <w:szCs w:val="18"/>
      <w:lang w:val="pt-PT"/>
    </w:rPr>
  </w:style>
  <w:style w:type="paragraph" w:styleId="Revision">
    <w:name w:val="Revision"/>
    <w:hidden/>
    <w:uiPriority w:val="99"/>
    <w:semiHidden/>
    <w:rsid w:val="009C210B"/>
    <w:rPr>
      <w:sz w:val="24"/>
      <w:lang w:val="pt-PT"/>
    </w:rPr>
  </w:style>
  <w:style w:type="character" w:customStyle="1" w:styleId="PageHeadingChar">
    <w:name w:val="PageHeading Char"/>
    <w:basedOn w:val="DefaultParagraphFont"/>
    <w:link w:val="PageHeading"/>
    <w:rsid w:val="009C210B"/>
    <w:rPr>
      <w:rFonts w:ascii="Arial" w:hAnsi="Arial" w:cs="Arial"/>
      <w:b/>
      <w:sz w:val="24"/>
      <w:lang w:val="pt-PT"/>
    </w:rPr>
  </w:style>
  <w:style w:type="paragraph" w:customStyle="1" w:styleId="Normal12a">
    <w:name w:val="Normal12a"/>
    <w:basedOn w:val="Normal"/>
    <w:rsid w:val="009C210B"/>
    <w:pPr>
      <w:spacing w:after="240"/>
    </w:pPr>
  </w:style>
  <w:style w:type="paragraph" w:customStyle="1" w:styleId="NormalCenter12a">
    <w:name w:val="NormalCenter12a"/>
    <w:basedOn w:val="Normal"/>
    <w:rsid w:val="009C210B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C210B"/>
    <w:pPr>
      <w:spacing w:before="720" w:after="240"/>
      <w:jc w:val="center"/>
    </w:pPr>
  </w:style>
  <w:style w:type="paragraph" w:customStyle="1" w:styleId="AnnexWPTabs">
    <w:name w:val="AnnexWPTabs"/>
    <w:basedOn w:val="Normal"/>
    <w:rsid w:val="009C210B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C210B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C210B"/>
    <w:rPr>
      <w:smallCaps/>
      <w:sz w:val="20"/>
    </w:rPr>
  </w:style>
  <w:style w:type="paragraph" w:customStyle="1" w:styleId="AnnexWPDocType">
    <w:name w:val="AnnexWPDocType"/>
    <w:basedOn w:val="Normal"/>
    <w:rsid w:val="009C210B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C210B"/>
    <w:pPr>
      <w:spacing w:before="480"/>
    </w:pPr>
    <w:rPr>
      <w:b/>
    </w:rPr>
  </w:style>
  <w:style w:type="paragraph" w:customStyle="1" w:styleId="AnnexWPLogo">
    <w:name w:val="AnnexWPLogo"/>
    <w:basedOn w:val="Normal"/>
    <w:rsid w:val="009C210B"/>
    <w:pPr>
      <w:spacing w:before="120" w:after="120"/>
    </w:pPr>
  </w:style>
  <w:style w:type="paragraph" w:customStyle="1" w:styleId="Text1">
    <w:name w:val="Text 1"/>
    <w:basedOn w:val="Normal"/>
    <w:rsid w:val="009C210B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C210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9C210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C210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9C210B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9C210B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9C210B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C210B"/>
    <w:pPr>
      <w:spacing w:after="240"/>
    </w:pPr>
  </w:style>
  <w:style w:type="paragraph" w:customStyle="1" w:styleId="Languesfaisantfoi">
    <w:name w:val="Langues faisant foi"/>
    <w:basedOn w:val="Normal"/>
    <w:next w:val="Normal"/>
    <w:rsid w:val="009C210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9C210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">
    <w:name w:val="List Bullet"/>
    <w:basedOn w:val="Normal"/>
    <w:unhideWhenUsed/>
    <w:rsid w:val="009C210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9C210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9C210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9C210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9C210B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9C210B"/>
  </w:style>
  <w:style w:type="paragraph" w:customStyle="1" w:styleId="Normal2">
    <w:name w:val="Normal2"/>
    <w:basedOn w:val="Normal"/>
    <w:rsid w:val="009C210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9C210B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9C210B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rsid w:val="009C210B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9C210B"/>
    <w:rPr>
      <w:i/>
      <w:iCs/>
    </w:rPr>
  </w:style>
  <w:style w:type="paragraph" w:customStyle="1" w:styleId="normals">
    <w:name w:val="normals"/>
    <w:basedOn w:val="NumPar1"/>
    <w:rsid w:val="009C210B"/>
  </w:style>
  <w:style w:type="paragraph" w:customStyle="1" w:styleId="NumPar1">
    <w:name w:val="NumPar 1"/>
    <w:basedOn w:val="Normal"/>
    <w:next w:val="Text1"/>
    <w:qFormat/>
    <w:rsid w:val="009C210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9C210B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9C210B"/>
  </w:style>
  <w:style w:type="paragraph" w:styleId="Caption">
    <w:name w:val="caption"/>
    <w:basedOn w:val="Normal"/>
    <w:next w:val="Normal"/>
    <w:unhideWhenUsed/>
    <w:qFormat/>
    <w:rsid w:val="009C210B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9C210B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9C210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9C210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9C210B"/>
    <w:pPr>
      <w:keepLines w:val="0"/>
      <w:spacing w:line="240" w:lineRule="auto"/>
      <w:ind w:left="720" w:hanging="720"/>
      <w:jc w:val="both"/>
    </w:pPr>
    <w:rPr>
      <w:rFonts w:eastAsia="Calibri"/>
      <w:sz w:val="20"/>
      <w:lang w:val="pt-PT" w:eastAsia="en-US"/>
    </w:rPr>
  </w:style>
  <w:style w:type="paragraph" w:customStyle="1" w:styleId="ListBullet1">
    <w:name w:val="List Bullet 1"/>
    <w:basedOn w:val="Normal"/>
    <w:rsid w:val="009C210B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9C210B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9C210B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9C210B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9C210B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C210B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C210B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9C210B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9C210B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9C210B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9C210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9C210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9C210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9C210B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9C210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9C210B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9C210B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9C210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9C210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9C210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9C210B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9C210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9C210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9C210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9C210B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9C210B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9C210B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9C210B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9C210B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9C210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C210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C210B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C210B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9C210B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9C210B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9C210B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9C210B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9C210B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9C210B"/>
    <w:rPr>
      <w:vanish/>
      <w:color w:val="800080"/>
      <w:vertAlign w:val="subscript"/>
    </w:rPr>
  </w:style>
  <w:style w:type="character" w:styleId="FollowedHyperlink">
    <w:name w:val="FollowedHyperlink"/>
    <w:rsid w:val="009C210B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9C210B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9C210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9C210B"/>
    <w:rPr>
      <w:rFonts w:eastAsia="Calibri"/>
      <w:sz w:val="24"/>
      <w:szCs w:val="22"/>
      <w:lang w:val="pt-PT"/>
    </w:rPr>
  </w:style>
  <w:style w:type="paragraph" w:customStyle="1" w:styleId="HeaderCoverPage">
    <w:name w:val="Header Cover Page"/>
    <w:basedOn w:val="Normal"/>
    <w:link w:val="HeaderCoverPageChar"/>
    <w:rsid w:val="009C210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9C210B"/>
    <w:rPr>
      <w:rFonts w:eastAsia="Calibri"/>
      <w:sz w:val="24"/>
      <w:szCs w:val="22"/>
      <w:lang w:val="pt-PT"/>
    </w:rPr>
  </w:style>
  <w:style w:type="paragraph" w:customStyle="1" w:styleId="Soustitr">
    <w:name w:val="Sous titr"/>
    <w:basedOn w:val="Titreobjet"/>
    <w:rsid w:val="009C210B"/>
  </w:style>
  <w:style w:type="paragraph" w:customStyle="1" w:styleId="Sous-titre">
    <w:name w:val="Sous-titre"/>
    <w:basedOn w:val="Soustitr"/>
    <w:rsid w:val="009C210B"/>
  </w:style>
  <w:style w:type="paragraph" w:customStyle="1" w:styleId="paragraph">
    <w:name w:val="paragraph"/>
    <w:basedOn w:val="Normal"/>
    <w:rsid w:val="009C210B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9C210B"/>
  </w:style>
  <w:style w:type="character" w:customStyle="1" w:styleId="tw4winError">
    <w:name w:val="tw4winError"/>
    <w:rsid w:val="009C210B"/>
    <w:rPr>
      <w:color w:val="00FF00"/>
      <w:sz w:val="40"/>
      <w:lang w:val="pt-PT" w:eastAsia="en-GB"/>
    </w:rPr>
  </w:style>
  <w:style w:type="character" w:customStyle="1" w:styleId="tw4winTerm">
    <w:name w:val="tw4winTerm"/>
    <w:rsid w:val="009C210B"/>
    <w:rPr>
      <w:color w:val="0000FF"/>
      <w:lang w:val="pt-PT" w:eastAsia="en-GB"/>
    </w:rPr>
  </w:style>
  <w:style w:type="character" w:customStyle="1" w:styleId="tw4winPopup">
    <w:name w:val="tw4winPopup"/>
    <w:rsid w:val="009C210B"/>
    <w:rPr>
      <w:noProof/>
      <w:color w:val="008000"/>
      <w:lang w:val="pt-PT" w:eastAsia="en-GB"/>
    </w:rPr>
  </w:style>
  <w:style w:type="character" w:customStyle="1" w:styleId="tw4winJump">
    <w:name w:val="tw4winJump"/>
    <w:rsid w:val="009C210B"/>
    <w:rPr>
      <w:noProof/>
      <w:color w:val="008080"/>
      <w:lang w:val="pt-PT" w:eastAsia="en-GB"/>
    </w:rPr>
  </w:style>
  <w:style w:type="character" w:customStyle="1" w:styleId="tw4winExternal">
    <w:name w:val="tw4winExternal"/>
    <w:rsid w:val="009C210B"/>
    <w:rPr>
      <w:noProof/>
      <w:color w:val="808080"/>
      <w:lang w:val="pt-PT" w:eastAsia="en-GB"/>
    </w:rPr>
  </w:style>
  <w:style w:type="character" w:customStyle="1" w:styleId="tw4winInternal">
    <w:name w:val="tw4winInternal"/>
    <w:rsid w:val="009C210B"/>
    <w:rPr>
      <w:noProof/>
      <w:color w:val="FF0000"/>
      <w:lang w:val="pt-PT" w:eastAsia="en-GB"/>
    </w:rPr>
  </w:style>
  <w:style w:type="character" w:customStyle="1" w:styleId="DONOTTRANSLATE">
    <w:name w:val="DO_NOT_TRANSLATE"/>
    <w:rsid w:val="009C210B"/>
    <w:rPr>
      <w:noProof/>
      <w:color w:val="800000"/>
      <w:lang w:val="pt-PT" w:eastAsia="en-GB"/>
    </w:rPr>
  </w:style>
  <w:style w:type="paragraph" w:styleId="TOC4">
    <w:name w:val="toc 4"/>
    <w:basedOn w:val="Normal"/>
    <w:next w:val="Normal"/>
    <w:uiPriority w:val="39"/>
    <w:unhideWhenUsed/>
    <w:rsid w:val="009C210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C210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C210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C210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C210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C210B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C210B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C210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9C210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C210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9C210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9C210B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9C210B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C210B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C210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C210B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C210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C210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C210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C210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C210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C210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9C210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C210B"/>
    <w:pPr>
      <w:numPr>
        <w:numId w:val="13"/>
      </w:numPr>
    </w:pPr>
  </w:style>
  <w:style w:type="paragraph" w:customStyle="1" w:styleId="Tiret1">
    <w:name w:val="Tiret 1"/>
    <w:basedOn w:val="Point1"/>
    <w:rsid w:val="009C210B"/>
    <w:pPr>
      <w:numPr>
        <w:numId w:val="4"/>
      </w:numPr>
    </w:pPr>
  </w:style>
  <w:style w:type="paragraph" w:customStyle="1" w:styleId="Tiret2">
    <w:name w:val="Tiret 2"/>
    <w:basedOn w:val="Point2"/>
    <w:rsid w:val="009C210B"/>
    <w:pPr>
      <w:numPr>
        <w:numId w:val="12"/>
      </w:numPr>
    </w:pPr>
  </w:style>
  <w:style w:type="paragraph" w:customStyle="1" w:styleId="Tiret3">
    <w:name w:val="Tiret 3"/>
    <w:basedOn w:val="Point3"/>
    <w:rsid w:val="009C210B"/>
    <w:pPr>
      <w:numPr>
        <w:numId w:val="14"/>
      </w:numPr>
    </w:pPr>
  </w:style>
  <w:style w:type="paragraph" w:customStyle="1" w:styleId="Tiret4">
    <w:name w:val="Tiret 4"/>
    <w:basedOn w:val="Point4"/>
    <w:rsid w:val="009C210B"/>
    <w:pPr>
      <w:numPr>
        <w:numId w:val="15"/>
      </w:numPr>
    </w:pPr>
  </w:style>
  <w:style w:type="paragraph" w:customStyle="1" w:styleId="Tiret5">
    <w:name w:val="Tiret 5"/>
    <w:basedOn w:val="Point5"/>
    <w:rsid w:val="009C210B"/>
    <w:pPr>
      <w:numPr>
        <w:numId w:val="16"/>
      </w:numPr>
    </w:pPr>
  </w:style>
  <w:style w:type="paragraph" w:customStyle="1" w:styleId="PointDouble0">
    <w:name w:val="PointDouble 0"/>
    <w:basedOn w:val="Normal"/>
    <w:rsid w:val="009C210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C210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C210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C210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C210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C210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C210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C210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C210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C210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C210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C210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C210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C210B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C210B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C210B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C210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C210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C210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C210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C210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C210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C210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C210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C210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C210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C210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C210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C210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C210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C210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C210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C210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C210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C210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9C210B"/>
    <w:rPr>
      <w:color w:val="0000FF"/>
      <w:shd w:val="clear" w:color="auto" w:fill="auto"/>
    </w:rPr>
  </w:style>
  <w:style w:type="character" w:customStyle="1" w:styleId="Marker1">
    <w:name w:val="Marker1"/>
    <w:rsid w:val="009C210B"/>
    <w:rPr>
      <w:color w:val="008000"/>
      <w:shd w:val="clear" w:color="auto" w:fill="auto"/>
    </w:rPr>
  </w:style>
  <w:style w:type="character" w:customStyle="1" w:styleId="Marker2">
    <w:name w:val="Marker2"/>
    <w:rsid w:val="009C210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9C210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C210B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9C210B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C210B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C210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9C210B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C210B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C210B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C210B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C210B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C210B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C210B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C210B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C210B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9C210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9C210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9C210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9C210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9C210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9C210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9C210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9C210B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9C210B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9C210B"/>
  </w:style>
  <w:style w:type="paragraph" w:customStyle="1" w:styleId="Rfrencecroise">
    <w:name w:val="Référence croisée"/>
    <w:basedOn w:val="Normal"/>
    <w:uiPriority w:val="99"/>
    <w:rsid w:val="009C210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9C210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9C210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9C210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C210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C210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C210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9C21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C21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9C21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C210B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C210B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C210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C210B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9C210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9C210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C210B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9C210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C210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9C21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9C210B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C210B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C210B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9C210B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9C210B"/>
    <w:rPr>
      <w:b/>
      <w:u w:val="single"/>
      <w:shd w:val="clear" w:color="auto" w:fill="auto"/>
    </w:rPr>
  </w:style>
  <w:style w:type="character" w:customStyle="1" w:styleId="Deleted">
    <w:name w:val="Deleted"/>
    <w:rsid w:val="009C210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9C210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9C210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9C210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9C21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9C210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9C210B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9C210B"/>
  </w:style>
  <w:style w:type="paragraph" w:customStyle="1" w:styleId="Volume">
    <w:name w:val="Volume"/>
    <w:basedOn w:val="Normal"/>
    <w:next w:val="Confidentialit"/>
    <w:uiPriority w:val="99"/>
    <w:rsid w:val="009C210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9C210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9C210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9C210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9C210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9C210B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9C210B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9C210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9C210B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9C210B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9C210B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9C210B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9C210B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9C210B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9C210B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9C210B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9C210B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9C210B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9C210B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9C210B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9C210B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9C210B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9C210B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9C210B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9C210B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9C210B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9C210B"/>
    <w:pPr>
      <w:spacing w:before="120" w:after="360"/>
    </w:pPr>
  </w:style>
  <w:style w:type="paragraph" w:customStyle="1" w:styleId="Point6">
    <w:name w:val="Point 6"/>
    <w:basedOn w:val="Point5"/>
    <w:qFormat/>
    <w:rsid w:val="009C210B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9C210B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9C210B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9C210B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9C210B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9C210B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9C210B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9C210B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9C210B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9C210B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9C210B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9C210B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9C210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C210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C210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C210B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9C210B"/>
    <w:pPr>
      <w:spacing w:before="600" w:after="360"/>
    </w:pPr>
  </w:style>
  <w:style w:type="paragraph" w:customStyle="1" w:styleId="LetterSubject">
    <w:name w:val="LetterSubject"/>
    <w:basedOn w:val="Normal"/>
    <w:rsid w:val="009C210B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9C210B"/>
    <w:pPr>
      <w:spacing w:before="1320"/>
    </w:pPr>
  </w:style>
  <w:style w:type="paragraph" w:customStyle="1" w:styleId="AnnexRight">
    <w:name w:val="AnnexRight"/>
    <w:basedOn w:val="Normal"/>
    <w:rsid w:val="009C210B"/>
    <w:pPr>
      <w:spacing w:after="480"/>
      <w:jc w:val="right"/>
    </w:pPr>
  </w:style>
  <w:style w:type="paragraph" w:customStyle="1" w:styleId="PageHeadingNotTOC">
    <w:name w:val="PageHeadingNotTOC"/>
    <w:basedOn w:val="Normal"/>
    <w:rsid w:val="009C21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C210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BoldItalic">
    <w:name w:val="SupBoldItalic"/>
    <w:uiPriority w:val="1"/>
    <w:qFormat/>
    <w:rsid w:val="009C210B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9C210B"/>
    <w:pPr>
      <w:spacing w:before="1320"/>
    </w:pPr>
  </w:style>
  <w:style w:type="paragraph" w:customStyle="1" w:styleId="CommitteeAM">
    <w:name w:val="CommitteeAM"/>
    <w:basedOn w:val="Normal"/>
    <w:rsid w:val="009C210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C210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C210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C210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C210B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9C210B"/>
    <w:pPr>
      <w:spacing w:before="240"/>
      <w:jc w:val="center"/>
    </w:pPr>
    <w:rPr>
      <w:i/>
    </w:rPr>
  </w:style>
  <w:style w:type="paragraph" w:customStyle="1" w:styleId="AmDocTypeTab">
    <w:name w:val="AmDocTypeTab"/>
    <w:basedOn w:val="Normal"/>
    <w:rsid w:val="00F3430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F34305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F34305"/>
  </w:style>
  <w:style w:type="paragraph" w:customStyle="1" w:styleId="NormalJustified">
    <w:name w:val="Normal Justified"/>
    <w:basedOn w:val="Normal"/>
    <w:rsid w:val="00F3430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3430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3430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3430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3430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3430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F3430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3430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3430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3430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3430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3430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3430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3430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3430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3430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34305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34305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34305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34305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34305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34305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34305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34305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34305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34305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34305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34305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34305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34305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34305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34305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34305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34305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34305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34305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34305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F34305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F34305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F34305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34305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F3430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34305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F34305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F34305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F34305"/>
    <w:pPr>
      <w:jc w:val="center"/>
    </w:pPr>
  </w:style>
  <w:style w:type="paragraph" w:customStyle="1" w:styleId="Jardin">
    <w:name w:val="Jardin"/>
    <w:basedOn w:val="Normal"/>
    <w:rsid w:val="00F3430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3430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3430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3430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34305"/>
    <w:rPr>
      <w:b/>
    </w:rPr>
  </w:style>
  <w:style w:type="paragraph" w:customStyle="1" w:styleId="Annex">
    <w:name w:val="Annex"/>
    <w:basedOn w:val="Normal"/>
    <w:next w:val="Normal"/>
    <w:rsid w:val="00F3430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3430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3430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3430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3430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3430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34305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F34305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F3430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34305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34305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F3430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34305"/>
    <w:rPr>
      <w:color w:val="808080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F34305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F34305"/>
    <w:pPr>
      <w:numPr>
        <w:numId w:val="40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F34305"/>
    <w:rPr>
      <w:rFonts w:ascii="Calibri" w:eastAsia="Calibri" w:hAnsi="Calibri" w:cs="Arial"/>
      <w:color w:val="000000"/>
      <w:sz w:val="22"/>
      <w:szCs w:val="22"/>
      <w:lang w:val="pt-PT" w:eastAsia="en-US"/>
    </w:rPr>
  </w:style>
  <w:style w:type="paragraph" w:customStyle="1" w:styleId="EntText">
    <w:name w:val="EntText"/>
    <w:basedOn w:val="Normal"/>
    <w:rsid w:val="00F3430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F34305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F34305"/>
    <w:rPr>
      <w:rFonts w:ascii="Calibri" w:hAnsi="Calibri"/>
      <w:szCs w:val="21"/>
      <w:lang w:val="pt-PT"/>
    </w:rPr>
  </w:style>
  <w:style w:type="character" w:customStyle="1" w:styleId="cf01">
    <w:name w:val="cf01"/>
    <w:basedOn w:val="DefaultParagraphFont"/>
    <w:rsid w:val="00F34305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F34305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F34305"/>
    <w:rPr>
      <w14:ligatures w14:val="standardContextual"/>
    </w:rPr>
  </w:style>
  <w:style w:type="paragraph" w:customStyle="1" w:styleId="s14">
    <w:name w:val="s14"/>
    <w:basedOn w:val="Normal"/>
    <w:rsid w:val="00F34305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F34305"/>
  </w:style>
  <w:style w:type="character" w:customStyle="1" w:styleId="cf11">
    <w:name w:val="cf11"/>
    <w:basedOn w:val="DefaultParagraphFont"/>
    <w:rsid w:val="00F34305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F34305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F34305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F34305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F34305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F34305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7">
    <w:name w:val="Text 7"/>
    <w:basedOn w:val="Normal"/>
    <w:rsid w:val="00F3430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3430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3430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3430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3430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3430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3430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3430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3430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34305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34305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34305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34305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34305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34305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34305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3430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3430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F3430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3430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3430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3430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3430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3430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3430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3430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34305"/>
    <w:pPr>
      <w:spacing w:before="240"/>
    </w:pPr>
  </w:style>
  <w:style w:type="paragraph" w:customStyle="1" w:styleId="Accordtitre">
    <w:name w:val="Accord titre"/>
    <w:basedOn w:val="Normal"/>
    <w:rsid w:val="00F3430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3430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3430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3430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3430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3430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3430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3430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3430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3430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3430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3430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3430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3430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3430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3430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3430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3430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3430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3430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3430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3430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3430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3430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3430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3430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3430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3430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F3430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3430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34305"/>
    <w:rPr>
      <w:b/>
      <w:i/>
    </w:rPr>
  </w:style>
  <w:style w:type="character" w:customStyle="1" w:styleId="diff-tte-removed">
    <w:name w:val="diff-tte-removed"/>
    <w:basedOn w:val="DefaultParagraphFont"/>
    <w:rsid w:val="00F34305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4305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F34305"/>
  </w:style>
  <w:style w:type="character" w:customStyle="1" w:styleId="Mention1">
    <w:name w:val="Mention1"/>
    <w:basedOn w:val="DefaultParagraphFont"/>
    <w:uiPriority w:val="99"/>
    <w:unhideWhenUsed/>
    <w:rsid w:val="00F34305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3430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3430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343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4305"/>
    <w:pPr>
      <w:ind w:left="720"/>
      <w:contextualSpacing/>
    </w:pPr>
  </w:style>
  <w:style w:type="paragraph" w:styleId="PlainText">
    <w:name w:val="Plain Text"/>
    <w:basedOn w:val="Normal"/>
    <w:link w:val="PlainTextChar1"/>
    <w:rsid w:val="00F34305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F34305"/>
    <w:rPr>
      <w:rFonts w:ascii="Consolas" w:hAnsi="Consolas"/>
      <w:sz w:val="21"/>
      <w:szCs w:val="21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51311-BD75-422A-A1FC-7B0BC4A5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613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IAM_Ret251</cp:lastModifiedBy>
  <cp:revision>2</cp:revision>
  <cp:lastPrinted>2004-11-19T15:42:00Z</cp:lastPrinted>
  <dcterms:created xsi:type="dcterms:W3CDTF">2024-07-26T18:32:00Z</dcterms:created>
  <dcterms:modified xsi:type="dcterms:W3CDTF">2024-07-26T18:32:00Z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