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6C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6C41" w:rsidRDefault="00DE3D0F" w:rsidP="0010095E">
            <w:pPr>
              <w:pStyle w:val="EPName"/>
            </w:pPr>
            <w:bookmarkStart w:id="0" w:name="_GoBack"/>
            <w:bookmarkEnd w:id="0"/>
            <w:r w:rsidRPr="00EC6C41">
              <w:t>Europski parlament</w:t>
            </w:r>
          </w:p>
          <w:p w:rsidR="00751A4A" w:rsidRPr="00EC6C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6C4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C6C41" w:rsidRDefault="00187494" w:rsidP="0010095E">
            <w:pPr>
              <w:pStyle w:val="EPLogo"/>
            </w:pPr>
            <w:r w:rsidRPr="00EC6C4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6C41" w:rsidRDefault="00D058B8" w:rsidP="004C5D52">
      <w:pPr>
        <w:pStyle w:val="LineTop"/>
      </w:pPr>
    </w:p>
    <w:p w:rsidR="00680577" w:rsidRPr="00EC6C41" w:rsidRDefault="00DE3D0F" w:rsidP="00680577">
      <w:pPr>
        <w:pStyle w:val="EPBodyTA1"/>
      </w:pPr>
      <w:r w:rsidRPr="00EC6C41">
        <w:t>USVOJENI TEKSTOVI</w:t>
      </w:r>
    </w:p>
    <w:p w:rsidR="00D058B8" w:rsidRPr="00EC6C41" w:rsidRDefault="00D058B8" w:rsidP="00D058B8">
      <w:pPr>
        <w:pStyle w:val="LineBottom"/>
      </w:pPr>
    </w:p>
    <w:p w:rsidR="00DE3D0F" w:rsidRPr="00EC6C41" w:rsidRDefault="00DE3D0F" w:rsidP="00DE3D0F">
      <w:pPr>
        <w:pStyle w:val="ATHeading1"/>
      </w:pPr>
      <w:bookmarkStart w:id="1" w:name="TANumber"/>
      <w:r w:rsidRPr="00EC6C41">
        <w:t>P9_TA(2024)0</w:t>
      </w:r>
      <w:r w:rsidR="00825707">
        <w:t>286</w:t>
      </w:r>
      <w:bookmarkEnd w:id="1"/>
    </w:p>
    <w:p w:rsidR="00DE3D0F" w:rsidRPr="00EC6C41" w:rsidRDefault="00DE3D0F" w:rsidP="00DE3D0F">
      <w:pPr>
        <w:pStyle w:val="ATHeading2"/>
      </w:pPr>
      <w:bookmarkStart w:id="2" w:name="title"/>
      <w:r w:rsidRPr="00EC6C41">
        <w:t>Uključivanje prava na pobačaj u Povelju EU-a o temeljnim pravima</w:t>
      </w:r>
      <w:bookmarkEnd w:id="2"/>
    </w:p>
    <w:p w:rsidR="00DE3D0F" w:rsidRPr="00EC6C41" w:rsidRDefault="00DE3D0F" w:rsidP="00DE3D0F">
      <w:pPr>
        <w:rPr>
          <w:i/>
          <w:vanish/>
        </w:rPr>
      </w:pPr>
      <w:r w:rsidRPr="00EC6C41">
        <w:rPr>
          <w:i/>
        </w:rPr>
        <w:fldChar w:fldCharType="begin"/>
      </w:r>
      <w:r w:rsidRPr="00EC6C41">
        <w:rPr>
          <w:i/>
        </w:rPr>
        <w:instrText xml:space="preserve"> TC"(</w:instrText>
      </w:r>
      <w:bookmarkStart w:id="3" w:name="DocNumber"/>
      <w:r w:rsidRPr="00EC6C41">
        <w:rPr>
          <w:i/>
        </w:rPr>
        <w:instrText>B9-0205/2024</w:instrText>
      </w:r>
      <w:bookmarkEnd w:id="3"/>
      <w:r w:rsidRPr="00EC6C41">
        <w:rPr>
          <w:i/>
        </w:rPr>
        <w:instrText xml:space="preserve">)"\l3 \n&gt; \* MERGEFORMAT </w:instrText>
      </w:r>
      <w:r w:rsidRPr="00EC6C41">
        <w:rPr>
          <w:i/>
        </w:rPr>
        <w:fldChar w:fldCharType="end"/>
      </w:r>
    </w:p>
    <w:p w:rsidR="00DE3D0F" w:rsidRPr="00EC6C41" w:rsidRDefault="00DE3D0F" w:rsidP="00DE3D0F">
      <w:pPr>
        <w:rPr>
          <w:vanish/>
        </w:rPr>
      </w:pPr>
      <w:bookmarkStart w:id="4" w:name="PE"/>
      <w:r w:rsidRPr="00EC6C41">
        <w:rPr>
          <w:vanish/>
        </w:rPr>
        <w:t>PE760.611</w:t>
      </w:r>
      <w:bookmarkEnd w:id="4"/>
    </w:p>
    <w:p w:rsidR="00DE3D0F" w:rsidRPr="00EC6C41" w:rsidRDefault="00DE3D0F" w:rsidP="00DE3D0F">
      <w:pPr>
        <w:pStyle w:val="ATHeading3"/>
      </w:pPr>
      <w:bookmarkStart w:id="5" w:name="Sujet"/>
      <w:r w:rsidRPr="00EC6C41">
        <w:t>Rezolu</w:t>
      </w:r>
      <w:r w:rsidR="00EC6C41">
        <w:t>cija Europskog parlamenta od 11</w:t>
      </w:r>
      <w:r w:rsidRPr="00EC6C41">
        <w:t xml:space="preserve">. </w:t>
      </w:r>
      <w:r w:rsidR="00EC6C41">
        <w:t xml:space="preserve">travnja </w:t>
      </w:r>
      <w:r w:rsidRPr="00EC6C41">
        <w:t>2024. o uključivanju prava na pobačaj u Povelju EU-a o temeljnim pravima</w:t>
      </w:r>
      <w:bookmarkEnd w:id="5"/>
      <w:r w:rsidRPr="00EC6C41">
        <w:t xml:space="preserve"> </w:t>
      </w:r>
      <w:bookmarkStart w:id="6" w:name="References"/>
      <w:r w:rsidRPr="00EC6C41">
        <w:t>(2024/2655(RSP))</w:t>
      </w:r>
      <w:bookmarkEnd w:id="6"/>
    </w:p>
    <w:p w:rsidR="00A124B0" w:rsidRPr="00EC6C41" w:rsidRDefault="00A124B0" w:rsidP="00A124B0">
      <w:pPr>
        <w:pStyle w:val="EPComma"/>
      </w:pPr>
      <w:bookmarkStart w:id="7" w:name="TextBodyBegin"/>
      <w:bookmarkEnd w:id="7"/>
      <w:r w:rsidRPr="00EC6C41">
        <w:rPr>
          <w:i/>
          <w:iCs/>
        </w:rPr>
        <w:t>Europski parlament,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Europsku konvenciju o ljudskim pravima iz 1950.,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Konvenciju o ukidanju svih oblika diskriminacije žena iz 1979.,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Povelju o temeljnim pravima Europske unije („Povelja“) iz 2000.,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svoju Rezoluciju od 13. veljače 2019. o nazadovanju u području prava žena i rodne ravnopravnosti u EU-u</w:t>
      </w:r>
      <w:r w:rsidRPr="00EC6C41">
        <w:rPr>
          <w:rStyle w:val="FootnoteReference"/>
        </w:rPr>
        <w:footnoteReference w:id="1"/>
      </w:r>
      <w:r w:rsidRPr="00EC6C41">
        <w:t>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svoju Rezoluciju od 14. studenoga 2019. o kriminalizaciji spolnog odgoja u Poljskoj</w:t>
      </w:r>
      <w:r w:rsidRPr="00EC6C41">
        <w:rPr>
          <w:rStyle w:val="FootnoteReference"/>
        </w:rPr>
        <w:footnoteReference w:id="2"/>
      </w:r>
      <w:r w:rsidRPr="00EC6C41">
        <w:t>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 xml:space="preserve">uzimajući u obzir svoju Rezoluciju od 26. studenoga 2020. o </w:t>
      </w:r>
      <w:r w:rsidRPr="00EC6C41">
        <w:rPr>
          <w:i/>
        </w:rPr>
        <w:t>de facto</w:t>
      </w:r>
      <w:r w:rsidRPr="00EC6C41">
        <w:t xml:space="preserve"> zabrani prava na pobačaj u Poljskoj</w:t>
      </w:r>
      <w:r w:rsidRPr="00EC6C41">
        <w:rPr>
          <w:rStyle w:val="FootnoteReference"/>
        </w:rPr>
        <w:footnoteReference w:id="3"/>
      </w:r>
      <w:r w:rsidRPr="00EC6C41">
        <w:t>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 xml:space="preserve">uzimajući u obzir svoju Rezoluciju od 11. studenoga 2021. o prvoj obljetnici </w:t>
      </w:r>
      <w:r w:rsidRPr="00EC6C41">
        <w:rPr>
          <w:i/>
          <w:iCs/>
        </w:rPr>
        <w:t>de facto</w:t>
      </w:r>
      <w:r w:rsidRPr="00EC6C41">
        <w:t xml:space="preserve"> zabrane pobačaja u Poljskoj</w:t>
      </w:r>
      <w:r w:rsidRPr="00EC6C41">
        <w:rPr>
          <w:rStyle w:val="FootnoteReference"/>
        </w:rPr>
        <w:footnoteReference w:id="4"/>
      </w:r>
      <w:r w:rsidRPr="00EC6C41">
        <w:t>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svoju Rezoluciju od 24. lipnja 2021. o stanju u pogledu seksualnog i reproduktivnog zdravlja i prava u EU-u u kontekstu zdravlja žena</w:t>
      </w:r>
      <w:r w:rsidRPr="00EC6C41">
        <w:rPr>
          <w:rStyle w:val="FootnoteReference"/>
        </w:rPr>
        <w:footnoteReference w:id="5"/>
      </w:r>
      <w:r w:rsidRPr="00EC6C41">
        <w:t>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svoju Rezoluciju od 5. svibnja 2022. o posljedicama koje rat u Ukrajini ostavlja na žene</w:t>
      </w:r>
      <w:r w:rsidRPr="00EC6C41">
        <w:rPr>
          <w:rStyle w:val="FootnoteReference"/>
        </w:rPr>
        <w:footnoteReference w:id="6"/>
      </w:r>
      <w:r w:rsidRPr="00EC6C41">
        <w:t>,</w:t>
      </w:r>
    </w:p>
    <w:p w:rsidR="00A124B0" w:rsidRPr="00EC6C41" w:rsidRDefault="00A124B0" w:rsidP="00A124B0">
      <w:pPr>
        <w:pStyle w:val="NormalHanging12a"/>
      </w:pPr>
      <w:r w:rsidRPr="00EC6C41">
        <w:lastRenderedPageBreak/>
        <w:t>–</w:t>
      </w:r>
      <w:r w:rsidRPr="00EC6C41">
        <w:tab/>
        <w:t>uzimajući u obzir svoju Rezoluciju od 9. lipnja 2022. o prijetnjama pravu na pobačaj u svijetu: moguće ukidanje prava na pobačaj u SAD-u od strane Vrhovnog suda</w:t>
      </w:r>
      <w:r w:rsidRPr="00EC6C41">
        <w:rPr>
          <w:rStyle w:val="FootnoteReference"/>
        </w:rPr>
        <w:footnoteReference w:id="7"/>
      </w:r>
      <w:r w:rsidRPr="00EC6C41">
        <w:t>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svoju rezoluciju od 7. srpnja 2022. o odluci Vrhovnog suda SAD-a o ukidanju prava na pobačaj u Sjedinjenim Američkim Državama i potrebi za zaštitom prava na pobačaj i zdravlja žena u EU-u</w:t>
      </w:r>
      <w:r w:rsidRPr="00EC6C41">
        <w:rPr>
          <w:rStyle w:val="FootnoteReference"/>
        </w:rPr>
        <w:footnoteReference w:id="8"/>
      </w:r>
      <w:r w:rsidRPr="00EC6C41">
        <w:t>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svoju Rezoluciju od 22. studenoga 2023. o prijedlozima Europskog parlamenta za izmjenu Ugovorâ</w:t>
      </w:r>
      <w:r w:rsidRPr="00EC6C41">
        <w:rPr>
          <w:rStyle w:val="FootnoteReference"/>
        </w:rPr>
        <w:footnoteReference w:id="9"/>
      </w:r>
      <w:r w:rsidRPr="00EC6C41">
        <w:t>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smjernice WHO-a naslovljene „</w:t>
      </w:r>
      <w:proofErr w:type="spellStart"/>
      <w:r w:rsidRPr="00EC6C41">
        <w:t>Safe</w:t>
      </w:r>
      <w:proofErr w:type="spellEnd"/>
      <w:r w:rsidRPr="00EC6C41">
        <w:t xml:space="preserve"> </w:t>
      </w:r>
      <w:proofErr w:type="spellStart"/>
      <w:r w:rsidRPr="00EC6C41">
        <w:t>abortion</w:t>
      </w:r>
      <w:proofErr w:type="spellEnd"/>
      <w:r w:rsidRPr="00EC6C41">
        <w:t xml:space="preserve">: </w:t>
      </w:r>
      <w:proofErr w:type="spellStart"/>
      <w:r w:rsidRPr="00EC6C41">
        <w:t>technical</w:t>
      </w:r>
      <w:proofErr w:type="spellEnd"/>
      <w:r w:rsidRPr="00EC6C41">
        <w:t xml:space="preserve"> </w:t>
      </w:r>
      <w:proofErr w:type="spellStart"/>
      <w:r w:rsidRPr="00EC6C41">
        <w:t>and</w:t>
      </w:r>
      <w:proofErr w:type="spellEnd"/>
      <w:r w:rsidRPr="00EC6C41">
        <w:t xml:space="preserve"> </w:t>
      </w:r>
      <w:proofErr w:type="spellStart"/>
      <w:r w:rsidRPr="00EC6C41">
        <w:t>policy</w:t>
      </w:r>
      <w:proofErr w:type="spellEnd"/>
      <w:r w:rsidRPr="00EC6C41">
        <w:t xml:space="preserve"> </w:t>
      </w:r>
      <w:proofErr w:type="spellStart"/>
      <w:r w:rsidRPr="00EC6C41">
        <w:t>guidance</w:t>
      </w:r>
      <w:proofErr w:type="spellEnd"/>
      <w:r w:rsidRPr="00EC6C41">
        <w:t xml:space="preserve"> for </w:t>
      </w:r>
      <w:proofErr w:type="spellStart"/>
      <w:r w:rsidRPr="00EC6C41">
        <w:t>health</w:t>
      </w:r>
      <w:proofErr w:type="spellEnd"/>
      <w:r w:rsidRPr="00EC6C41">
        <w:t xml:space="preserve"> </w:t>
      </w:r>
      <w:proofErr w:type="spellStart"/>
      <w:r w:rsidRPr="00EC6C41">
        <w:t>systems</w:t>
      </w:r>
      <w:proofErr w:type="spellEnd"/>
      <w:r w:rsidRPr="00EC6C41">
        <w:t>” (Siguran pobačaj: tehničke i političke smjernice za zdravstvene sustave),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strategiju Svjetske zdravstvene organizacije o zdravlju i dobrobiti žena u Europi za razdoblje 2017. – 2021.: korak dalje od prosjeka smrtnosti i akcijskog plana za spolno i reproduktivno zdravlje iz 2016.: prema ostvarenju Programa održivog razvoja do 2030. u Europi – nitko ne smije biti zapostavljen,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komunikaciju Komisije od 5. ožujka 2020. naslovljenu „Unija ravnopravnosti: Strategija za rodnu ravnopravnost 2020. – 2025.” (COM(2020)0152),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komunikaciju Komisije od 12. studenoga 2020. naslovljenu „Unija ravnopravnosti: Strategija o ravnopravnosti LGBTIQ osoba 2020. – 2025.” (COM(2020)0698),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Opću deklaraciju o ljudskim pravima,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Europsku konvenciju o ljudskim pravima i sudsku praksu Europskog suda za ljudska prava,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Konvenciju Vijeća Europe o sprečavanju i borbi protiv nasilja nad ženama i nasilja u obitelji, koja je 11. svibnja 2011. otvorena za potpisivanje u Istanbulu („</w:t>
      </w:r>
      <w:proofErr w:type="spellStart"/>
      <w:r w:rsidRPr="00EC6C41">
        <w:t>Istanbulska</w:t>
      </w:r>
      <w:proofErr w:type="spellEnd"/>
      <w:r w:rsidRPr="00EC6C41">
        <w:t xml:space="preserve"> konvencija”) i koju je Europska unija ratificirala 28. lipnja 2023.,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Opći komentar br. 36 Odbora UN-a za ljudska prava iz 2018. o članku 6. Međunarodnog pakta o građanskim i političkim pravima naslovljenom „Pravo na život”,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svoju Rezoluciju od 18. siječnja 2024. o stanju temeljnih prava u Europskoj uniji tijekom 2022. i 2023.</w:t>
      </w:r>
      <w:r w:rsidRPr="00EC6C41">
        <w:rPr>
          <w:rStyle w:val="FootnoteReference"/>
        </w:rPr>
        <w:footnoteReference w:id="10"/>
      </w:r>
      <w:r w:rsidRPr="00EC6C41">
        <w:t>,</w:t>
      </w:r>
    </w:p>
    <w:p w:rsidR="00A124B0" w:rsidRPr="00EC6C41" w:rsidRDefault="00A124B0" w:rsidP="00A124B0">
      <w:pPr>
        <w:pStyle w:val="NormalHanging12a"/>
      </w:pPr>
      <w:r w:rsidRPr="00EC6C41">
        <w:t>–</w:t>
      </w:r>
      <w:r w:rsidRPr="00EC6C41">
        <w:tab/>
        <w:t>uzimajući u obzir svoju Rezoluciju od 28. veljače 2024. naslovljenu „Izvješće o Izvješću Komisije o vladavini prava za 2023.”</w:t>
      </w:r>
      <w:r w:rsidRPr="00EC6C41">
        <w:rPr>
          <w:rStyle w:val="FootnoteReference"/>
        </w:rPr>
        <w:footnoteReference w:id="11"/>
      </w:r>
      <w:r w:rsidRPr="00EC6C41">
        <w:t>,</w:t>
      </w:r>
    </w:p>
    <w:p w:rsidR="00A124B0" w:rsidRPr="00EC6C41" w:rsidRDefault="00A124B0" w:rsidP="00A124B0">
      <w:pPr>
        <w:pStyle w:val="NormalHanging12a"/>
      </w:pPr>
      <w:r w:rsidRPr="00EC6C41">
        <w:lastRenderedPageBreak/>
        <w:t>–</w:t>
      </w:r>
      <w:r w:rsidRPr="00EC6C41">
        <w:tab/>
        <w:t>uzimajući u obzir članak 132. stavak 2. Poslovnika,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A.</w:t>
      </w:r>
      <w:r w:rsidRPr="00EC6C41">
        <w:tab/>
        <w:t xml:space="preserve">budući da pristup seksualnom i reproduktivnom zdravlju i </w:t>
      </w:r>
      <w:proofErr w:type="spellStart"/>
      <w:r w:rsidRPr="00EC6C41">
        <w:t>praviima</w:t>
      </w:r>
      <w:proofErr w:type="spellEnd"/>
      <w:r w:rsidRPr="00EC6C41">
        <w:t>, uključujući siguran i zakonit pobačaj, predstavljaju temeljno pravo; budući da je ostvarenje spolnog i reproduktivnog zdravlja i prava ključno za poštovanje ljudskog dostojanstva te je neodvojivo povezano s borbom protiv seksualnog i rodno uvjetovanog nasilja te postizanjem rodne ravnopravnosti i širokog raspona drugih ljudskih prava, kao što su pravo osobe na život, zdravlje, privatnost, sigurnost osobe, nediskriminacija, jednakost pred zakonom i sloboda od mučenja i drugog okrutnog, nečovječnog ili ponižavajućeg postupanja ili kažnjavanja;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B.</w:t>
      </w:r>
      <w:r w:rsidRPr="00EC6C41">
        <w:tab/>
        <w:t>budući da je sposobnost ljudi da ostvaruju svoju reproduktivnu autonomiju, kontroliraju svoj reproduktivni život i odluče hoće li, kada i kako imati djecu ključna za potpuno ostvarenje ljudskih prava žena, djevojčica i svih osoba koje mogu biti trudne; budući da tijelo osobe, njezin izbor te njezina puna autonomija moraju biti zajamčeni;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C.</w:t>
      </w:r>
      <w:r w:rsidRPr="00EC6C41">
        <w:tab/>
        <w:t>budući da su Poveljom utvrđena glavna temeljna prava i slobode ljudi koji žive u EU-u; budući da zaštita sigurne i zakonite skrbi povezane s pobačajem ima izravne posljedice za učinkovito ostvarivanje prava priznatih Poveljom, kao što su ljudsko dostojanstvo, osobna autonomija, jednakost, zdravlje te tjelesni i duševni integritet; budući da uskraćivanje pristupa skrbi povezanoj s pobačajem predstavlja kršenje tih temeljnih prava;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D.</w:t>
      </w:r>
      <w:r w:rsidRPr="00EC6C41">
        <w:tab/>
        <w:t>budući da je Odbor UN-a za ljudska prava izričito priznao da je odluka pojedinca o dobrovoljnom prekidu trudnoće obuhvaćena područjem primjene prava na privatnost; budući da je Odbor UN-a za ljudska prava nadalje utvrdio da nedjelovanje u skladu s odlukom žene o zakonitom pobačaju predstavlja kršenje prava na privatnost, među ostalim i kada se sudstvo miješa u takvu odluku;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E.</w:t>
      </w:r>
      <w:r w:rsidRPr="00EC6C41">
        <w:tab/>
        <w:t>budući da je u svojoj Općoj preporuci br. 35 Odbor UN-a za ukidanje diskriminacije žena (CEDAW) izričito naveo da je kriminalizacija pobačaja kršenje spolnog i reproduktivnog zdravlja i prava žena i oblik rodno uvjetovanog nasilja te je pozvao države da stave izvan snage sve zakone kojima se kriminalizira pobačaj;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F.</w:t>
      </w:r>
      <w:r w:rsidRPr="00EC6C41">
        <w:tab/>
        <w:t xml:space="preserve">budući da su spolno i reproduktivno zdravlje i prava među ciljevima održivog razvoja UN-a, posebno </w:t>
      </w:r>
      <w:proofErr w:type="spellStart"/>
      <w:r w:rsidRPr="00EC6C41">
        <w:t>podciljem</w:t>
      </w:r>
      <w:proofErr w:type="spellEnd"/>
      <w:r w:rsidRPr="00EC6C41">
        <w:t xml:space="preserve"> 3.7 kojim se poziva na univerzalan pristup uslugama zdravstvene skrbi u području spolnog i reproduktivnog zdravlja, uključujući planiranje obitelji, informiranje i obrazovanje te integraciju reproduktivnog zdravlja u nacionalne strategije i programe, te cilj 5.6. kojim se ističe potreba za osiguravanjem univerzalnog pristupa spolnom i reproduktivnom zdravlju i pravima, kako je dogovoreno u skladu s Programom djelovanja Međunarodne konferencije o stanovništvu i razvoju i Pekinškom platformom za djelovanje te zaključnim dokumentima njihovih revizijskih konferencija;</w:t>
      </w:r>
    </w:p>
    <w:p w:rsidR="00A124B0" w:rsidRPr="00EC6C41" w:rsidRDefault="00A124B0" w:rsidP="00A124B0">
      <w:pPr>
        <w:pStyle w:val="NormalHanging12a"/>
        <w:rPr>
          <w:rStyle w:val="doceo-font-family-base"/>
          <w:color w:val="000000"/>
          <w:szCs w:val="24"/>
        </w:rPr>
      </w:pPr>
      <w:r w:rsidRPr="00EC6C41">
        <w:rPr>
          <w:rStyle w:val="doceo-font-family-base"/>
          <w:color w:val="000000"/>
        </w:rPr>
        <w:t>G.</w:t>
      </w:r>
      <w:r w:rsidRPr="00EC6C41">
        <w:rPr>
          <w:rStyle w:val="doceo-font-family-base"/>
          <w:color w:val="000000"/>
        </w:rPr>
        <w:tab/>
      </w:r>
      <w:r w:rsidRPr="00EC6C41">
        <w:t>budući da zemlje s manje restriktivnim zakonima o pobačaju općenito imaju niže stope pobačaja od zemalja s vrlo restriktivnim zakonima o pobačaju</w:t>
      </w:r>
      <w:r w:rsidRPr="00EC6C41">
        <w:rPr>
          <w:rStyle w:val="FootnoteReference"/>
          <w:color w:val="000000"/>
          <w:szCs w:val="24"/>
        </w:rPr>
        <w:footnoteReference w:id="12"/>
      </w:r>
      <w:r w:rsidRPr="00EC6C41">
        <w:t xml:space="preserve">; budući da je za jamčenje potpune tjelesne autonomije, uključujući smanjenje neželjenih trudnoća i omogućivanje ljudima da donose informirane odluke o svojim životima i tijelima, </w:t>
      </w:r>
      <w:r w:rsidRPr="00EC6C41">
        <w:lastRenderedPageBreak/>
        <w:t xml:space="preserve">ključan pristup sveobuhvatnom seksualnom odgoju i obrazovanju o odnosima koji je primjeren dobi i utemeljen na dokazima, kao i visokokvalitetnoj, pristupačnoj, sigurnoj i besplatnoj kontracepciji i savjetovanju o planiranju obitelji; </w:t>
      </w:r>
      <w:r w:rsidRPr="00EC6C41">
        <w:rPr>
          <w:rStyle w:val="doceo-font-family-base"/>
          <w:color w:val="000000"/>
        </w:rPr>
        <w:t>budući da je sveobuhvatan spolni odgoj primjeren dobi ključan za izgradnju sposobnosti djece i mladih da stvore zdrave, jednake i sigurne odnose, posebno u pogledu pitanja rodnih normi, rodne ravnopravnosti, dinamike moći u odnosima i pristanka te poštovanja granica; budući da se tako također doprinosi postizanju rodne ravnopravnosti;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H.</w:t>
      </w:r>
      <w:r w:rsidRPr="00EC6C41">
        <w:tab/>
        <w:t>budući da su francuski zakonodavci u ključnom glasovanju 4. ožujka 2024. u francuski Ustav uključili zajamčenu slobodu pobačaja; budući da je Francuska prva zemlja na svijetu koja je pobačaj izričito učinila ustavnim pravom; budući da je cilj te revizije Ustava uspostaviti zaštitnu mjeru u kontekstu nazadovanja u pogledu prava na pobačaj u EU-u i svijetu, među ostalim u SAD-u, Poljskoj, Mađarskoj i Malti; budući da su rad i predanost feminističkih organizacija i parlamentarnih zastupnika u Francuskoj bili ključni za osiguravanje većine koja podupire ustavnu zaštitu prava na pobačaj;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rPr>
          <w:snapToGrid w:val="0"/>
        </w:rPr>
        <w:t>I.</w:t>
      </w:r>
      <w:r w:rsidRPr="00EC6C41">
        <w:rPr>
          <w:snapToGrid w:val="0"/>
        </w:rPr>
        <w:tab/>
      </w:r>
      <w:r w:rsidRPr="00EC6C41">
        <w:t>budući da su od uključivanja prava na pobačaj u francuski Ustav slične inicijative već razmotrene u drugim zemljama kao što su Španjolska i Švedska, što ukazuje na potrebu za europskim odgovorom na nazadovanje u pogledu rodne ravnopravnosti i spolnog i reproduktivnog zdravlja i prava te za ustavnom zaštitom prava koja su napadnuta;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J.</w:t>
      </w:r>
      <w:r w:rsidRPr="00EC6C41">
        <w:tab/>
        <w:t>budući da financijska potpora mora biti popraćena pozitivnim zakonodavnim promjenama kako bi se ostvarilo pravo na pristup skrbi u vezi s pobačajem;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K.</w:t>
      </w:r>
      <w:r w:rsidRPr="00EC6C41">
        <w:tab/>
        <w:t>budući da se, iako EU ima neke od najviših standarda spolnog i reproduktivnog zdravlja i prava u svijetu, žene i članovi zajednice LGBTIQ+ i dalje suočavaju s preprekama u uživanju svoje tjelesne autonomije; budući da te prepreke mogu biti pravne, političke, financijske, kulturne ili informacijske prirode;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L.</w:t>
      </w:r>
      <w:r w:rsidRPr="00EC6C41">
        <w:tab/>
        <w:t>budući da neke države članice i dalje imaju vrlo restriktivne zakone kojima se zabranjuje pobačaj, osim u strogo definiranim okolnostima, što dovodi do toga da žene moraju tražiti nesigurne i po život opasne postupke, putovati u druge zemlje ili protiv svoje volje iznijeti trudnoću do kraja, što je kršenje ljudskih prava i jedan od oblika rodno uvjetovanog nasilja; budući da su neke države članice koje su legalizirale pobačaj na zahtjev ili zbog općenitih socijalnih razloga i dalje zadržale posebne kaznene sankcije za pobačaje koji se izvršavaju izvan opsega primjenjivih pravnih odredbi;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M.</w:t>
      </w:r>
      <w:r w:rsidRPr="00EC6C41">
        <w:tab/>
        <w:t>budući da nekoliko država članica trenutačno pokušava dodatno ograničiti pristup spolnom i reproduktivnom zdravlju i pravima s pomoću vrlo restriktivnih zakona, što dovodi do ograničenog pristupa zdravstvenoj skrbi te rodno uvjetovane diskriminacije i nasilja; budući da te inicijative i nazadovanje sprečavaju ostvarivanje prava ljudi i razvoj zemalja te potkopavaju demokraciju, europske vrijednosti i temeljna prava;</w:t>
      </w:r>
    </w:p>
    <w:p w:rsidR="00A124B0" w:rsidRPr="00EC6C41" w:rsidRDefault="00A124B0" w:rsidP="00A124B0">
      <w:pPr>
        <w:pStyle w:val="NormalHanging12a"/>
        <w:rPr>
          <w:szCs w:val="24"/>
        </w:rPr>
      </w:pPr>
      <w:bookmarkStart w:id="8" w:name="_Hlk161903494"/>
      <w:r w:rsidRPr="00EC6C41">
        <w:t>N.</w:t>
      </w:r>
      <w:r w:rsidRPr="00EC6C41">
        <w:tab/>
        <w:t>budući da se na globalnoj razini odvija koordinirano i dobro financirano nazadovanje u području rodne ravnopravnosti, raznolikosti LGBTIQ+ osoba i feminizma; budući da diljem svijeta regresivne sile i ultrakonzervativni vjerski akteri i akteri krajnje desnice pokušavaju poništiti desetljeća napretka u području ljudskih prava i nametnuti štetan svjetski pogled na rodne uloge u obiteljima i javnom životu; budući da su ti pokreti i napadi usko povezani s trendom povratka autoritarnih sustava u globalnoj demokraciji; budući da to predstavlja jasnu prijetnju vladavini prava u Europi;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lastRenderedPageBreak/>
        <w:t>O.</w:t>
      </w:r>
      <w:r w:rsidRPr="00EC6C41">
        <w:tab/>
        <w:t xml:space="preserve">budući da ti pokreti protiv rodne ravnopravnosti i prava posebno napadaju seksualna i reproduktivna prava i autonomiju žena te utječu na zakonodavstvo i politiku, što dovodi do </w:t>
      </w:r>
      <w:proofErr w:type="spellStart"/>
      <w:r w:rsidRPr="00EC6C41">
        <w:t>retrogresivnih</w:t>
      </w:r>
      <w:proofErr w:type="spellEnd"/>
      <w:r w:rsidRPr="00EC6C41">
        <w:t xml:space="preserve"> inicijativa koje se provode u nekoliko država članica s ciljem ugrožavanja spolnog i reproduktivnog zdravlja i prava;</w:t>
      </w:r>
      <w:bookmarkEnd w:id="8"/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P.</w:t>
      </w:r>
      <w:r w:rsidRPr="00EC6C41">
        <w:tab/>
        <w:t>budući da je Poljska dodatno ograničila pristup skrbi u vezi sa zakonitim pobačajem nakon presude nelegitimnog Ustavnog suda od 22. listopada 2020.</w:t>
      </w:r>
      <w:r w:rsidRPr="00EC6C41">
        <w:rPr>
          <w:rStyle w:val="FootnoteReference"/>
          <w:color w:val="000000"/>
          <w:szCs w:val="24"/>
        </w:rPr>
        <w:footnoteReference w:id="13"/>
      </w:r>
      <w:r w:rsidRPr="00EC6C41">
        <w:t xml:space="preserve"> koja je uključivala de facto zabranu pobačaja i dovela do smrti najmanje šest žena; budući da su žene pod istragom zbog navodnih pobačaja, a borkinje za ljudska i reproduktivna prava kazneno su gonjene zbog pomaganja ženama u pristupu skrbi povezanoj s pobačajem ili zbog prosvjedovanja za pravo na pobačaj; budući da je u nedavnoj presudi Europskog suda za ljudska prava u predmetu </w:t>
      </w:r>
      <w:r w:rsidRPr="00EC6C41">
        <w:rPr>
          <w:i/>
          <w:iCs/>
        </w:rPr>
        <w:t>M. L. protiv Poljske</w:t>
      </w:r>
      <w:r w:rsidRPr="00EC6C41">
        <w:t xml:space="preserve"> utvrđeno da je došlo do kršenja članka 8. Europske konvencije o ljudskim pravima o pravu na poštovanje privatnog i obiteljskog života u slučaju žene koja je bila prisiljena putovati u inozemstvo radi pobačaja uz znatne osobne troškove, pri čemu je bila odvojena od mreže potpore njezine obitelji, što je imalo znatan psihološki učinak;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Q.</w:t>
      </w:r>
      <w:r w:rsidRPr="00EC6C41">
        <w:tab/>
        <w:t xml:space="preserve">budući da je novoizabrana poljska vlada predana predlaganju novih zakona kako bi se zajamčila prava žena i pristup seksualnom i reproduktivnom zdravlju i pravima, uključujući skrb u vezi s pobačajem; budući da je glasovanje o prijedlozima zakona za dekriminalizaciju i osiguravanje pristupa skrbi u vezi s pobačajem u poljskom </w:t>
      </w:r>
      <w:proofErr w:type="spellStart"/>
      <w:r w:rsidRPr="00EC6C41">
        <w:t>Sejmu</w:t>
      </w:r>
      <w:proofErr w:type="spellEnd"/>
      <w:r w:rsidRPr="00EC6C41">
        <w:t xml:space="preserve"> nažalost odgođeno;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R.</w:t>
      </w:r>
      <w:r w:rsidRPr="00EC6C41">
        <w:tab/>
        <w:t xml:space="preserve">budući da je na Malti pobačaj </w:t>
      </w:r>
      <w:r w:rsidRPr="00EC6C41">
        <w:rPr>
          <w:i/>
        </w:rPr>
        <w:t>de facto</w:t>
      </w:r>
      <w:r w:rsidRPr="00EC6C41">
        <w:t xml:space="preserve"> zabranjen i kriminaliziran; budući da je reforma iz srpnja 2023. dovela do zabrinjavajuće promjene u malteškom parlamentu, čime su uklonjena prava te je nastalo još više rizika i prepreka pristupu skrbi u vezi s pobačajem nego prije; budući da među tim preprekama liječnici mogu prekinuti trudnoću samo ako je život osobe u neposrednoj opasnosti i prije nego što dođe do „</w:t>
      </w:r>
      <w:proofErr w:type="spellStart"/>
      <w:r w:rsidRPr="00EC6C41">
        <w:t>vijabilnosti</w:t>
      </w:r>
      <w:proofErr w:type="spellEnd"/>
      <w:r w:rsidRPr="00EC6C41">
        <w:t xml:space="preserve"> fetusa” te su obvezni uputiti umiruću trudnu osobu liječničkom povjerenstvu sastavljenom od tri savjetnika; budući da su slučajevi teške opasnosti za zdravlje isključeni iz zakona; budući da se trudna osoba oboljela od raka na Malti ne može na odgovarajući način liječiti i mora čekati rođenje djeteta prije liječenja raka, što dovodi do nižih izgleda za uspješno liječenje;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S.</w:t>
      </w:r>
      <w:r w:rsidRPr="00EC6C41">
        <w:tab/>
        <w:t>budući da medicinski pobačaj nije zakonit u Slovačkoj i Mađarskoj; budući da je Mađarska u rujnu 2022. donijela odluku kojom se žene koje traže pobačaj obvezuje da slušaju „otkucaje srca fetusa”; budući da su u Slovačkoj primijećeni opetovani pokušaji ograničavanja pristupa skrbi povezanoj s pobačajem putem regresivnih prijedloga zakona;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T.</w:t>
      </w:r>
      <w:r w:rsidRPr="00EC6C41">
        <w:tab/>
        <w:t>budući da se pristup skrbi povezanoj s pobačajem narušava i u Italiji</w:t>
      </w:r>
      <w:r w:rsidRPr="00EC6C41">
        <w:rPr>
          <w:szCs w:val="24"/>
          <w:vertAlign w:val="superscript"/>
        </w:rPr>
        <w:footnoteReference w:id="14"/>
      </w:r>
      <w:r w:rsidRPr="00EC6C41">
        <w:t xml:space="preserve">; budući da u zemljama kao što su Italija, Slovačka i Rumunjska velika većina liječnika izražava prigovor savjesti, zbog čega je de facto pristup skrbi u vezi s pobačajem u nekim regijama iznimno zahtjevan; budući da je pristup pravodobnoj i odgovarajućoj skrbi povezanoj s pobačajem uskraćen u drugim državama članicama zbog praktičnih </w:t>
      </w:r>
      <w:r w:rsidRPr="00EC6C41">
        <w:lastRenderedPageBreak/>
        <w:t>prepreka, primjerice u Hrvatskoj</w:t>
      </w:r>
      <w:r w:rsidRPr="00EC6C41">
        <w:rPr>
          <w:szCs w:val="24"/>
          <w:vertAlign w:val="superscript"/>
        </w:rPr>
        <w:footnoteReference w:id="15"/>
      </w:r>
      <w:r w:rsidRPr="00EC6C41">
        <w:t>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rPr>
          <w:snapToGrid w:val="0"/>
        </w:rPr>
        <w:t>U.</w:t>
      </w:r>
      <w:r w:rsidRPr="00EC6C41">
        <w:rPr>
          <w:snapToGrid w:val="0"/>
        </w:rPr>
        <w:tab/>
      </w:r>
      <w:r w:rsidRPr="00EC6C41">
        <w:t>budući da je u belgijskom saveznom parlamentu odgođeno nekoliko pokušaja potpune dekriminalizacije pobačaja u Belgiji;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rPr>
          <w:snapToGrid w:val="0"/>
        </w:rPr>
        <w:t>V.</w:t>
      </w:r>
      <w:r w:rsidRPr="00EC6C41">
        <w:rPr>
          <w:snapToGrid w:val="0"/>
        </w:rPr>
        <w:tab/>
      </w:r>
      <w:r w:rsidRPr="00EC6C41">
        <w:t>budući da su u nekim zemljama postupci pobačaja i nepristrano savjetovanje i dalje tabu i rijetko dio obveznog medicinskog osposobljavanja, što dovodi do nedostatka znanja i prakse među liječnicima na štetu fizičkog i mentalnog zdravlja pacijenata;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rPr>
          <w:snapToGrid w:val="0"/>
        </w:rPr>
        <w:t>W.</w:t>
      </w:r>
      <w:r w:rsidRPr="00EC6C41">
        <w:rPr>
          <w:snapToGrid w:val="0"/>
        </w:rPr>
        <w:tab/>
      </w:r>
      <w:r w:rsidRPr="00EC6C41">
        <w:t>budući da dezinformacije o pobačaju, uključujući na internetu, predstavljaju stvarnu prepreku autonomiji žena; budući da se donedavno u Njemačkoj pružanje informacija na internetskim stranicama liječnika o metodama medicinskog pobačaja smatralo promicanjem pobačaja i da je bilo kažnjavano; budući da je „zabrana oglašavanja pobačaja” ukinuta tek u srpnju 2022.;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X.</w:t>
      </w:r>
      <w:r w:rsidRPr="00EC6C41">
        <w:tab/>
        <w:t>budući da ukrajinske izbjeglice u nekim državama članicama nisu imale pristup skrbi u vezi s pobačajem, među ostalim u slučajevima seksualnog nasilja, što predstavlja teško kršenje njihovih ljudskih prava te mučenje i nečovječno ili ponižavajuće postupanje;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Y.</w:t>
      </w:r>
      <w:r w:rsidRPr="00EC6C41">
        <w:tab/>
        <w:t>budući da kriminalizacija, odgađanje i uskraćivanje pristupa spolnom i reproduktivnom zdravlju i pravima, posebno skrbi povezanoj s pobačajem, predstavljaju oblik rodno uvjetovanog nasilja; budući da ta ograničenja i zabrane ne dovode do smanjenja broja pobačaja, već samo prisiljavaju osobe na prelaženje velikih udaljenosti ili pribjegavanje nesigurnim pobačajima, što ih također čini podložnima kaznenoj istrazi i kaznenom progonu; budući da ta ograničenja utječu na one koji nemaju dovoljno resursa i informacija; budući da se gotovo svi smrtni slučajevi uzrokovani nesigurnim pobačajima događaju u zemljama u kojima je pobačaj strogo ograničen; budući da se ti smrtni slučajevi mogu izbjeći; budući da su nesigurni pobačaji glavni uzrok morbiditeta rodilja, koji se može spriječiti;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Z.</w:t>
      </w:r>
      <w:r w:rsidRPr="00EC6C41">
        <w:tab/>
        <w:t xml:space="preserve">budući da se marginalizirane osobe i skupine, uključujući rasne, etničke i vjerske manjine, migrante, osobe u nepovoljnom socioekonomskom položaju, osobe koje žive u ruralnim područjima, osobe s invaliditetom, pripadnike zajednice LGBTIQ+ i žrtve nasilja, često suočavaju s dodatnim preprekama, </w:t>
      </w:r>
      <w:proofErr w:type="spellStart"/>
      <w:r w:rsidRPr="00EC6C41">
        <w:t>intersekcijskom</w:t>
      </w:r>
      <w:proofErr w:type="spellEnd"/>
      <w:r w:rsidRPr="00EC6C41">
        <w:t xml:space="preserve"> diskriminacijom i nasiljem u pristupu zdravstvenoj skrbi; budući da je to rezultat zakona i politika kojima se omogućuju prisilne prakse povezane sa spolnim i reproduktivnim zdravljem te neuspjeha u osiguravanju razumnih prilagodbi u pristupu kvalitetnoj skrbi i informacijama;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1.</w:t>
      </w:r>
      <w:r w:rsidRPr="00EC6C41">
        <w:tab/>
        <w:t>ponovno podsjeća da su seksualno i reproduktivno zdravlje i prava temeljna ljudska prava koja se moraju štititi i jačati te koja se ni na koji način ne smiju oslabiti ili ukinuti;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2.</w:t>
      </w:r>
      <w:r w:rsidRPr="00EC6C41">
        <w:tab/>
        <w:t>podsjeća na predanost EU-a promicanju, zaštiti i ostvarivanju prava svakog pojedinca, osobito svake žene i djevojčice na tjelesnu autonomiju i potpunu kontrolu nad pitanjima povezanima s njihovom seksualnošću te seksualnim i reproduktivnim pravima, kao i na slobodno odlučivanje o njima, bez diskriminacije, prisile i nasilja;</w:t>
      </w:r>
    </w:p>
    <w:p w:rsidR="00A124B0" w:rsidRPr="00EC6C41" w:rsidRDefault="00A124B0" w:rsidP="00A124B0">
      <w:pPr>
        <w:pStyle w:val="NormalHanging12a"/>
        <w:rPr>
          <w:szCs w:val="24"/>
        </w:rPr>
      </w:pPr>
      <w:r w:rsidRPr="00EC6C41">
        <w:t>3.</w:t>
      </w:r>
      <w:r w:rsidRPr="00EC6C41">
        <w:tab/>
        <w:t xml:space="preserve">snažno potiče Europsko vijeće da pokrene konvenciju za reviziju Ugovorâ, kako je </w:t>
      </w:r>
      <w:r w:rsidRPr="00EC6C41">
        <w:lastRenderedPageBreak/>
        <w:t xml:space="preserve">zatraženo u rezolucijama od 9. lipnja 2022. i 22. studenoga 2023., te da donese prijedlog iz </w:t>
      </w:r>
      <w:r w:rsidRPr="00EC6C41">
        <w:rPr>
          <w:shd w:val="clear" w:color="auto" w:fill="FEFEFE"/>
        </w:rPr>
        <w:t>Rezolucije od 22. studenoga 2023.</w:t>
      </w:r>
      <w:r w:rsidRPr="00EC6C41">
        <w:t xml:space="preserve"> o dodavanju zdravstvene skrbi u području spolnog i reproduktivnog zdravlja i prava na siguran i zakonit pobačaj u Povelju te da je izmijeni kako slijedi:</w:t>
      </w:r>
    </w:p>
    <w:tbl>
      <w:tblPr>
        <w:tblStyle w:val="1"/>
        <w:tblW w:w="9752" w:type="dxa"/>
        <w:jc w:val="center"/>
        <w:tblLayout w:type="fixed"/>
        <w:tblLook w:val="0000" w:firstRow="0" w:lastRow="0" w:firstColumn="0" w:lastColumn="0" w:noHBand="0" w:noVBand="0"/>
      </w:tblPr>
      <w:tblGrid>
        <w:gridCol w:w="9752"/>
      </w:tblGrid>
      <w:tr w:rsidR="00A124B0" w:rsidRPr="00EC6C41" w:rsidTr="00495188">
        <w:trPr>
          <w:jc w:val="center"/>
        </w:trPr>
        <w:tc>
          <w:tcPr>
            <w:tcW w:w="9752" w:type="dxa"/>
          </w:tcPr>
          <w:p w:rsidR="00A124B0" w:rsidRPr="00EC6C41" w:rsidRDefault="00A124B0" w:rsidP="00495188">
            <w:pPr>
              <w:ind w:left="144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EC6C41">
              <w:rPr>
                <w:rFonts w:ascii="Times New Roman" w:hAnsi="Times New Roman"/>
              </w:rPr>
              <w:t>Članak 3.</w:t>
            </w:r>
          </w:p>
          <w:p w:rsidR="00A124B0" w:rsidRPr="00EC6C41" w:rsidRDefault="00A124B0" w:rsidP="00EC6C41">
            <w:pPr>
              <w:ind w:left="1440"/>
              <w:rPr>
                <w:rFonts w:ascii="Times New Roman" w:eastAsia="Times New Roman" w:hAnsi="Times New Roman" w:cs="Times New Roman"/>
                <w:szCs w:val="24"/>
              </w:rPr>
            </w:pPr>
            <w:r w:rsidRPr="00EC6C41">
              <w:rPr>
                <w:rFonts w:ascii="Times New Roman" w:hAnsi="Times New Roman"/>
              </w:rPr>
              <w:t xml:space="preserve">Pravo na integritet osobe </w:t>
            </w:r>
            <w:r w:rsidRPr="00EC6C41">
              <w:rPr>
                <w:rFonts w:ascii="Times New Roman" w:hAnsi="Times New Roman"/>
                <w:b/>
                <w:bCs/>
              </w:rPr>
              <w:t>i na tjelesnu autonomiju</w:t>
            </w:r>
          </w:p>
          <w:p w:rsidR="00A124B0" w:rsidRPr="00EC6C41" w:rsidRDefault="00A124B0" w:rsidP="00EC6C41">
            <w:pPr>
              <w:ind w:left="1440"/>
              <w:rPr>
                <w:rFonts w:ascii="Times New Roman" w:eastAsia="Times New Roman" w:hAnsi="Times New Roman" w:cs="Times New Roman"/>
                <w:szCs w:val="24"/>
              </w:rPr>
            </w:pPr>
            <w:r w:rsidRPr="00EC6C41">
              <w:rPr>
                <w:rFonts w:ascii="Times New Roman" w:hAnsi="Times New Roman"/>
                <w:b/>
              </w:rPr>
              <w:t xml:space="preserve">2.a </w:t>
            </w:r>
            <w:r w:rsidRPr="00EC6C41">
              <w:rPr>
                <w:rFonts w:ascii="Times New Roman" w:hAnsi="Times New Roman"/>
                <w:b/>
                <w:bCs/>
              </w:rPr>
              <w:t>Svatko ima pravo na tjelesnu autonomiju te na slobodan, informiran, potpun i univerzalan pristup seksualnom i reproduktivnom zdravlju i pravima te svim povezanim zdravstvenim uslugama bez diskriminacije, uključujući pristup sigurnom i zakonitom pobačaju;</w:t>
            </w:r>
          </w:p>
        </w:tc>
      </w:tr>
    </w:tbl>
    <w:p w:rsidR="00A124B0" w:rsidRPr="00EC6C41" w:rsidRDefault="00A124B0" w:rsidP="00A124B0">
      <w:pPr>
        <w:pStyle w:val="NormalHanging12a"/>
      </w:pPr>
      <w:r w:rsidRPr="00EC6C41">
        <w:t>4.</w:t>
      </w:r>
      <w:r w:rsidRPr="00EC6C41">
        <w:tab/>
        <w:t>najoštrije osuđuje nazadovanje u pogledu prava žena i sve regresivne pokušaje ograničavanja ili ukidanja postojeće zaštite spolnog i reproduktivnog zdravlja i prava te rodne ravnopravnosti koji se odvijaju na globalnoj razini, među ostalim u državama članicama EU-a, kao i sve oblike prijetnji, zastrašivanja i uznemiravanja usmjerenih protiv boraca za ljudska prava i organizacija civilnog društva koje rade na promicanju tih prava;</w:t>
      </w:r>
    </w:p>
    <w:p w:rsidR="00A124B0" w:rsidRPr="00EC6C41" w:rsidRDefault="00A124B0" w:rsidP="00A124B0">
      <w:pPr>
        <w:pStyle w:val="NormalHanging12a"/>
      </w:pPr>
      <w:r w:rsidRPr="00EC6C41">
        <w:t>5.</w:t>
      </w:r>
      <w:r w:rsidRPr="00EC6C41">
        <w:tab/>
        <w:t xml:space="preserve">zabrinut je zbog znatnog porasta financiranja </w:t>
      </w:r>
      <w:proofErr w:type="spellStart"/>
      <w:r w:rsidRPr="00EC6C41">
        <w:t>antirodnih</w:t>
      </w:r>
      <w:proofErr w:type="spellEnd"/>
      <w:r w:rsidRPr="00EC6C41">
        <w:t xml:space="preserve"> skupina i skupina protiv prava na izbor u svijetu, među ostalim i u Europi; poziva Komisiju da iskoristi sve dostupne alate kako bi osigurala da organizacije koje se bore protiv rodne ravnopravnosti i prava žena, uključujući reproduktivna prava, ne primaju financijska sredstva EU-a;</w:t>
      </w:r>
    </w:p>
    <w:p w:rsidR="00A124B0" w:rsidRPr="00EC6C41" w:rsidRDefault="00A124B0" w:rsidP="00A124B0">
      <w:pPr>
        <w:pStyle w:val="NormalHanging12a"/>
      </w:pPr>
      <w:r w:rsidRPr="00EC6C41">
        <w:t>6.</w:t>
      </w:r>
      <w:r w:rsidRPr="00EC6C41">
        <w:tab/>
      </w:r>
      <w:r w:rsidRPr="00EC6C41">
        <w:rPr>
          <w:shd w:val="clear" w:color="auto" w:fill="FEFEFE"/>
        </w:rPr>
        <w:t xml:space="preserve">potiče države članice da u potpunosti </w:t>
      </w:r>
      <w:proofErr w:type="spellStart"/>
      <w:r w:rsidRPr="00EC6C41">
        <w:rPr>
          <w:shd w:val="clear" w:color="auto" w:fill="FEFEFE"/>
        </w:rPr>
        <w:t>dekriminaliziraju</w:t>
      </w:r>
      <w:proofErr w:type="spellEnd"/>
      <w:r w:rsidRPr="00EC6C41">
        <w:rPr>
          <w:shd w:val="clear" w:color="auto" w:fill="FEFEFE"/>
        </w:rPr>
        <w:t xml:space="preserve"> pobačaj u skladu sa smjernicama Svjetske zdravstvene organizacije iz 2022. te da uklone i suzbijaju prepreke sigurnom i zakonitom pobačaju i pristupu spolnom i reproduktivnom zdravlju i pravima; </w:t>
      </w:r>
      <w:r w:rsidRPr="00EC6C41">
        <w:t xml:space="preserve">poziva Poljsku i Maltu da stave izvan snage svoje zakone i druge mjere u vezi sa zabranama i ograničenjima pobačaja; potiče poljske vlasti da prednost daju zakonodavnim naporima kako bi se što prije osigurao potpuni pristup sigurnom i zakonitom pobačaju; potiče malteške vlasti da odmah </w:t>
      </w:r>
      <w:proofErr w:type="spellStart"/>
      <w:r w:rsidRPr="00EC6C41">
        <w:t>dekriminaliziraju</w:t>
      </w:r>
      <w:proofErr w:type="spellEnd"/>
      <w:r w:rsidRPr="00EC6C41">
        <w:t xml:space="preserve"> pobačaj i omoguće pristup sigurnom i zakonitom pobačaju u skladu sa smjernicama Svjetske zdravstvene organizacije iz 2022.;</w:t>
      </w:r>
    </w:p>
    <w:p w:rsidR="00A124B0" w:rsidRPr="00EC6C41" w:rsidRDefault="00A124B0" w:rsidP="00A124B0">
      <w:pPr>
        <w:pStyle w:val="NormalHanging12a"/>
      </w:pPr>
      <w:r w:rsidRPr="00EC6C41">
        <w:t>7.</w:t>
      </w:r>
      <w:r w:rsidRPr="00EC6C41">
        <w:tab/>
        <w:t xml:space="preserve">snažno poziva sve vlade država članica da zajamče </w:t>
      </w:r>
      <w:r w:rsidRPr="00EC6C41">
        <w:rPr>
          <w:shd w:val="clear" w:color="auto" w:fill="FEFEFE"/>
        </w:rPr>
        <w:t>pristup bez diskriminacije sigurnoj, zakonitoj i besplatnoj skrbi povezanoj s pobačajem, uslugama i potrepštinama u području prenatalne skrbi i skrbi o rodiljama, dobrovoljnom planiranju obitelji, kontracepcijskim sredstvima, uslugama prilagođenima mladima, kao i mjerama prevencije HIV-a, liječenju, skrbi i potpori;</w:t>
      </w:r>
    </w:p>
    <w:p w:rsidR="00A124B0" w:rsidRPr="00EC6C41" w:rsidRDefault="00A124B0" w:rsidP="00A124B0">
      <w:pPr>
        <w:pStyle w:val="NormalHanging12a"/>
        <w:rPr>
          <w:shd w:val="clear" w:color="auto" w:fill="FEFEFE"/>
        </w:rPr>
      </w:pPr>
      <w:r w:rsidRPr="00EC6C41">
        <w:t>8.</w:t>
      </w:r>
      <w:r w:rsidRPr="00EC6C41">
        <w:tab/>
      </w:r>
      <w:r w:rsidRPr="00EC6C41">
        <w:rPr>
          <w:shd w:val="clear" w:color="auto" w:fill="FEFEFE"/>
        </w:rPr>
        <w:t>osuđuje činjenicu da u nekim državama članicama</w:t>
      </w:r>
      <w:r w:rsidRPr="00EC6C41">
        <w:t xml:space="preserve"> </w:t>
      </w:r>
      <w:r w:rsidRPr="00EC6C41">
        <w:rPr>
          <w:shd w:val="clear" w:color="auto" w:fill="FEFEFE"/>
        </w:rPr>
        <w:t>liječnici, a u nekim slučajevima i sve zdravstvene ustanove, odbijaju pobačaj na temelju takozvane klauzule o prizivu savjesti; žali zbog činjenice da se priziv savjesti često primjenjuje u situacijama u kojima bilo kakva odgoda ugrožava život ili zdravlje pacijenta;</w:t>
      </w:r>
    </w:p>
    <w:p w:rsidR="00A124B0" w:rsidRPr="00EC6C41" w:rsidRDefault="00A124B0" w:rsidP="00A124B0">
      <w:pPr>
        <w:pStyle w:val="NormalHanging12a"/>
      </w:pPr>
      <w:r w:rsidRPr="00EC6C41">
        <w:t>9.</w:t>
      </w:r>
      <w:r w:rsidRPr="00EC6C41">
        <w:tab/>
        <w:t xml:space="preserve">poziva države članice da svima osiguraju pristup cijelom nizu usluga povezanih sa spolnim i reproduktivnim zdravljem i pravima, uključujući dobno prilagođeno i sveobuhvatno obrazovanje o seksualnosti i odnosima za sve koje se temelji na dokazima, visokokvalitetne, pristupačne, sigurne i besplatne kontracepcijske metode i potrepštine te savjetovanje o planiranju obitelji, pri čemu posebnu pozornost treba </w:t>
      </w:r>
      <w:r w:rsidRPr="00EC6C41">
        <w:lastRenderedPageBreak/>
        <w:t xml:space="preserve">posvetiti </w:t>
      </w:r>
      <w:proofErr w:type="spellStart"/>
      <w:r w:rsidRPr="00EC6C41">
        <w:t>nebjelkinjama</w:t>
      </w:r>
      <w:proofErr w:type="spellEnd"/>
      <w:r w:rsidRPr="00EC6C41">
        <w:t>, Romkinjama, starijim ženama, ženama s nižim stupnjem obrazovanja, LGBTIQ+ osobama, ženama s invaliditetom, adolescenticama, migranticama, uključujući nezakonite migrantice, i neudanim ženama;</w:t>
      </w:r>
    </w:p>
    <w:p w:rsidR="00A124B0" w:rsidRPr="00EC6C41" w:rsidRDefault="00A124B0" w:rsidP="00A124B0">
      <w:pPr>
        <w:pStyle w:val="NormalHanging12a"/>
      </w:pPr>
      <w:r w:rsidRPr="00EC6C41">
        <w:t>10.</w:t>
      </w:r>
      <w:r w:rsidRPr="00EC6C41">
        <w:tab/>
        <w:t>poziva države članice i lokalne vlasti da povećaju svoju potrošnju na programe i izravne subvencije za strukture, uključujući usluge zdravstvene skrbi i planiranja obitelji te druge organizacije aktivne u tom području;</w:t>
      </w:r>
    </w:p>
    <w:p w:rsidR="00A124B0" w:rsidRPr="00EC6C41" w:rsidRDefault="00A124B0" w:rsidP="00A124B0">
      <w:pPr>
        <w:pStyle w:val="NormalHanging12a"/>
      </w:pPr>
      <w:r w:rsidRPr="00EC6C41">
        <w:t>11.</w:t>
      </w:r>
      <w:r w:rsidRPr="00EC6C41">
        <w:tab/>
        <w:t>potiče vlade država članica da metode i postupke pobačaja učine obveznim dijelom kurikuluma za liječnike i studente medicine, posebno studente ginekologije;</w:t>
      </w:r>
    </w:p>
    <w:p w:rsidR="00A124B0" w:rsidRPr="00EC6C41" w:rsidRDefault="00A124B0" w:rsidP="00A124B0">
      <w:pPr>
        <w:pStyle w:val="NormalHanging12a"/>
      </w:pPr>
      <w:r w:rsidRPr="00EC6C41">
        <w:t>12.</w:t>
      </w:r>
      <w:r w:rsidRPr="00EC6C41">
        <w:tab/>
        <w:t>poziva sve države članice da uklone pravne, financijske, socijalne i praktične prepreke i ograničenja pobačaja, uključujući ona koja nerazmjerno pogađaju žene u siromaštvu, posebno žene diskriminirane na rasnoj osnovi, uključujući crne žene i pripadnice etničkih manjina te samohrane majke;</w:t>
      </w:r>
    </w:p>
    <w:p w:rsidR="00A124B0" w:rsidRPr="00EC6C41" w:rsidRDefault="00A124B0" w:rsidP="00A124B0">
      <w:pPr>
        <w:pStyle w:val="NormalHanging12a"/>
      </w:pPr>
      <w:r w:rsidRPr="00EC6C41">
        <w:t>13.</w:t>
      </w:r>
      <w:r w:rsidRPr="00EC6C41">
        <w:tab/>
        <w:t>prepoznaje važnu ulogu organizacija civilnog društva i boraca za spolno i reproduktivno zdravlje i prava kao pružatelja usluga i zagovornika spolnog i reproduktivnog zdravlja i prava te ih potiče da nastave s radom; poziva EU i države članice da osiguraju i politički podupru poticajni prostor za građansko djelovanje u EU-u putem strategije civilnog društva, da zajamče zaštitu žena i boraca za spolno i reproduktivno zdravlje i prava s pomoću mehanizma zaštite boraca za ljudska prava te da im pruže financijsku potporu, posebno u okviru programa Građani, jednakost, prava i vrijednosti; poziva države članice da poboljšaju pristup uslugama zdravstvene skrbi u području spolnog i reproduktivnog zdravlja, uključujući pobačaj, u okviru programa „EU za zdravlje”;</w:t>
      </w:r>
    </w:p>
    <w:p w:rsidR="00A124B0" w:rsidRPr="00EC6C41" w:rsidRDefault="00A124B0" w:rsidP="00A124B0">
      <w:pPr>
        <w:pStyle w:val="NormalHanging12a"/>
      </w:pPr>
      <w:r w:rsidRPr="00EC6C41">
        <w:t>14.</w:t>
      </w:r>
      <w:r w:rsidRPr="00EC6C41">
        <w:tab/>
        <w:t>nadalje poziva EU da djeluje kao zagovornik i da priznavanje tog prava učini ključnim prioritetom u pregovorima u međunarodnim institucijama i u drugim multilateralnim forumima kao što su Vijeće Europe i UN; poziva EU da ratificira Europsku konvenciju o ljudskim pravima;</w:t>
      </w:r>
    </w:p>
    <w:p w:rsidR="00A124B0" w:rsidRPr="00EC6C41" w:rsidRDefault="00A124B0" w:rsidP="00EC6C41">
      <w:pPr>
        <w:ind w:left="567" w:hanging="567"/>
      </w:pPr>
      <w:r w:rsidRPr="00EC6C41">
        <w:t>15.</w:t>
      </w:r>
      <w:r w:rsidRPr="00EC6C41">
        <w:tab/>
      </w:r>
      <w:r w:rsidRPr="00EC6C41">
        <w:rPr>
          <w:shd w:val="clear" w:color="auto" w:fill="FEFEFE"/>
        </w:rPr>
        <w:t>nalaže svojoj predsjednici da ovu Rezoluciju proslijedi Vijeću i Komisiji.</w:t>
      </w:r>
    </w:p>
    <w:sectPr w:rsidR="00A124B0" w:rsidRPr="00EC6C41" w:rsidSect="00ED1B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D0F" w:rsidRPr="00ED1BB0" w:rsidRDefault="00DE3D0F">
      <w:r w:rsidRPr="00ED1BB0">
        <w:separator/>
      </w:r>
    </w:p>
  </w:endnote>
  <w:endnote w:type="continuationSeparator" w:id="0">
    <w:p w:rsidR="00DE3D0F" w:rsidRPr="00ED1BB0" w:rsidRDefault="00DE3D0F">
      <w:r w:rsidRPr="00ED1B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1B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1B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1B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D0F" w:rsidRPr="00ED1BB0" w:rsidRDefault="00DE3D0F">
      <w:r w:rsidRPr="00ED1BB0">
        <w:separator/>
      </w:r>
    </w:p>
  </w:footnote>
  <w:footnote w:type="continuationSeparator" w:id="0">
    <w:p w:rsidR="00DE3D0F" w:rsidRPr="00ED1BB0" w:rsidRDefault="00DE3D0F">
      <w:r w:rsidRPr="00ED1BB0">
        <w:continuationSeparator/>
      </w:r>
    </w:p>
  </w:footnote>
  <w:footnote w:id="1">
    <w:p w:rsidR="00A124B0" w:rsidRPr="00EC6C41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Pr="00EC6C41">
        <w:rPr>
          <w:sz w:val="24"/>
          <w:lang w:val="hr-HR"/>
        </w:rPr>
        <w:t>SL C 449, 23.12.2020., str. 102.</w:t>
      </w:r>
    </w:p>
  </w:footnote>
  <w:footnote w:id="2">
    <w:p w:rsidR="00A124B0" w:rsidRPr="00EC6C41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Pr="00EC6C41">
        <w:rPr>
          <w:sz w:val="24"/>
          <w:lang w:val="hr-HR"/>
        </w:rPr>
        <w:t>SL C 208, 1.6.2021</w:t>
      </w:r>
      <w:r w:rsidR="00EC6C41">
        <w:rPr>
          <w:sz w:val="24"/>
          <w:lang w:val="hr-HR"/>
        </w:rPr>
        <w:t>.</w:t>
      </w:r>
      <w:r w:rsidRPr="00EC6C41">
        <w:rPr>
          <w:sz w:val="24"/>
          <w:lang w:val="hr-HR"/>
        </w:rPr>
        <w:t>, str. 24.</w:t>
      </w:r>
    </w:p>
  </w:footnote>
  <w:footnote w:id="3">
    <w:p w:rsidR="00A124B0" w:rsidRPr="00EC6C41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Pr="00EC6C41">
        <w:rPr>
          <w:sz w:val="24"/>
          <w:lang w:val="hr-HR"/>
        </w:rPr>
        <w:t>SL C 425, 20.10.2021., str. 147.</w:t>
      </w:r>
    </w:p>
  </w:footnote>
  <w:footnote w:id="4">
    <w:p w:rsidR="00A124B0" w:rsidRPr="00EC6C41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Pr="00EC6C41">
        <w:rPr>
          <w:sz w:val="24"/>
          <w:lang w:val="hr-HR"/>
        </w:rPr>
        <w:t>SL C 205, 20.5.2022., str. 44.</w:t>
      </w:r>
    </w:p>
  </w:footnote>
  <w:footnote w:id="5">
    <w:p w:rsidR="00A124B0" w:rsidRPr="00EC6C41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Pr="00EC6C41">
        <w:rPr>
          <w:sz w:val="24"/>
          <w:lang w:val="hr-HR"/>
        </w:rPr>
        <w:t>SL C 81, 18.2.2022., str. 43.</w:t>
      </w:r>
    </w:p>
  </w:footnote>
  <w:footnote w:id="6">
    <w:p w:rsidR="00A124B0" w:rsidRPr="00EC6C41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Pr="00EC6C41">
        <w:rPr>
          <w:sz w:val="24"/>
          <w:lang w:val="hr-HR"/>
        </w:rPr>
        <w:t>SL C 465, 6.12.2022., str. 155.</w:t>
      </w:r>
    </w:p>
  </w:footnote>
  <w:footnote w:id="7">
    <w:p w:rsidR="00A124B0" w:rsidRPr="002A3C74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="00EC6C41" w:rsidRPr="002A3C74">
        <w:rPr>
          <w:sz w:val="24"/>
          <w:lang w:val="hr-HR"/>
        </w:rPr>
        <w:t>SL C 493, 27.12.2022.</w:t>
      </w:r>
      <w:r w:rsidRPr="002A3C74">
        <w:rPr>
          <w:sz w:val="24"/>
          <w:lang w:val="hr-HR"/>
        </w:rPr>
        <w:t>, str. 120.</w:t>
      </w:r>
    </w:p>
  </w:footnote>
  <w:footnote w:id="8">
    <w:p w:rsidR="00A124B0" w:rsidRPr="002A3C74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2A3C74">
        <w:rPr>
          <w:rStyle w:val="FootnoteReference"/>
          <w:sz w:val="24"/>
          <w:lang w:val="hr-HR"/>
        </w:rPr>
        <w:footnoteRef/>
      </w:r>
      <w:r w:rsidR="00ED1BB0" w:rsidRPr="002A3C74">
        <w:rPr>
          <w:sz w:val="24"/>
          <w:lang w:val="hr-HR"/>
        </w:rPr>
        <w:t xml:space="preserve"> </w:t>
      </w:r>
      <w:r w:rsidR="00ED1BB0" w:rsidRPr="002A3C74">
        <w:rPr>
          <w:sz w:val="24"/>
          <w:lang w:val="hr-HR"/>
        </w:rPr>
        <w:tab/>
      </w:r>
      <w:r w:rsidRPr="002A3C74">
        <w:rPr>
          <w:sz w:val="24"/>
          <w:lang w:val="hr-HR"/>
        </w:rPr>
        <w:t xml:space="preserve">SL C </w:t>
      </w:r>
      <w:r w:rsidR="00EC6C41" w:rsidRPr="002A3C74">
        <w:rPr>
          <w:sz w:val="24"/>
          <w:lang w:val="hr-HR"/>
        </w:rPr>
        <w:t>47, 7.2.2023.</w:t>
      </w:r>
      <w:r w:rsidRPr="002A3C74">
        <w:rPr>
          <w:sz w:val="24"/>
          <w:lang w:val="hr-HR"/>
        </w:rPr>
        <w:t>, str. 268.</w:t>
      </w:r>
    </w:p>
  </w:footnote>
  <w:footnote w:id="9">
    <w:p w:rsidR="00A124B0" w:rsidRPr="00EC6C41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Pr="00EC6C41">
        <w:rPr>
          <w:sz w:val="24"/>
          <w:lang w:val="hr-HR"/>
        </w:rPr>
        <w:t>Usvojeni tekstovi, P9_TA(2023)0427.</w:t>
      </w:r>
    </w:p>
  </w:footnote>
  <w:footnote w:id="10">
    <w:p w:rsidR="00A124B0" w:rsidRPr="00EC6C41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Pr="00EC6C41">
        <w:rPr>
          <w:sz w:val="24"/>
          <w:lang w:val="hr-HR"/>
        </w:rPr>
        <w:t>Usvojeni tekstovi, P9_TA(2024)0050.</w:t>
      </w:r>
    </w:p>
  </w:footnote>
  <w:footnote w:id="11">
    <w:p w:rsidR="00A124B0" w:rsidRPr="00EC6C41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Pr="00EC6C41">
        <w:rPr>
          <w:sz w:val="24"/>
          <w:lang w:val="hr-HR"/>
        </w:rPr>
        <w:t>Usvojeni tekstovi, P9_TA(2024)0108.</w:t>
      </w:r>
    </w:p>
  </w:footnote>
  <w:footnote w:id="12">
    <w:p w:rsidR="00A124B0" w:rsidRPr="00EC6C41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Pr="00EC6C41">
        <w:rPr>
          <w:sz w:val="24"/>
          <w:lang w:val="hr-HR"/>
        </w:rPr>
        <w:t>Ured Visokog povjerenika UN-a za ljudska prava, „</w:t>
      </w:r>
      <w:hyperlink r:id="rId1" w:history="1">
        <w:r w:rsidR="007929F1" w:rsidRPr="00825707">
          <w:rPr>
            <w:rStyle w:val="Hyperlink"/>
            <w:sz w:val="24"/>
            <w:lang w:val="hr-HR"/>
          </w:rPr>
          <w:t xml:space="preserve">Information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series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on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sexual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and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reproductive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health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and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rights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–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abortion</w:t>
        </w:r>
        <w:proofErr w:type="spellEnd"/>
      </w:hyperlink>
      <w:r w:rsidRPr="00EC6C41">
        <w:rPr>
          <w:sz w:val="24"/>
          <w:lang w:val="hr-HR"/>
        </w:rPr>
        <w:t>” (Informativni komplet o spolnom i reproduktivnom zdravlju i pravima – pobačaj), 2020.</w:t>
      </w:r>
    </w:p>
  </w:footnote>
  <w:footnote w:id="13">
    <w:p w:rsidR="00A124B0" w:rsidRPr="00EC6C41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Pr="00EC6C41">
        <w:rPr>
          <w:sz w:val="24"/>
          <w:lang w:val="hr-HR"/>
        </w:rPr>
        <w:t xml:space="preserve">Presuda ESLJP-a o Ustavnom sudu, predmet </w:t>
      </w:r>
      <w:proofErr w:type="spellStart"/>
      <w:r w:rsidRPr="00EC6C41">
        <w:rPr>
          <w:sz w:val="24"/>
          <w:lang w:val="hr-HR"/>
        </w:rPr>
        <w:t>Xero</w:t>
      </w:r>
      <w:proofErr w:type="spellEnd"/>
      <w:r w:rsidRPr="00EC6C41">
        <w:rPr>
          <w:sz w:val="24"/>
          <w:lang w:val="hr-HR"/>
        </w:rPr>
        <w:t xml:space="preserve"> Flor w </w:t>
      </w:r>
      <w:proofErr w:type="spellStart"/>
      <w:r w:rsidRPr="00EC6C41">
        <w:rPr>
          <w:sz w:val="24"/>
          <w:lang w:val="hr-HR"/>
        </w:rPr>
        <w:t>Polsce</w:t>
      </w:r>
      <w:proofErr w:type="spellEnd"/>
      <w:r w:rsidRPr="00EC6C41">
        <w:rPr>
          <w:sz w:val="24"/>
          <w:lang w:val="hr-HR"/>
        </w:rPr>
        <w:t xml:space="preserve"> </w:t>
      </w:r>
      <w:proofErr w:type="spellStart"/>
      <w:r w:rsidRPr="00EC6C41">
        <w:rPr>
          <w:sz w:val="24"/>
          <w:lang w:val="hr-HR"/>
        </w:rPr>
        <w:t>sp</w:t>
      </w:r>
      <w:proofErr w:type="spellEnd"/>
      <w:r w:rsidRPr="00EC6C41">
        <w:rPr>
          <w:sz w:val="24"/>
          <w:lang w:val="hr-HR"/>
        </w:rPr>
        <w:t xml:space="preserve">. z </w:t>
      </w:r>
      <w:proofErr w:type="spellStart"/>
      <w:r w:rsidRPr="00EC6C41">
        <w:rPr>
          <w:sz w:val="24"/>
          <w:lang w:val="hr-HR"/>
        </w:rPr>
        <w:t>o.o</w:t>
      </w:r>
      <w:proofErr w:type="spellEnd"/>
      <w:r w:rsidRPr="00EC6C41">
        <w:rPr>
          <w:sz w:val="24"/>
          <w:lang w:val="hr-HR"/>
        </w:rPr>
        <w:t>. protiv Poljske</w:t>
      </w:r>
      <w:r w:rsidR="007929F1">
        <w:rPr>
          <w:i/>
          <w:iCs/>
          <w:sz w:val="24"/>
          <w:lang w:val="hr-HR"/>
        </w:rPr>
        <w:t xml:space="preserve"> </w:t>
      </w:r>
      <w:r w:rsidRPr="00EC6C41">
        <w:rPr>
          <w:i/>
          <w:iCs/>
          <w:sz w:val="24"/>
          <w:lang w:val="hr-HR"/>
        </w:rPr>
        <w:t xml:space="preserve">(Zahtjev br. </w:t>
      </w:r>
      <w:hyperlink w:anchor="{%22appno%22:[%224907/18%22]}" w:tgtFrame="_blank" w:history="1">
        <w:r w:rsidRPr="00EC6C41">
          <w:rPr>
            <w:rStyle w:val="Hyperlink"/>
            <w:i/>
            <w:color w:val="auto"/>
            <w:sz w:val="24"/>
            <w:u w:val="none"/>
            <w:lang w:val="hr-HR"/>
          </w:rPr>
          <w:t>4907/18</w:t>
        </w:r>
      </w:hyperlink>
      <w:r w:rsidRPr="00EC6C41">
        <w:rPr>
          <w:i/>
          <w:iCs/>
          <w:sz w:val="24"/>
          <w:lang w:val="hr-HR"/>
        </w:rPr>
        <w:t>)</w:t>
      </w:r>
      <w:r w:rsidRPr="00EC6C41">
        <w:rPr>
          <w:sz w:val="24"/>
          <w:lang w:val="hr-HR"/>
        </w:rPr>
        <w:t>, vidjeti točku 289.</w:t>
      </w:r>
    </w:p>
  </w:footnote>
  <w:footnote w:id="14">
    <w:p w:rsidR="00A124B0" w:rsidRPr="007929F1" w:rsidRDefault="00A124B0" w:rsidP="007929F1">
      <w:pPr>
        <w:pStyle w:val="FootnoteText"/>
        <w:ind w:left="567" w:hanging="567"/>
        <w:rPr>
          <w:sz w:val="24"/>
          <w:szCs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="007929F1" w:rsidRPr="007929F1">
        <w:rPr>
          <w:snapToGrid w:val="0"/>
          <w:sz w:val="24"/>
          <w:szCs w:val="24"/>
          <w:lang w:val="hr-HR" w:eastAsia="en-US"/>
        </w:rPr>
        <w:t>Vijeće Europe, „</w:t>
      </w:r>
      <w:hyperlink r:id="rId2" w:history="1">
        <w:r w:rsidR="007929F1" w:rsidRPr="007929F1">
          <w:rPr>
            <w:snapToGrid w:val="0"/>
            <w:color w:val="0000FF"/>
            <w:sz w:val="24"/>
            <w:szCs w:val="24"/>
            <w:u w:val="single"/>
            <w:lang w:val="hr-HR" w:eastAsia="en-US"/>
          </w:rPr>
          <w:t>Presuda CM/</w:t>
        </w:r>
        <w:proofErr w:type="spellStart"/>
        <w:r w:rsidR="007929F1" w:rsidRPr="007929F1">
          <w:rPr>
            <w:snapToGrid w:val="0"/>
            <w:color w:val="0000FF"/>
            <w:sz w:val="24"/>
            <w:szCs w:val="24"/>
            <w:u w:val="single"/>
            <w:lang w:val="hr-HR" w:eastAsia="en-US"/>
          </w:rPr>
          <w:t>ResChS</w:t>
        </w:r>
        <w:proofErr w:type="spellEnd"/>
        <w:r w:rsidR="007929F1" w:rsidRPr="007929F1">
          <w:rPr>
            <w:snapToGrid w:val="0"/>
            <w:color w:val="0000FF"/>
            <w:sz w:val="24"/>
            <w:szCs w:val="24"/>
            <w:u w:val="single"/>
            <w:lang w:val="hr-HR" w:eastAsia="en-US"/>
          </w:rPr>
          <w:t xml:space="preserve">(2016)3 </w:t>
        </w:r>
        <w:proofErr w:type="spellStart"/>
        <w:r w:rsidR="007929F1" w:rsidRPr="007929F1">
          <w:rPr>
            <w:snapToGrid w:val="0"/>
            <w:color w:val="0000FF"/>
            <w:sz w:val="24"/>
            <w:szCs w:val="24"/>
            <w:u w:val="single"/>
            <w:lang w:val="hr-HR" w:eastAsia="en-US"/>
          </w:rPr>
          <w:t>Confederazione</w:t>
        </w:r>
        <w:proofErr w:type="spellEnd"/>
        <w:r w:rsidR="007929F1" w:rsidRPr="007929F1">
          <w:rPr>
            <w:snapToGrid w:val="0"/>
            <w:color w:val="0000FF"/>
            <w:sz w:val="24"/>
            <w:szCs w:val="24"/>
            <w:u w:val="single"/>
            <w:lang w:val="hr-HR" w:eastAsia="en-US"/>
          </w:rPr>
          <w:t xml:space="preserve"> Generale </w:t>
        </w:r>
        <w:proofErr w:type="spellStart"/>
        <w:r w:rsidR="007929F1" w:rsidRPr="007929F1">
          <w:rPr>
            <w:snapToGrid w:val="0"/>
            <w:color w:val="0000FF"/>
            <w:sz w:val="24"/>
            <w:szCs w:val="24"/>
            <w:u w:val="single"/>
            <w:lang w:val="hr-HR" w:eastAsia="en-US"/>
          </w:rPr>
          <w:t>Italiana</w:t>
        </w:r>
        <w:proofErr w:type="spellEnd"/>
        <w:r w:rsidR="007929F1" w:rsidRPr="007929F1">
          <w:rPr>
            <w:snapToGrid w:val="0"/>
            <w:color w:val="0000FF"/>
            <w:sz w:val="24"/>
            <w:szCs w:val="24"/>
            <w:u w:val="single"/>
            <w:lang w:val="hr-HR" w:eastAsia="en-US"/>
          </w:rPr>
          <w:t xml:space="preserve"> del </w:t>
        </w:r>
        <w:proofErr w:type="spellStart"/>
        <w:r w:rsidR="007929F1" w:rsidRPr="007929F1">
          <w:rPr>
            <w:snapToGrid w:val="0"/>
            <w:color w:val="0000FF"/>
            <w:sz w:val="24"/>
            <w:szCs w:val="24"/>
            <w:u w:val="single"/>
            <w:lang w:val="hr-HR" w:eastAsia="en-US"/>
          </w:rPr>
          <w:t>Lavoro</w:t>
        </w:r>
        <w:proofErr w:type="spellEnd"/>
        <w:r w:rsidR="007929F1" w:rsidRPr="007929F1">
          <w:rPr>
            <w:snapToGrid w:val="0"/>
            <w:color w:val="0000FF"/>
            <w:sz w:val="24"/>
            <w:szCs w:val="24"/>
            <w:u w:val="single"/>
            <w:lang w:val="hr-HR" w:eastAsia="en-US"/>
          </w:rPr>
          <w:t xml:space="preserve"> (CGIL) protiv</w:t>
        </w:r>
      </w:hyperlink>
      <w:hyperlink r:id="rId3" w:history="1">
        <w:r w:rsidR="007929F1" w:rsidRPr="007929F1">
          <w:rPr>
            <w:snapToGrid w:val="0"/>
            <w:color w:val="0000FF"/>
            <w:sz w:val="24"/>
            <w:szCs w:val="24"/>
            <w:u w:val="single"/>
            <w:lang w:val="hr-HR" w:eastAsia="en-US"/>
          </w:rPr>
          <w:t xml:space="preserve"> Italije, pritužba br. 91/2013</w:t>
        </w:r>
      </w:hyperlink>
      <w:r w:rsidR="007929F1" w:rsidRPr="007929F1">
        <w:rPr>
          <w:snapToGrid w:val="0"/>
          <w:sz w:val="24"/>
          <w:szCs w:val="24"/>
          <w:lang w:val="hr-HR" w:eastAsia="en-US"/>
        </w:rPr>
        <w:t>”, 2016.; Europski parlament, „</w:t>
      </w:r>
      <w:hyperlink r:id="rId4" w:history="1">
        <w:r w:rsidR="007929F1" w:rsidRPr="007929F1">
          <w:rPr>
            <w:snapToGrid w:val="0"/>
            <w:color w:val="0000FF"/>
            <w:sz w:val="24"/>
            <w:szCs w:val="24"/>
            <w:u w:val="single"/>
            <w:lang w:val="hr-HR" w:eastAsia="en-US"/>
          </w:rPr>
          <w:t xml:space="preserve">Brifing Službeno putovanje odbora FEMM u Italiju </w:t>
        </w:r>
        <w:r w:rsidR="007929F1" w:rsidRPr="007929F1">
          <w:rPr>
            <w:color w:val="0000FF"/>
            <w:sz w:val="24"/>
            <w:szCs w:val="24"/>
            <w:u w:val="single"/>
            <w:lang w:val="hr-HR" w:eastAsia="en-GB"/>
          </w:rPr>
          <w:t>17. - 19. prosinca 2018.</w:t>
        </w:r>
      </w:hyperlink>
      <w:r w:rsidR="007929F1" w:rsidRPr="007929F1">
        <w:rPr>
          <w:sz w:val="24"/>
          <w:szCs w:val="24"/>
          <w:lang w:val="hr-HR" w:eastAsia="en-GB"/>
        </w:rPr>
        <w:t>”, prosinac 2018</w:t>
      </w:r>
      <w:r w:rsidRPr="007929F1">
        <w:rPr>
          <w:sz w:val="24"/>
          <w:szCs w:val="24"/>
          <w:lang w:val="hr-HR"/>
        </w:rPr>
        <w:t>.</w:t>
      </w:r>
    </w:p>
  </w:footnote>
  <w:footnote w:id="15">
    <w:p w:rsidR="00A124B0" w:rsidRPr="00EC6C41" w:rsidRDefault="00A124B0" w:rsidP="00ED1BB0">
      <w:pPr>
        <w:pStyle w:val="FootnoteText"/>
        <w:ind w:left="567" w:hanging="567"/>
        <w:rPr>
          <w:sz w:val="24"/>
          <w:lang w:val="hr-HR"/>
        </w:rPr>
      </w:pPr>
      <w:r w:rsidRPr="00EC6C41">
        <w:rPr>
          <w:rStyle w:val="FootnoteReference"/>
          <w:sz w:val="24"/>
          <w:lang w:val="hr-HR"/>
        </w:rPr>
        <w:footnoteRef/>
      </w:r>
      <w:r w:rsidR="00ED1BB0" w:rsidRPr="00EC6C41">
        <w:rPr>
          <w:sz w:val="24"/>
          <w:lang w:val="hr-HR"/>
        </w:rPr>
        <w:t xml:space="preserve"> </w:t>
      </w:r>
      <w:r w:rsidR="00ED1BB0" w:rsidRPr="00EC6C41">
        <w:rPr>
          <w:sz w:val="24"/>
          <w:lang w:val="hr-HR"/>
        </w:rPr>
        <w:tab/>
      </w:r>
      <w:r w:rsidRPr="00EC6C41">
        <w:rPr>
          <w:sz w:val="24"/>
          <w:lang w:val="hr-HR"/>
        </w:rPr>
        <w:t>Roda, „</w:t>
      </w:r>
      <w:hyperlink r:id="rId5" w:history="1">
        <w:r w:rsidR="007929F1" w:rsidRPr="00825707">
          <w:rPr>
            <w:rStyle w:val="Hyperlink"/>
            <w:sz w:val="24"/>
            <w:lang w:val="hr-HR"/>
          </w:rPr>
          <w:t xml:space="preserve">Support for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accessible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,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safe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and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legal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termination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of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pregnancy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</w:t>
        </w:r>
        <w:proofErr w:type="spellStart"/>
        <w:r w:rsidR="007929F1" w:rsidRPr="00825707">
          <w:rPr>
            <w:rStyle w:val="Hyperlink"/>
            <w:sz w:val="24"/>
            <w:lang w:val="hr-HR"/>
          </w:rPr>
          <w:t>in</w:t>
        </w:r>
        <w:proofErr w:type="spellEnd"/>
        <w:r w:rsidR="007929F1" w:rsidRPr="00825707">
          <w:rPr>
            <w:rStyle w:val="Hyperlink"/>
            <w:sz w:val="24"/>
            <w:lang w:val="hr-HR"/>
          </w:rPr>
          <w:t xml:space="preserve"> Croatia</w:t>
        </w:r>
      </w:hyperlink>
      <w:r w:rsidRPr="00EC6C41">
        <w:rPr>
          <w:sz w:val="24"/>
          <w:lang w:val="hr-HR"/>
        </w:rPr>
        <w:t>” (Potpora pristupačnom, sigurnom i zakonitom prekidu trudnoće u Hrvatskoj), 6. svibnja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1B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1B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1B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5/2024"/>
    <w:docVar w:name="dvlangue" w:val="HR"/>
    <w:docVar w:name="dvnumam" w:val="0"/>
    <w:docVar w:name="dvpe" w:val="760.611"/>
    <w:docVar w:name="dvtitre" w:val="Rezolucija Europskog parlamenta od .... 2024. o uključivanju prava na pobačaj u Povelju EU-a o temeljnim pravima(2024/2655(RSP))"/>
  </w:docVars>
  <w:rsids>
    <w:rsidRoot w:val="00DE3D0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3C7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9F1"/>
    <w:rsid w:val="007D1690"/>
    <w:rsid w:val="007E22AD"/>
    <w:rsid w:val="007F186A"/>
    <w:rsid w:val="00817416"/>
    <w:rsid w:val="0082570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24B0"/>
    <w:rsid w:val="00A1687D"/>
    <w:rsid w:val="00A43E52"/>
    <w:rsid w:val="00A4678D"/>
    <w:rsid w:val="00A778C7"/>
    <w:rsid w:val="00AA411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D0F"/>
    <w:rsid w:val="00E365E1"/>
    <w:rsid w:val="00E820A4"/>
    <w:rsid w:val="00EB006A"/>
    <w:rsid w:val="00EB4772"/>
    <w:rsid w:val="00EC6C41"/>
    <w:rsid w:val="00ED169E"/>
    <w:rsid w:val="00ED1BB0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D686F3-4575-4FD1-AF5A-1D15CA12A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124B0"/>
    <w:pPr>
      <w:spacing w:before="480" w:after="240"/>
    </w:pPr>
  </w:style>
  <w:style w:type="paragraph" w:customStyle="1" w:styleId="NormalHanging12a">
    <w:name w:val="NormalHanging12a"/>
    <w:basedOn w:val="Normal"/>
    <w:rsid w:val="00A124B0"/>
    <w:pPr>
      <w:spacing w:after="240"/>
      <w:ind w:left="567" w:hanging="567"/>
    </w:pPr>
  </w:style>
  <w:style w:type="character" w:customStyle="1" w:styleId="doceo-font-family-base">
    <w:name w:val="doceo-font-family-base"/>
    <w:basedOn w:val="DefaultParagraphFont"/>
    <w:rsid w:val="00A124B0"/>
  </w:style>
  <w:style w:type="table" w:customStyle="1" w:styleId="1">
    <w:name w:val="1"/>
    <w:basedOn w:val="TableNormal"/>
    <w:rsid w:val="00A124B0"/>
    <w:pPr>
      <w:spacing w:after="160" w:line="259" w:lineRule="auto"/>
    </w:pPr>
    <w:rPr>
      <w:rFonts w:ascii="Calibri" w:eastAsia="Calibri" w:hAnsi="Calibri" w:cs="Calibri"/>
      <w:sz w:val="22"/>
      <w:szCs w:val="22"/>
      <w:lang w:val="hr-HR"/>
    </w:rPr>
    <w:tblPr>
      <w:tblStyleRowBandSize w:val="1"/>
      <w:tblStyleColBandSize w:val="1"/>
      <w:tblCellMar>
        <w:left w:w="340" w:type="dxa"/>
        <w:right w:w="340" w:type="dxa"/>
      </w:tblCellMar>
    </w:tblPr>
  </w:style>
  <w:style w:type="character" w:styleId="Hyperlink">
    <w:name w:val="Hyperlink"/>
    <w:basedOn w:val="DefaultParagraphFont"/>
    <w:uiPriority w:val="99"/>
    <w:unhideWhenUsed/>
    <w:rsid w:val="00A124B0"/>
    <w:rPr>
      <w:color w:val="0000FF"/>
      <w:u w:val="single"/>
    </w:rPr>
  </w:style>
  <w:style w:type="character" w:styleId="FollowedHyperlink">
    <w:name w:val="FollowedHyperlink"/>
    <w:basedOn w:val="DefaultParagraphFont"/>
    <w:rsid w:val="007929F1"/>
    <w:rPr>
      <w:color w:val="954F72" w:themeColor="followedHyperlink"/>
      <w:u w:val="single"/>
    </w:rPr>
  </w:style>
  <w:style w:type="paragraph" w:customStyle="1" w:styleId="CoverDocType24a">
    <w:name w:val="CoverDocType24a"/>
    <w:basedOn w:val="Normal"/>
    <w:rsid w:val="007929F1"/>
    <w:pPr>
      <w:spacing w:after="480"/>
      <w:ind w:left="1418"/>
    </w:pPr>
    <w:rPr>
      <w:rFonts w:ascii="Arial" w:hAnsi="Arial"/>
      <w:b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earch.coe.int/cm/Pages/result_details.aspx?ObjectId=0900001680687bdc" TargetMode="External"/><Relationship Id="rId2" Type="http://schemas.openxmlformats.org/officeDocument/2006/relationships/hyperlink" Target="https://search.coe.int/cm/Pages/result_details.aspx?ObjectId=0900001680687bdc" TargetMode="External"/><Relationship Id="rId1" Type="http://schemas.openxmlformats.org/officeDocument/2006/relationships/hyperlink" Target="https://www.ohchr.org/sites/default/files/Documents/Issues/Women/WRGS/SexualHealth/INFO_Abortion_WEB.pdf" TargetMode="External"/><Relationship Id="rId5" Type="http://schemas.openxmlformats.org/officeDocument/2006/relationships/hyperlink" Target="https://www.roda.hr/en/news/support-for-accessible-safe-and-legal-termination-of-pregnancy-in-croatia.html" TargetMode="External"/><Relationship Id="rId4" Type="http://schemas.openxmlformats.org/officeDocument/2006/relationships/hyperlink" Target="http://www.refreg.ep.parl.union.eu/RegData/etudes/BRIE/2018/608853/IPOL_BRI(2018)608853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4D475-1D96-435C-87BD-308BAE467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3133</Words>
  <Characters>18425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2024-04-11T15:00:00Z</dcterms:created>
  <dcterms:modified xsi:type="dcterms:W3CDTF">2024-04-11T15:00:00Z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B9-0205/2024</vt:lpwstr>
  </property>
  <property fmtid="{D5CDD505-2E9C-101B-9397-08002B2CF9AE}" pid="4" name="&lt;Type&gt;">
    <vt:lpwstr>RR</vt:lpwstr>
  </property>
</Properties>
</file>