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3F9C" w:rsidTr="0010095E">
        <w:trPr>
          <w:trHeight w:hRule="exact" w:val="1418"/>
        </w:trPr>
        <w:tc>
          <w:tcPr>
            <w:tcW w:w="6804" w:type="dxa"/>
            <w:shd w:val="clear" w:color="auto" w:fill="auto"/>
            <w:vAlign w:val="center"/>
          </w:tcPr>
          <w:p w:rsidR="00751A4A" w:rsidRPr="00623F9C" w:rsidRDefault="00E137F9" w:rsidP="0010095E">
            <w:pPr>
              <w:pStyle w:val="EPName"/>
            </w:pPr>
            <w:r w:rsidRPr="00623F9C">
              <w:t>Europos Parlamentas</w:t>
            </w:r>
          </w:p>
          <w:p w:rsidR="00751A4A" w:rsidRPr="00623F9C" w:rsidRDefault="00817416" w:rsidP="00756632">
            <w:pPr>
              <w:pStyle w:val="EPTerm"/>
              <w:rPr>
                <w:rStyle w:val="HideTWBExt"/>
                <w:noProof w:val="0"/>
                <w:vanish w:val="0"/>
                <w:color w:val="auto"/>
              </w:rPr>
            </w:pPr>
            <w:r w:rsidRPr="00623F9C">
              <w:t>2019-2024</w:t>
            </w:r>
          </w:p>
        </w:tc>
        <w:tc>
          <w:tcPr>
            <w:tcW w:w="2268" w:type="dxa"/>
            <w:shd w:val="clear" w:color="auto" w:fill="auto"/>
          </w:tcPr>
          <w:p w:rsidR="00751A4A" w:rsidRPr="00623F9C" w:rsidRDefault="00187494" w:rsidP="0010095E">
            <w:pPr>
              <w:pStyle w:val="EPLogo"/>
            </w:pPr>
            <w:r w:rsidRPr="00623F9C">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3F9C" w:rsidRDefault="00D058B8" w:rsidP="004C5D52">
      <w:pPr>
        <w:pStyle w:val="LineTop"/>
      </w:pPr>
    </w:p>
    <w:p w:rsidR="00680577" w:rsidRPr="00623F9C" w:rsidRDefault="00E137F9" w:rsidP="00680577">
      <w:pPr>
        <w:pStyle w:val="EPBodyTA1"/>
      </w:pPr>
      <w:r w:rsidRPr="00623F9C">
        <w:t>PRIIMTI TEKSTAI</w:t>
      </w:r>
    </w:p>
    <w:p w:rsidR="00D058B8" w:rsidRPr="00623F9C" w:rsidRDefault="00D058B8" w:rsidP="00D058B8">
      <w:pPr>
        <w:pStyle w:val="LineBottom"/>
      </w:pPr>
    </w:p>
    <w:p w:rsidR="00E137F9" w:rsidRPr="00623F9C" w:rsidRDefault="00E137F9" w:rsidP="00E137F9">
      <w:pPr>
        <w:pStyle w:val="ATHeading1"/>
      </w:pPr>
      <w:bookmarkStart w:id="0" w:name="TANumber"/>
      <w:r w:rsidRPr="00623F9C">
        <w:t>P9_TA(2024)0</w:t>
      </w:r>
      <w:r w:rsidR="00563FB8">
        <w:t>286</w:t>
      </w:r>
      <w:bookmarkEnd w:id="0"/>
    </w:p>
    <w:p w:rsidR="00E137F9" w:rsidRPr="00623F9C" w:rsidRDefault="00E137F9" w:rsidP="00E137F9">
      <w:pPr>
        <w:pStyle w:val="ATHeading2"/>
      </w:pPr>
      <w:bookmarkStart w:id="1" w:name="title"/>
      <w:r w:rsidRPr="00623F9C">
        <w:t xml:space="preserve">Teisės į abortą įtraukimas į </w:t>
      </w:r>
      <w:r w:rsidR="00140DE4">
        <w:t>ES p</w:t>
      </w:r>
      <w:r w:rsidRPr="00623F9C">
        <w:t>agrindinių teisių chartiją</w:t>
      </w:r>
      <w:bookmarkEnd w:id="1"/>
    </w:p>
    <w:p w:rsidR="00E137F9" w:rsidRPr="00623F9C" w:rsidRDefault="00E137F9" w:rsidP="00E137F9">
      <w:pPr>
        <w:rPr>
          <w:i/>
          <w:vanish/>
        </w:rPr>
      </w:pPr>
      <w:r w:rsidRPr="00623F9C">
        <w:rPr>
          <w:i/>
        </w:rPr>
        <w:fldChar w:fldCharType="begin"/>
      </w:r>
      <w:r w:rsidRPr="00623F9C">
        <w:rPr>
          <w:i/>
        </w:rPr>
        <w:instrText xml:space="preserve"> TC"(</w:instrText>
      </w:r>
      <w:bookmarkStart w:id="2" w:name="DocNumber"/>
      <w:r w:rsidRPr="00623F9C">
        <w:rPr>
          <w:i/>
        </w:rPr>
        <w:instrText>B9-0205/2024</w:instrText>
      </w:r>
      <w:bookmarkEnd w:id="2"/>
      <w:r w:rsidRPr="00623F9C">
        <w:rPr>
          <w:i/>
        </w:rPr>
        <w:instrText xml:space="preserve">)"\l3 \n&gt; \* MERGEFORMAT </w:instrText>
      </w:r>
      <w:r w:rsidRPr="00623F9C">
        <w:rPr>
          <w:i/>
        </w:rPr>
        <w:fldChar w:fldCharType="end"/>
      </w:r>
    </w:p>
    <w:p w:rsidR="00E137F9" w:rsidRPr="00623F9C" w:rsidRDefault="00E137F9" w:rsidP="00E137F9">
      <w:pPr>
        <w:rPr>
          <w:vanish/>
        </w:rPr>
      </w:pPr>
      <w:bookmarkStart w:id="3" w:name="PE"/>
      <w:r w:rsidRPr="00623F9C">
        <w:rPr>
          <w:vanish/>
        </w:rPr>
        <w:t>PE760.611</w:t>
      </w:r>
      <w:bookmarkEnd w:id="3"/>
    </w:p>
    <w:p w:rsidR="00E137F9" w:rsidRPr="00623F9C" w:rsidRDefault="00140DE4" w:rsidP="00140DE4">
      <w:pPr>
        <w:pStyle w:val="ATHeading3"/>
      </w:pPr>
      <w:bookmarkStart w:id="4" w:name="Sujet"/>
      <w:r>
        <w:t xml:space="preserve">2024 m. balandžio 11 d. </w:t>
      </w:r>
      <w:r w:rsidR="00E137F9" w:rsidRPr="00623F9C">
        <w:t>Europos Parlamento rezoliucija dėl teisės į abortą įtraukimo į ES pagrindinių teisių chartiją</w:t>
      </w:r>
      <w:bookmarkEnd w:id="4"/>
      <w:r w:rsidR="00E137F9" w:rsidRPr="00623F9C">
        <w:t xml:space="preserve"> </w:t>
      </w:r>
      <w:bookmarkStart w:id="5" w:name="References"/>
      <w:r w:rsidR="00E137F9" w:rsidRPr="00623F9C">
        <w:t>(2024/2655(RSP))</w:t>
      </w:r>
      <w:bookmarkEnd w:id="5"/>
    </w:p>
    <w:p w:rsidR="00552B48" w:rsidRPr="00623F9C" w:rsidRDefault="00552B48" w:rsidP="00552B48">
      <w:pPr>
        <w:pStyle w:val="EPComma"/>
      </w:pPr>
      <w:bookmarkStart w:id="6" w:name="TextBodyBegin"/>
      <w:bookmarkEnd w:id="6"/>
      <w:r w:rsidRPr="00623F9C">
        <w:rPr>
          <w:i/>
        </w:rPr>
        <w:t>Europos Parlamentas</w:t>
      </w:r>
      <w:r w:rsidRPr="00623F9C">
        <w:t>,</w:t>
      </w:r>
    </w:p>
    <w:p w:rsidR="00552B48" w:rsidRPr="00623F9C" w:rsidRDefault="00552B48" w:rsidP="00552B48">
      <w:pPr>
        <w:pStyle w:val="NormalHanging12a"/>
      </w:pPr>
      <w:r w:rsidRPr="00623F9C">
        <w:t>–</w:t>
      </w:r>
      <w:r w:rsidRPr="00623F9C">
        <w:tab/>
        <w:t>atsižvelgdamas į 1950 m. Europos žmogaus teisių konvenciją,</w:t>
      </w:r>
    </w:p>
    <w:p w:rsidR="00552B48" w:rsidRPr="00623F9C" w:rsidRDefault="00552B48" w:rsidP="00552B48">
      <w:pPr>
        <w:pStyle w:val="NormalHanging12a"/>
      </w:pPr>
      <w:r w:rsidRPr="00623F9C">
        <w:t>–</w:t>
      </w:r>
      <w:r w:rsidRPr="00623F9C">
        <w:tab/>
        <w:t>atsižvelgdamas į 1979 m. Konvenciją dėl visų formų diskriminacijos panaikinimo moterims,</w:t>
      </w:r>
    </w:p>
    <w:p w:rsidR="00552B48" w:rsidRPr="00623F9C" w:rsidRDefault="00552B48" w:rsidP="00552B48">
      <w:pPr>
        <w:pStyle w:val="NormalHanging12a"/>
      </w:pPr>
      <w:r w:rsidRPr="00623F9C">
        <w:t>–</w:t>
      </w:r>
      <w:r w:rsidRPr="00623F9C">
        <w:tab/>
        <w:t>atsižvelgdamas į 2000 m. Europos Sąjungos pagrindinių teisių chartiją (toliau – Chartija),</w:t>
      </w:r>
    </w:p>
    <w:p w:rsidR="00552B48" w:rsidRPr="00623F9C" w:rsidRDefault="00552B48" w:rsidP="00552B48">
      <w:pPr>
        <w:pStyle w:val="NormalHanging12a"/>
      </w:pPr>
      <w:r w:rsidRPr="00623F9C">
        <w:t>–</w:t>
      </w:r>
      <w:r w:rsidRPr="00623F9C">
        <w:tab/>
        <w:t>atsižvelgdamas į savo 2019 m. vasario 13 d. rezoliuciją dėl priešiškos reakcijos į moterų teises ir lyčių lygybę ES</w:t>
      </w:r>
      <w:r w:rsidRPr="00623F9C">
        <w:rPr>
          <w:rStyle w:val="FootnoteReference"/>
        </w:rPr>
        <w:footnoteReference w:id="1"/>
      </w:r>
      <w:r w:rsidRPr="00623F9C">
        <w:t>,</w:t>
      </w:r>
      <w:bookmarkStart w:id="7" w:name="_GoBack"/>
      <w:bookmarkEnd w:id="7"/>
    </w:p>
    <w:p w:rsidR="00552B48" w:rsidRPr="00623F9C" w:rsidRDefault="00552B48" w:rsidP="00552B48">
      <w:pPr>
        <w:pStyle w:val="NormalHanging12a"/>
      </w:pPr>
      <w:r w:rsidRPr="00623F9C">
        <w:t>–</w:t>
      </w:r>
      <w:r w:rsidRPr="00623F9C">
        <w:tab/>
        <w:t xml:space="preserve">atsižvelgdamas į savo 2019 m. lapkričio 14 d. rezoliuciją dėl lytinio švietimo </w:t>
      </w:r>
      <w:proofErr w:type="spellStart"/>
      <w:r w:rsidRPr="00623F9C">
        <w:t>kriminalizavimo</w:t>
      </w:r>
      <w:proofErr w:type="spellEnd"/>
      <w:r w:rsidRPr="00623F9C">
        <w:t xml:space="preserve"> Lenkijoje</w:t>
      </w:r>
      <w:r w:rsidRPr="00623F9C">
        <w:rPr>
          <w:rStyle w:val="FootnoteReference"/>
        </w:rPr>
        <w:footnoteReference w:id="2"/>
      </w:r>
      <w:r w:rsidRPr="00623F9C">
        <w:t>,</w:t>
      </w:r>
    </w:p>
    <w:p w:rsidR="00552B48" w:rsidRPr="00623F9C" w:rsidRDefault="00552B48" w:rsidP="00552B48">
      <w:pPr>
        <w:pStyle w:val="NormalHanging12a"/>
      </w:pPr>
      <w:r w:rsidRPr="00623F9C">
        <w:t>–</w:t>
      </w:r>
      <w:r w:rsidRPr="00623F9C">
        <w:tab/>
        <w:t xml:space="preserve">atsižvelgdamas į savo 2020 m. lapkričio 26 d. rezoliuciją dėl draudimo, </w:t>
      </w:r>
      <w:r w:rsidRPr="00623F9C">
        <w:rPr>
          <w:i/>
        </w:rPr>
        <w:t>de facto</w:t>
      </w:r>
      <w:r w:rsidRPr="00623F9C">
        <w:t xml:space="preserve"> taikomo teisei į abortą Lenkijoje</w:t>
      </w:r>
      <w:r w:rsidRPr="00623F9C">
        <w:rPr>
          <w:rStyle w:val="FootnoteReference"/>
        </w:rPr>
        <w:footnoteReference w:id="3"/>
      </w:r>
      <w:r w:rsidRPr="00623F9C">
        <w:t>,</w:t>
      </w:r>
    </w:p>
    <w:p w:rsidR="00552B48" w:rsidRPr="00623F9C" w:rsidRDefault="00552B48" w:rsidP="00552B48">
      <w:pPr>
        <w:pStyle w:val="NormalHanging12a"/>
      </w:pPr>
      <w:r w:rsidRPr="00623F9C">
        <w:t>–</w:t>
      </w:r>
      <w:r w:rsidRPr="00623F9C">
        <w:tab/>
        <w:t xml:space="preserve">atsižvelgdamas į savo 2021 m. lapkričio 11 d. rezoliuciją dėl pirmųjų </w:t>
      </w:r>
      <w:r w:rsidRPr="00623F9C">
        <w:rPr>
          <w:i/>
        </w:rPr>
        <w:t>de facto</w:t>
      </w:r>
      <w:r w:rsidRPr="00623F9C">
        <w:t xml:space="preserve"> abortų uždraudimo Lenkijoje metinių</w:t>
      </w:r>
      <w:r w:rsidRPr="00623F9C">
        <w:rPr>
          <w:rStyle w:val="FootnoteReference"/>
        </w:rPr>
        <w:footnoteReference w:id="4"/>
      </w:r>
      <w:r w:rsidRPr="00623F9C">
        <w:t>,</w:t>
      </w:r>
    </w:p>
    <w:p w:rsidR="00552B48" w:rsidRPr="00623F9C" w:rsidRDefault="00552B48" w:rsidP="00552B48">
      <w:pPr>
        <w:pStyle w:val="NormalHanging12a"/>
      </w:pPr>
      <w:r w:rsidRPr="00623F9C">
        <w:t>–</w:t>
      </w:r>
      <w:r w:rsidRPr="00623F9C">
        <w:tab/>
        <w:t>atsižvelgdamas į savo 2021 m. birželio 24 d. rezoliuciją dėl lytinės ir reprodukcinės sveikatos bei teisių padėties Europos Sąjungoje, kiek tai susiję su moterų sveikata</w:t>
      </w:r>
      <w:r w:rsidRPr="00623F9C">
        <w:rPr>
          <w:rStyle w:val="FootnoteReference"/>
        </w:rPr>
        <w:footnoteReference w:id="5"/>
      </w:r>
      <w:r w:rsidRPr="00623F9C">
        <w:t>,</w:t>
      </w:r>
    </w:p>
    <w:p w:rsidR="00552B48" w:rsidRPr="00623F9C" w:rsidRDefault="00552B48" w:rsidP="00552B48">
      <w:pPr>
        <w:pStyle w:val="NormalHanging12a"/>
      </w:pPr>
      <w:r w:rsidRPr="00623F9C">
        <w:t>–</w:t>
      </w:r>
      <w:r w:rsidRPr="00623F9C">
        <w:tab/>
        <w:t xml:space="preserve">atsižvelgdamas į savo 2022 m. gegužės 5 d. rezoliuciją dėl karo prieš Ukrainą poveikio </w:t>
      </w:r>
      <w:r w:rsidRPr="00623F9C">
        <w:lastRenderedPageBreak/>
        <w:t>moterims</w:t>
      </w:r>
      <w:r w:rsidRPr="00623F9C">
        <w:rPr>
          <w:rStyle w:val="FootnoteReference"/>
        </w:rPr>
        <w:footnoteReference w:id="6"/>
      </w:r>
      <w:r w:rsidRPr="00623F9C">
        <w:t>,</w:t>
      </w:r>
    </w:p>
    <w:p w:rsidR="00552B48" w:rsidRPr="00623F9C" w:rsidRDefault="00552B48" w:rsidP="00552B48">
      <w:pPr>
        <w:pStyle w:val="NormalHanging12a"/>
      </w:pPr>
      <w:r w:rsidRPr="00623F9C">
        <w:t>–</w:t>
      </w:r>
      <w:r w:rsidRPr="00623F9C">
        <w:tab/>
        <w:t>atsižvelgdamas į savo 2022 m. birželio 9 d. rezoliuciją „Pasaulinės grėsmės teisei į abortą: tikimybė, kad Aukščiausiasis Teismas panaikins teises į abortą JAV“</w:t>
      </w:r>
      <w:r w:rsidRPr="00623F9C">
        <w:rPr>
          <w:rStyle w:val="FootnoteReference"/>
        </w:rPr>
        <w:footnoteReference w:id="7"/>
      </w:r>
      <w:r w:rsidRPr="00623F9C">
        <w:t>,</w:t>
      </w:r>
    </w:p>
    <w:p w:rsidR="00552B48" w:rsidRPr="00623F9C" w:rsidRDefault="00552B48" w:rsidP="00552B48">
      <w:pPr>
        <w:pStyle w:val="NormalHanging12a"/>
      </w:pPr>
      <w:r w:rsidRPr="00623F9C">
        <w:t>–</w:t>
      </w:r>
      <w:r w:rsidRPr="00623F9C">
        <w:tab/>
        <w:t>atsižvelgdamas į savo 2022 m. liepos 7 d. rezoliuciją dėl JAV Aukščiausiojo Teismo sprendimo Jungtinėse Valstijose panaikinti teisę į abortą ir poreikio Europos Sąjungoje užtikrinti teisę į abortą bei moterų sveikatos apsaugą</w:t>
      </w:r>
      <w:r w:rsidRPr="00623F9C">
        <w:rPr>
          <w:rStyle w:val="FootnoteReference"/>
        </w:rPr>
        <w:footnoteReference w:id="8"/>
      </w:r>
      <w:r w:rsidRPr="00623F9C">
        <w:t>,</w:t>
      </w:r>
    </w:p>
    <w:p w:rsidR="00552B48" w:rsidRPr="00623F9C" w:rsidRDefault="00552B48" w:rsidP="00552B48">
      <w:pPr>
        <w:pStyle w:val="NormalHanging12a"/>
      </w:pPr>
      <w:r w:rsidRPr="00623F9C">
        <w:t>–</w:t>
      </w:r>
      <w:r w:rsidRPr="00623F9C">
        <w:tab/>
        <w:t>atsižvelgdamas į savo 2023 m. lapkričio 22 d. rezoliuciją dėl Europos Parlamento pasiūlymų dėl Sutarčių keitimo</w:t>
      </w:r>
      <w:r w:rsidRPr="00623F9C">
        <w:rPr>
          <w:rStyle w:val="FootnoteReference"/>
        </w:rPr>
        <w:footnoteReference w:id="9"/>
      </w:r>
      <w:r w:rsidRPr="00623F9C">
        <w:t>,</w:t>
      </w:r>
    </w:p>
    <w:p w:rsidR="00552B48" w:rsidRPr="00623F9C" w:rsidRDefault="00552B48" w:rsidP="00552B48">
      <w:pPr>
        <w:pStyle w:val="NormalHanging12a"/>
      </w:pPr>
      <w:r w:rsidRPr="00623F9C">
        <w:t>–</w:t>
      </w:r>
      <w:r w:rsidRPr="00623F9C">
        <w:tab/>
        <w:t>atsižvelgdamas į PSO gaires „Saugus abortas: sveikatos priežiūros sistemų techninės ir politinės gairės“,</w:t>
      </w:r>
    </w:p>
    <w:p w:rsidR="00552B48" w:rsidRPr="00623F9C" w:rsidRDefault="00552B48" w:rsidP="00552B48">
      <w:pPr>
        <w:pStyle w:val="NormalHanging12a"/>
      </w:pPr>
      <w:r w:rsidRPr="00623F9C">
        <w:t>–</w:t>
      </w:r>
      <w:r w:rsidRPr="00623F9C">
        <w:tab/>
        <w:t>atsižvelgdamas į PSO 2017–2021 m. moterų sveikatos ir gerovės Europoje strategiją „Už mirtingumo pranašumo ribų“ ir į 2016 m. veiksmų lytinės ir reprodukcinės sveikatos srityje planą „Siekis įgyvendinti Darnaus vystymosi darbotvarkę iki 2030 m.: niekas neturi likti nuošalyje“,</w:t>
      </w:r>
    </w:p>
    <w:p w:rsidR="00552B48" w:rsidRPr="00623F9C" w:rsidRDefault="00552B48" w:rsidP="00552B48">
      <w:pPr>
        <w:pStyle w:val="NormalHanging12a"/>
      </w:pPr>
      <w:r w:rsidRPr="00623F9C">
        <w:t>–</w:t>
      </w:r>
      <w:r w:rsidRPr="00623F9C">
        <w:tab/>
        <w:t>atsižvelgdamas į 2020 m. kovo 5 d. Komisijos komunikatą „Lygybės sąjunga. 2020–2025 m. lyčių lygybės strategija“ (COM(2020)0152),</w:t>
      </w:r>
    </w:p>
    <w:p w:rsidR="00552B48" w:rsidRPr="00623F9C" w:rsidRDefault="00552B48" w:rsidP="00552B48">
      <w:pPr>
        <w:pStyle w:val="NormalHanging12a"/>
      </w:pPr>
      <w:r w:rsidRPr="00623F9C">
        <w:t>–</w:t>
      </w:r>
      <w:r w:rsidRPr="00623F9C">
        <w:tab/>
        <w:t>atsižvelgdamas į 2020 m. lapkričio 12 d. Komisijos komunikatą „Lygybės Sąjunga. 2020–2025 m. LGBTIQ asmenų lygybės strategija“ (COM(2020)0698),</w:t>
      </w:r>
    </w:p>
    <w:p w:rsidR="00552B48" w:rsidRPr="00623F9C" w:rsidRDefault="00552B48" w:rsidP="00552B48">
      <w:pPr>
        <w:pStyle w:val="NormalHanging12a"/>
      </w:pPr>
      <w:r w:rsidRPr="00623F9C">
        <w:t>–</w:t>
      </w:r>
      <w:r w:rsidRPr="00623F9C">
        <w:tab/>
        <w:t>atsižvelgdamas į Visuotinę žmogaus teisių deklaraciją,</w:t>
      </w:r>
    </w:p>
    <w:p w:rsidR="00552B48" w:rsidRPr="00623F9C" w:rsidRDefault="00552B48" w:rsidP="00552B48">
      <w:pPr>
        <w:pStyle w:val="NormalHanging12a"/>
      </w:pPr>
      <w:r w:rsidRPr="00623F9C">
        <w:t>–</w:t>
      </w:r>
      <w:r w:rsidRPr="00623F9C">
        <w:tab/>
        <w:t>atsižvelgdamas į Europos žmogaus teisių konvenciją (EŽTK) ir Europos Žmogaus Teisių Teismo (EŽTT) praktiką,</w:t>
      </w:r>
    </w:p>
    <w:p w:rsidR="00552B48" w:rsidRPr="00623F9C" w:rsidRDefault="00552B48" w:rsidP="00552B48">
      <w:pPr>
        <w:pStyle w:val="NormalHanging12a"/>
      </w:pPr>
      <w:r w:rsidRPr="00623F9C">
        <w:t>–</w:t>
      </w:r>
      <w:r w:rsidRPr="00623F9C">
        <w:tab/>
        <w:t>atsižvelgdamas į Europos Tarybos konvenciją dėl smurto prieš moteris ir smurto šeimoje prevencijos ir kovos su juo, kuri buvo pateikta pasirašyti 2011 m. gegužės 11 d. Stambule (toliau – Stambulo konvencija) ir kurią ES ratifikavo 2023 m. birželio 28 d.,</w:t>
      </w:r>
    </w:p>
    <w:p w:rsidR="00552B48" w:rsidRPr="00623F9C" w:rsidRDefault="00552B48" w:rsidP="00552B48">
      <w:pPr>
        <w:pStyle w:val="NormalHanging12a"/>
      </w:pPr>
      <w:r w:rsidRPr="00623F9C">
        <w:t>–</w:t>
      </w:r>
      <w:r w:rsidRPr="00623F9C">
        <w:tab/>
        <w:t>atsižvelgdamas į JT Žmogaus teisių komiteto 2018 m. bendrąją pastabą Nr. 36 dėl Tarptautinio pilietinių ir politinių teisių pakto 6 straipsnio dėl teisės į gyvybę,</w:t>
      </w:r>
    </w:p>
    <w:p w:rsidR="00552B48" w:rsidRPr="00623F9C" w:rsidRDefault="00552B48" w:rsidP="00552B48">
      <w:pPr>
        <w:pStyle w:val="NormalHanging12a"/>
      </w:pPr>
      <w:r w:rsidRPr="00623F9C">
        <w:t>–</w:t>
      </w:r>
      <w:r w:rsidRPr="00623F9C">
        <w:tab/>
        <w:t>atsižvelgdamas į savo 2024 m. sausio 18 d. rezoliuciją dėl 2022 ir 2023 m. metinio pranešimo dėl pagrindinių teisių padėties Europos Sąjungoje</w:t>
      </w:r>
      <w:r w:rsidRPr="00623F9C">
        <w:rPr>
          <w:rStyle w:val="FootnoteReference"/>
        </w:rPr>
        <w:footnoteReference w:id="10"/>
      </w:r>
      <w:r w:rsidRPr="00623F9C">
        <w:t>,</w:t>
      </w:r>
    </w:p>
    <w:p w:rsidR="00552B48" w:rsidRPr="00623F9C" w:rsidRDefault="00552B48" w:rsidP="00552B48">
      <w:pPr>
        <w:pStyle w:val="NormalHanging12a"/>
      </w:pPr>
      <w:r w:rsidRPr="00623F9C">
        <w:t>–</w:t>
      </w:r>
      <w:r w:rsidRPr="00623F9C">
        <w:tab/>
        <w:t>atsižvelgdamas į savo 2024 m. vasario 28 d. rezoliuciją „Pranešimas dėl Komisijos 2023 m. teisinės valstybės principo taikymo ataskaitos“</w:t>
      </w:r>
      <w:r w:rsidRPr="00623F9C">
        <w:rPr>
          <w:rStyle w:val="FootnoteReference"/>
        </w:rPr>
        <w:footnoteReference w:id="11"/>
      </w:r>
      <w:r w:rsidRPr="00623F9C">
        <w:t>,</w:t>
      </w:r>
    </w:p>
    <w:p w:rsidR="00552B48" w:rsidRPr="00623F9C" w:rsidRDefault="00552B48" w:rsidP="00552B48">
      <w:pPr>
        <w:pStyle w:val="NormalHanging12a"/>
      </w:pPr>
      <w:r w:rsidRPr="00623F9C">
        <w:t>–</w:t>
      </w:r>
      <w:r w:rsidRPr="00623F9C">
        <w:tab/>
        <w:t>atsižvelgdamas į savo Darbo tvarkos taisyklių 132 straipsnio 2 dalį,</w:t>
      </w:r>
    </w:p>
    <w:p w:rsidR="00552B48" w:rsidRPr="00623F9C" w:rsidRDefault="00552B48" w:rsidP="00552B48">
      <w:pPr>
        <w:pStyle w:val="NormalHanging12a"/>
        <w:rPr>
          <w:szCs w:val="24"/>
        </w:rPr>
      </w:pPr>
      <w:r w:rsidRPr="00623F9C">
        <w:lastRenderedPageBreak/>
        <w:t>A.</w:t>
      </w:r>
      <w:r w:rsidRPr="00623F9C">
        <w:tab/>
        <w:t>kadangi galimybė naudotis lytinės ir reprodukcinės sveikatos priežiūros paslaugomis, įskaitant saugaus ir teisėto nėštumo nutraukimo paslaugas, bei teisėmis yra viena iš pagrindinių teisių; kadangi lytinės ir reprodukcinės sveikatos bei teisių užtikrinimas yra labai svarbus apsaugant žmogaus orumą ir yra neatsiejamai susijęs su kova su seksualiniu smurtu ir smurtu dėl lyties, taip pat su lyčių lygybės bei įvairių kitų žmogaus teisių, pvz., asmens teisės į gyvybę, sveikatą, privatumą, asmens saugumo, nediskriminavimo, lygybės prieš įstatymą bei laisvės nuo kankinimo ir kitokio žiauraus, nežmoniško ar žeminančio elgesio ir baudimo, užtikrinimu;</w:t>
      </w:r>
    </w:p>
    <w:p w:rsidR="00552B48" w:rsidRPr="00623F9C" w:rsidRDefault="00552B48" w:rsidP="00552B48">
      <w:pPr>
        <w:pStyle w:val="NormalHanging12a"/>
        <w:rPr>
          <w:szCs w:val="24"/>
        </w:rPr>
      </w:pPr>
      <w:r w:rsidRPr="00623F9C">
        <w:t>B.</w:t>
      </w:r>
      <w:r w:rsidRPr="00623F9C">
        <w:tab/>
        <w:t>kadangi žmonių galimybė naudotis teise priimti savarankiškus sprendimus, susijusius su reprodukcine sveikata, kontroliuoti savo reprodukcinį gyvenimą ir patiems spręsti, kada ir kaip susilaukti vaikų, yra labai svarbi siekiant visapusiškai užtikrinti moterų, mergaičių ir visų pastoti galinčių asmenų žmogaus teises; kadangi turi būti užtikrintas visapusiškas asmens savarankiškumas, kiek tai susiję su asmens kūnu ir dėl jo priimamais sprendimais;</w:t>
      </w:r>
    </w:p>
    <w:p w:rsidR="00552B48" w:rsidRPr="00623F9C" w:rsidRDefault="00552B48" w:rsidP="00552B48">
      <w:pPr>
        <w:pStyle w:val="NormalHanging12a"/>
        <w:rPr>
          <w:szCs w:val="24"/>
        </w:rPr>
      </w:pPr>
      <w:r w:rsidRPr="00623F9C">
        <w:t>C.</w:t>
      </w:r>
      <w:r w:rsidRPr="00623F9C">
        <w:tab/>
        <w:t>kadangi Chartijoje įtvirtintos svarbiausios ES gyventojų pagrindinės teisės ir laisvės; kadangi saugaus ir teisėto nėštumo nutraukimo paslaugų apsauga daro tiesioginį poveikį veiksmingam naudojimuisi Chartijoje pripažintomis teisėmis, pvz., žmogaus orumo, asmens autonomiškumo, lygybės, sveikatos ir fizinės bei psichinės neliečiamybės teisėmis; kadangi galimybės naudotis saugaus ir teisėto nėštumo nutraukimo paslaugomis atėmimas yra šių pagrindinių teisių pažeidimas;</w:t>
      </w:r>
    </w:p>
    <w:p w:rsidR="00552B48" w:rsidRPr="00623F9C" w:rsidRDefault="00552B48" w:rsidP="00552B48">
      <w:pPr>
        <w:pStyle w:val="NormalHanging12a"/>
        <w:rPr>
          <w:szCs w:val="24"/>
        </w:rPr>
      </w:pPr>
      <w:r w:rsidRPr="00623F9C">
        <w:t>D.</w:t>
      </w:r>
      <w:r w:rsidRPr="00623F9C">
        <w:tab/>
        <w:t>kadangi JT Žmogaus teisių komitetas konkrečiai pripažino, kad asmens savanoriškas sprendimas nutraukti nėštumą patenka į teisės į privatumą taikymo sritį; kadangi JT Žmogaus teisių komitetas taip pat pripažino, kad neveikimas moters sprendimo pasinaudoti teisėto nėštumo nutraukimo paslaugomis atveju yra teisės į privatumą pažeidimas, be kita ko, ir tais atvejais, kai dėl tokio sprendimo įsikiša teisminės institucijos;</w:t>
      </w:r>
    </w:p>
    <w:p w:rsidR="00552B48" w:rsidRPr="00623F9C" w:rsidRDefault="00552B48" w:rsidP="00552B48">
      <w:pPr>
        <w:pStyle w:val="NormalHanging12a"/>
        <w:rPr>
          <w:szCs w:val="24"/>
        </w:rPr>
      </w:pPr>
      <w:r w:rsidRPr="00623F9C">
        <w:t>E.</w:t>
      </w:r>
      <w:r w:rsidRPr="00623F9C">
        <w:tab/>
        <w:t xml:space="preserve">kadangi JT Moterų diskriminacijos panaikinimo komitetas savo Bendrojoje rekomendacijoje Nr. 35 aiškiai nurodė, kad aborto </w:t>
      </w:r>
      <w:proofErr w:type="spellStart"/>
      <w:r w:rsidRPr="00623F9C">
        <w:t>kriminalizavimas</w:t>
      </w:r>
      <w:proofErr w:type="spellEnd"/>
      <w:r w:rsidRPr="00623F9C">
        <w:t xml:space="preserve"> yra moterų lytinės ir reprodukcinės sveikatos bei teisių pažeidimas ir viena iš smurto dėl lyties formų, ir primygtinai paragino valstybes panaikinti visus teisės aktus, kuriais abortas </w:t>
      </w:r>
      <w:proofErr w:type="spellStart"/>
      <w:r w:rsidRPr="00623F9C">
        <w:t>kriminalizuojamas</w:t>
      </w:r>
      <w:proofErr w:type="spellEnd"/>
      <w:r w:rsidRPr="00623F9C">
        <w:t>;</w:t>
      </w:r>
    </w:p>
    <w:p w:rsidR="00552B48" w:rsidRPr="00623F9C" w:rsidRDefault="00552B48" w:rsidP="00552B48">
      <w:pPr>
        <w:pStyle w:val="NormalHanging12a"/>
        <w:rPr>
          <w:szCs w:val="24"/>
        </w:rPr>
      </w:pPr>
      <w:r w:rsidRPr="00623F9C">
        <w:t>F.</w:t>
      </w:r>
      <w:r w:rsidRPr="00623F9C">
        <w:tab/>
        <w:t>kadangi lytinė ir reprodukcinė sveikata bei teisės yra įtrauktos į JT darnaus vystymosi tikslus, būtent į 3.7 tikslą, kuriuo raginama užtikrinti visuotinę galimybę gauti lytinės ir reprodukcinės sveikatos priežiūros paslaugas, įskaitant šeimos planavimo, informavimo ir švietimo paslaugas, ir integruoti reprodukcinę sveikatą į nacionalines strategijas bei programas, ir į 5.6 tikslą, kuriuo nurodoma, kad reikia užtikrinti visuotinę teisę į lytinę ir reprodukcinę sveikatą bei teises, suderintas su Tarptautinės konferencijos gyventojų ir vystymosi klausimais veiksmų programa ir Pekino veiksmų platforma bei jos peržiūros konferencijų rezultatais;</w:t>
      </w:r>
    </w:p>
    <w:p w:rsidR="00552B48" w:rsidRPr="00623F9C" w:rsidRDefault="00552B48" w:rsidP="00552B48">
      <w:pPr>
        <w:pStyle w:val="NormalHanging12a"/>
        <w:rPr>
          <w:rStyle w:val="doceo-font-family-base"/>
          <w:color w:val="000000"/>
          <w:szCs w:val="24"/>
        </w:rPr>
      </w:pPr>
      <w:r w:rsidRPr="00623F9C">
        <w:rPr>
          <w:rStyle w:val="doceo-font-family-base"/>
          <w:color w:val="000000"/>
        </w:rPr>
        <w:t>G.</w:t>
      </w:r>
      <w:r w:rsidRPr="00623F9C">
        <w:rPr>
          <w:rStyle w:val="doceo-font-family-base"/>
          <w:color w:val="000000"/>
        </w:rPr>
        <w:tab/>
      </w:r>
      <w:r w:rsidRPr="00623F9C">
        <w:t>kadangi šalyse, kuriose galioja mažiau ribojantys abortų įstatymai, abortų rodiklis paprastai yra mažesnis nei šalyse, kuriose taikomi griežtai abortus ribojantys įstatymai</w:t>
      </w:r>
      <w:r w:rsidRPr="00623F9C">
        <w:rPr>
          <w:rStyle w:val="FootnoteReference"/>
          <w:color w:val="000000"/>
          <w:szCs w:val="24"/>
        </w:rPr>
        <w:footnoteReference w:id="12"/>
      </w:r>
      <w:r w:rsidRPr="00623F9C">
        <w:t xml:space="preserve">; </w:t>
      </w:r>
      <w:r w:rsidRPr="00623F9C">
        <w:lastRenderedPageBreak/>
        <w:t xml:space="preserve">kadangi, siekiant užtikrinti teisę į visišką fizinį savarankiškumą, be kita ko, sumažinti neplanuoto nėštumo atvejų skaičių ir sudaryti sąlygas asmenims priimti pagrįstus sprendimus dėl savo gyvenimo ir kūno, labai svarbu visiems asmenims suteikti galimybę gauti išsamaus, pagal amžių tinkamo ir </w:t>
      </w:r>
      <w:proofErr w:type="spellStart"/>
      <w:r w:rsidRPr="00623F9C">
        <w:t>įrodymais</w:t>
      </w:r>
      <w:proofErr w:type="spellEnd"/>
      <w:r w:rsidRPr="00623F9C">
        <w:t xml:space="preserve"> pagrįsto lytinio švietimo ir ugdymo santykių klausimais paslaugas, taip pat galimybę naudotis aukštos kokybės, prieinamomis, saugiomis ir nemokamomis kontraceptinėmis priemonėmis bei šeimos planavimo konsultavimo paslaugomis; </w:t>
      </w:r>
      <w:r w:rsidRPr="00623F9C">
        <w:rPr>
          <w:rStyle w:val="doceo-font-family-base"/>
          <w:color w:val="000000"/>
        </w:rPr>
        <w:t>kadangi pagal amžių tinkamas ir išsamus lytinis švietimas yra labai svarbus formuojant vaikų ir jaunimo įgūdžius kurti sveikus, lygiateisius ir saugius santykius, visų pirma atsižvelgiant į lyčių normas, lyčių lygybę, jėgos dinamiką santykiuose ir sutikimą bei nustatytų ribų paisymą; kadangi jis taip pat padeda siekti lyčių lygybės;</w:t>
      </w:r>
    </w:p>
    <w:p w:rsidR="00552B48" w:rsidRPr="00623F9C" w:rsidRDefault="00552B48" w:rsidP="00552B48">
      <w:pPr>
        <w:pStyle w:val="NormalHanging12a"/>
        <w:rPr>
          <w:szCs w:val="24"/>
        </w:rPr>
      </w:pPr>
      <w:r w:rsidRPr="00623F9C">
        <w:t>H.</w:t>
      </w:r>
      <w:r w:rsidRPr="00623F9C">
        <w:tab/>
        <w:t>kadangi per reikšmingą balsavimą 2024 m. kovo 4 d. Prancūzijos teisėkūros institucijos į Prancūzijos Konstituciją įtraukė laisvės nutraukti nėštumą garantiją; kadangi Prancūzija yra pirmoji šalis pasaulyje, aiškiai nustačiusi, kad abortas yra konstitucinė teisė; kadangi šia konstitucinių nuostatų peržiūra siekiama nustatyti apsaugos priemonę, atsižvelgiant į tai, kad ES ir visame pasaulyje, įskaitant JAV, Lenkiją, Vengriją ir Maltą, teisės į abortą yra pažeidžiamos; kadangi Prancūzijos feministinių organizacijų ir parlamento narių darbas ir įsipareigojimas buvo labai svarbūs užtikrinant daugumos pritarimą konstitucinei teisės į abortą apsaugai;</w:t>
      </w:r>
    </w:p>
    <w:p w:rsidR="00552B48" w:rsidRPr="00623F9C" w:rsidRDefault="00552B48" w:rsidP="00552B48">
      <w:pPr>
        <w:pStyle w:val="NormalHanging12a"/>
        <w:rPr>
          <w:szCs w:val="24"/>
        </w:rPr>
      </w:pPr>
      <w:r w:rsidRPr="00623F9C">
        <w:rPr>
          <w:snapToGrid w:val="0"/>
        </w:rPr>
        <w:t>I.</w:t>
      </w:r>
      <w:r w:rsidRPr="00623F9C">
        <w:rPr>
          <w:snapToGrid w:val="0"/>
        </w:rPr>
        <w:tab/>
      </w:r>
      <w:r w:rsidRPr="00623F9C">
        <w:t>kadangi nuo teisės į abortą įtraukimo į Prancūzijos Konstituciją panašios iniciatyvos jau apsvarstytos kitose šalyse, pvz., Ispanijoje ir Švedijoje, o tai reiškia, kad Europa turi pateikti atsaką į priešinimąsi lyčių lygybei ir padėties lytinės ir reprodukcinės sveikatos bei teisių srityje blogėjimą ir užtikrinti konstitucinę puolamų teisių apsaugą;</w:t>
      </w:r>
    </w:p>
    <w:p w:rsidR="00552B48" w:rsidRPr="00623F9C" w:rsidRDefault="00552B48" w:rsidP="00552B48">
      <w:pPr>
        <w:pStyle w:val="NormalHanging12a"/>
        <w:rPr>
          <w:szCs w:val="24"/>
        </w:rPr>
      </w:pPr>
      <w:r w:rsidRPr="00623F9C">
        <w:t>J.</w:t>
      </w:r>
      <w:r w:rsidRPr="00623F9C">
        <w:tab/>
        <w:t>kadangi teigiamus teisės aktų pakeitimus turi papildyti finansinė parama, kad teisė naudotis nėštumo nutraukimo paslaugomis taptų tikrove;</w:t>
      </w:r>
    </w:p>
    <w:p w:rsidR="00552B48" w:rsidRPr="00623F9C" w:rsidRDefault="00552B48" w:rsidP="00552B48">
      <w:pPr>
        <w:pStyle w:val="NormalHanging12a"/>
        <w:rPr>
          <w:szCs w:val="24"/>
        </w:rPr>
      </w:pPr>
      <w:r w:rsidRPr="00623F9C">
        <w:t>K.</w:t>
      </w:r>
      <w:r w:rsidRPr="00623F9C">
        <w:tab/>
        <w:t>kadangi, nors ES lytinės ir reprodukcinės sveikatos bei teisių srityje galioja vieni iš aukščiausių standartų pasaulyje, moterys ir LGBTIQ bendruomenės nariai naudodamiesi teise į fizinį savarankiškumą vis dar susiduria su kliūtimis; kadangi šios kliūtys gali būti teisinio, politinio, finansinio, kultūrinio arba su informacija susijusio pobūdžio;</w:t>
      </w:r>
    </w:p>
    <w:p w:rsidR="00552B48" w:rsidRPr="00623F9C" w:rsidRDefault="00552B48" w:rsidP="00552B48">
      <w:pPr>
        <w:pStyle w:val="NormalHanging12a"/>
        <w:rPr>
          <w:szCs w:val="24"/>
        </w:rPr>
      </w:pPr>
      <w:r w:rsidRPr="00623F9C">
        <w:t>L.</w:t>
      </w:r>
      <w:r w:rsidRPr="00623F9C">
        <w:tab/>
        <w:t>kadangi kai kuriose valstybėse narėse iki šiol galioja griežtai ribojantys įstatymai, pagal kuriuos nėštumą nutraukti leidžiama tik griežtai nustatytomis aplinkybėmis, ir dėl to moterys priverstos ieškoti galimybių pasinaudoti nesaugiomis ir gyvybei grėsmę keliančiomis procedūromis, vykti į kitas šalis arba prieš savo valią išnešioti vaisių visą nėštumą, o tai yra jų žmogaus teisių pažeidimas ir viena iš smurto dėl lyties formų; kadangi kai kurios valstybės narės, kuriose nėštumo nutraukimas įteisintas atsižvelgiant į prašymus ar plataus masto socialines priežastis, vis dėlto tebetaiko konkrečias baudžiamąsias sankcijas už atliktą nėštumo nutraukimą, kuris nepatenka į taikytinų teisės aktų nuostatų taikymo sritį;</w:t>
      </w:r>
    </w:p>
    <w:p w:rsidR="00552B48" w:rsidRPr="00623F9C" w:rsidRDefault="00552B48" w:rsidP="00552B48">
      <w:pPr>
        <w:pStyle w:val="NormalHanging12a"/>
        <w:rPr>
          <w:szCs w:val="24"/>
        </w:rPr>
      </w:pPr>
      <w:r w:rsidRPr="00623F9C">
        <w:t>M.</w:t>
      </w:r>
      <w:r w:rsidRPr="00623F9C">
        <w:tab/>
        <w:t>kadangi keletas valstybių narių šiuo metu bando dar labiau apriboti galimybę naudotis lytinės ir reprodukcinės sveikatos priežiūros paslaugomis bei teisėmis griežtai ribojančiais įstatymais, kurie lemia mažesnį sveikatos priežiūros paslaugų prieinamumą ir diskriminaciją bei smurtą dėl lyties; kadangi šios iniciatyvos ir blogėjanti padėtis trukdo užtikrinti žmonių teises, varžo šalių vystymąsi ir kenkia demokratijai, Europos vertybėms bei pagrindinėms teisėms;</w:t>
      </w:r>
    </w:p>
    <w:p w:rsidR="00552B48" w:rsidRPr="00623F9C" w:rsidRDefault="00552B48" w:rsidP="00552B48">
      <w:pPr>
        <w:pStyle w:val="NormalHanging12a"/>
        <w:rPr>
          <w:szCs w:val="24"/>
        </w:rPr>
      </w:pPr>
      <w:bookmarkStart w:id="8" w:name="_Hlk161903494"/>
      <w:r w:rsidRPr="00623F9C">
        <w:lastRenderedPageBreak/>
        <w:t>N.</w:t>
      </w:r>
      <w:r w:rsidRPr="00623F9C">
        <w:tab/>
        <w:t>kadangi pasaulyje vyksta koordinuotas ir gerai finansuojamas regresas lyčių lygybės, LGBTIQ bendruomenės įvairovės ir feminizmo srityse; kadangi visame pasaulyje regresyvios jėgos ir itin konservatyvių pažiūrų religiniai subjektai bei kraštutiniai dešinieji siekia panaikinti per dešimtmečius padarytą pažangą žmogaus teisių srityje ir primesti žalingą pasaulėžiūrą, susijusią su lyčių vaidmenimis šeimoje ir visuomeniniame gyvenime; kadangi šie judėjimai ir išpuoliai yra glaudžiai susiję su autoritarinių išpuolių prieš pasaulio demokratiją tendencija; kadangi tai yra akivaizdi grėsmė teisinei valstybei Europoje;</w:t>
      </w:r>
    </w:p>
    <w:p w:rsidR="00552B48" w:rsidRPr="00623F9C" w:rsidRDefault="00552B48" w:rsidP="00552B48">
      <w:pPr>
        <w:pStyle w:val="NormalHanging12a"/>
        <w:rPr>
          <w:szCs w:val="24"/>
        </w:rPr>
      </w:pPr>
      <w:r w:rsidRPr="00623F9C">
        <w:t>O.</w:t>
      </w:r>
      <w:r w:rsidRPr="00623F9C">
        <w:tab/>
        <w:t>kadangi šie prieš lyčių lygybę ir teises nukreipti judėjimai konkrečiai ginčija lytines ir reprodukcines teises bei moterų savarankiškumą ir daro įtaką teisės aktams bei politikai, todėl keliose valstybėse narėse įgyvendinamos reakcingos iniciatyvos, kuriomis siekiama sumenkinti lytinės ir reprodukcinės sveikatos bei teisių svarbą;</w:t>
      </w:r>
      <w:bookmarkEnd w:id="8"/>
    </w:p>
    <w:p w:rsidR="00552B48" w:rsidRPr="00623F9C" w:rsidRDefault="00552B48" w:rsidP="00552B48">
      <w:pPr>
        <w:pStyle w:val="NormalHanging12a"/>
        <w:rPr>
          <w:szCs w:val="24"/>
        </w:rPr>
      </w:pPr>
      <w:r w:rsidRPr="00623F9C">
        <w:t>P.</w:t>
      </w:r>
      <w:r w:rsidRPr="00623F9C">
        <w:tab/>
        <w:t>kadangi 2020 m. spalio 22 d. neteisėtam Konstituciniam Teismui priėmus sprendimą</w:t>
      </w:r>
      <w:r w:rsidRPr="00623F9C">
        <w:rPr>
          <w:rStyle w:val="FootnoteReference"/>
          <w:color w:val="000000"/>
          <w:szCs w:val="24"/>
        </w:rPr>
        <w:footnoteReference w:id="13"/>
      </w:r>
      <w:r w:rsidRPr="00623F9C">
        <w:t xml:space="preserve">, kuriuo </w:t>
      </w:r>
      <w:r w:rsidRPr="00623F9C">
        <w:rPr>
          <w:i/>
        </w:rPr>
        <w:t>de facto</w:t>
      </w:r>
      <w:r w:rsidRPr="00623F9C">
        <w:t xml:space="preserve"> uždraudžiamas abortas, Lenkija dar labiau apribojo galimybę naudotis teisėto nėštumo nutraukimo paslaugomis ir dėl to mirė ne mažiau kaip šešios moterys; kadangi moterų atžvilgiu buvo atliekami tyrimai dėl įtarimų padarius abortus, o moterų žmogaus ir reprodukcinių teisių gynėjų atžvilgiu buvo vykdomas baudžiamasis persekiojimas dėl pagalbos moterims, norinčioms pasinaudoti nėštumo nutraukimo paslaugomis, arba dėl protestų už teisę į abortą; kadangi neseniai priimtame EŽTT sprendime byloje </w:t>
      </w:r>
      <w:r w:rsidRPr="00623F9C">
        <w:rPr>
          <w:i/>
        </w:rPr>
        <w:t>M. L. prieš</w:t>
      </w:r>
      <w:r w:rsidRPr="00623F9C">
        <w:t xml:space="preserve"> </w:t>
      </w:r>
      <w:r w:rsidRPr="00623F9C">
        <w:rPr>
          <w:i/>
        </w:rPr>
        <w:t>Lenkiją</w:t>
      </w:r>
      <w:r w:rsidRPr="00623F9C">
        <w:t xml:space="preserve"> nustatyta, kad tuo atveju, kai moteris buvo priversta vykti į užsienį pasidaryti abortą, tam išleido didelę asmeninių lėšų sumą, neturėjo galimybės būti palaikomai savo šeimos rato ir patyrė didelį psichologinį poveikį, buvo pažeistas Europos žmogaus teisių konvencijos 8 straipsnis dėl teisės į privataus ir šeimos gyvenimo gerbimą;</w:t>
      </w:r>
    </w:p>
    <w:p w:rsidR="00552B48" w:rsidRPr="00623F9C" w:rsidRDefault="00552B48" w:rsidP="00552B48">
      <w:pPr>
        <w:pStyle w:val="NormalHanging12a"/>
        <w:rPr>
          <w:szCs w:val="24"/>
        </w:rPr>
      </w:pPr>
      <w:r w:rsidRPr="00623F9C">
        <w:t>Q.</w:t>
      </w:r>
      <w:r w:rsidRPr="00623F9C">
        <w:tab/>
        <w:t xml:space="preserve">kadangi naujai išrinkta Lenkijos vyriausybė yra įsipareigojusi pasiūlyti naujus įstatymus, kuriais būtų užtikrintos moterų teisės ir galimybė naudotis lytinės ir reprodukcinės sveikatos priežiūros paslaugomis, įskaitant nėštumo nutraukimo paslaugas; kadangi balsavimas dėl pasiūlymų dėl aktų projektų, kuriais abortas </w:t>
      </w:r>
      <w:proofErr w:type="spellStart"/>
      <w:r w:rsidRPr="00623F9C">
        <w:t>dekriminalizuojamas</w:t>
      </w:r>
      <w:proofErr w:type="spellEnd"/>
      <w:r w:rsidRPr="00623F9C">
        <w:t xml:space="preserve"> ir užtikrinama galimybė naudotis nėštumo nutraukimo paslaugomis, Lenkijos Respublikos Seime, deja, buvo atidėtas</w:t>
      </w:r>
      <w:r w:rsidR="00A867AD">
        <w:t>;</w:t>
      </w:r>
    </w:p>
    <w:p w:rsidR="00552B48" w:rsidRPr="00623F9C" w:rsidRDefault="00552B48" w:rsidP="00552B48">
      <w:pPr>
        <w:pStyle w:val="NormalHanging12a"/>
        <w:rPr>
          <w:szCs w:val="24"/>
        </w:rPr>
      </w:pPr>
      <w:r w:rsidRPr="00623F9C">
        <w:t>R.</w:t>
      </w:r>
      <w:r w:rsidRPr="00623F9C">
        <w:tab/>
        <w:t xml:space="preserve">kadangi Maltoje abortas yra </w:t>
      </w:r>
      <w:r w:rsidRPr="00623F9C">
        <w:rPr>
          <w:i/>
        </w:rPr>
        <w:t>de facto</w:t>
      </w:r>
      <w:r w:rsidRPr="00623F9C">
        <w:t xml:space="preserve"> uždraustas ir </w:t>
      </w:r>
      <w:proofErr w:type="spellStart"/>
      <w:r w:rsidRPr="00623F9C">
        <w:t>kriminalizuojamas</w:t>
      </w:r>
      <w:proofErr w:type="spellEnd"/>
      <w:r w:rsidRPr="00623F9C">
        <w:t>; kadangi dėl 2023 m. liepos mėn. reformos Maltos Respublikos Atstovų Rūmuose įvyko susirūpinimą keliantis pokytis, kuriuo panaikinamos teisės ir sukuriama dar daugiau rizikos bei kliūčių naudojimosi nėštumo nutraukimo srityje nei anksčiau; kadangi viena iš šių kliūčių yra ta, kad gydytojai gali nutraukti nėštumą tik tuo atveju, kai asmens gyvybei kyla tiesioginis pavojus ir tik iki tol, kol vaisius tampa gyvybingas, bei yra reikalaujama, kad jie perduotų spręsti klausimą dėl mirštančio besilaukiančio asmens medikų kolegijai, sudarytai iš trijų konsultantų; kadangi didelio pavojaus sveikatai atvejai nėra numatyti įstatyme; kadangi Maltoje vėžiu sergantis besilaukiantis asmuo negali gauti atitinkamo gydymo ir privalo palaukti, kol vaikas gims, ir tik tada gali būti gydomas nuo vėžio, o dėl to sumažėja sėkmingo gydymo galimybės;</w:t>
      </w:r>
    </w:p>
    <w:p w:rsidR="00552B48" w:rsidRPr="00623F9C" w:rsidRDefault="00552B48" w:rsidP="00552B48">
      <w:pPr>
        <w:pStyle w:val="NormalHanging12a"/>
        <w:rPr>
          <w:szCs w:val="24"/>
        </w:rPr>
      </w:pPr>
      <w:r w:rsidRPr="00623F9C">
        <w:t>S.</w:t>
      </w:r>
      <w:r w:rsidRPr="00623F9C">
        <w:tab/>
        <w:t xml:space="preserve">kadangi medicininis abortas nėra teisėtas Slovakijoje ir Vengrijoje; kadangi 2022 m. rugsėjo mėn. Vengrija priėmė aktą, pagal kurį nėštumą nutraukti norinčios moterys </w:t>
      </w:r>
      <w:r w:rsidRPr="00623F9C">
        <w:lastRenderedPageBreak/>
        <w:t>privalo klausytis vaisiaus širdies plakimo; kadangi Slovakijoje buvo dar kartą imtasi bandymų apriboti galimybę naudotis nėštumo nutraukimo paslaugomis, pateikiant reakcingų aktų projektus parlamente;</w:t>
      </w:r>
    </w:p>
    <w:p w:rsidR="00552B48" w:rsidRPr="00623F9C" w:rsidRDefault="00552B48" w:rsidP="00552B48">
      <w:pPr>
        <w:pStyle w:val="NormalHanging12a"/>
        <w:rPr>
          <w:szCs w:val="24"/>
        </w:rPr>
      </w:pPr>
      <w:r w:rsidRPr="00623F9C">
        <w:t>T.</w:t>
      </w:r>
      <w:r w:rsidRPr="00623F9C">
        <w:tab/>
        <w:t>kadangi galimybės naudotis nėštumo nutraukimo paslaugomis taip pat mažinamos Italijoje</w:t>
      </w:r>
      <w:r w:rsidRPr="00623F9C">
        <w:rPr>
          <w:szCs w:val="24"/>
          <w:vertAlign w:val="superscript"/>
        </w:rPr>
        <w:footnoteReference w:id="14"/>
      </w:r>
      <w:r w:rsidRPr="00623F9C">
        <w:t xml:space="preserve">; kadangi tokiose šalyse kaip Italija, Slovakija ir Rumunija dauguma gydytojų pasiskelbia atsisakantys atlikti abortą dėl įsitikinimų ir dėl to kai kuriuose regionuose tampa itin sudėtinga </w:t>
      </w:r>
      <w:r w:rsidRPr="00623F9C">
        <w:rPr>
          <w:i/>
        </w:rPr>
        <w:t>de facto</w:t>
      </w:r>
      <w:r w:rsidRPr="00623F9C">
        <w:t xml:space="preserve"> naudotis nėštumo nutraukimo paslaugomis; kadangi kitose valstybėse narėse, pvz., Kroatijoje, galimybė laiku gauti tinkamas nėštumo nutraukimo paslaugas nesuteikiama dėl praktinių kliūčių</w:t>
      </w:r>
      <w:r w:rsidRPr="00623F9C">
        <w:rPr>
          <w:szCs w:val="24"/>
          <w:vertAlign w:val="superscript"/>
        </w:rPr>
        <w:footnoteReference w:id="15"/>
      </w:r>
      <w:r w:rsidRPr="00623F9C">
        <w:t>;</w:t>
      </w:r>
    </w:p>
    <w:p w:rsidR="00552B48" w:rsidRPr="00623F9C" w:rsidRDefault="00552B48" w:rsidP="00552B48">
      <w:pPr>
        <w:pStyle w:val="NormalHanging12a"/>
        <w:rPr>
          <w:szCs w:val="24"/>
        </w:rPr>
      </w:pPr>
      <w:r w:rsidRPr="00623F9C">
        <w:rPr>
          <w:snapToGrid w:val="0"/>
        </w:rPr>
        <w:t>U.</w:t>
      </w:r>
      <w:r w:rsidRPr="00623F9C">
        <w:rPr>
          <w:snapToGrid w:val="0"/>
        </w:rPr>
        <w:tab/>
      </w:r>
      <w:r w:rsidRPr="00623F9C">
        <w:t xml:space="preserve">kadangi Belgijos Karalystės Federaliniame Parlamente buvo atidėta keletas bandymų visiškai </w:t>
      </w:r>
      <w:proofErr w:type="spellStart"/>
      <w:r w:rsidRPr="00623F9C">
        <w:t>dekriminalizuoti</w:t>
      </w:r>
      <w:proofErr w:type="spellEnd"/>
      <w:r w:rsidRPr="00623F9C">
        <w:t xml:space="preserve"> abortą Belgijoje;</w:t>
      </w:r>
    </w:p>
    <w:p w:rsidR="00552B48" w:rsidRPr="00623F9C" w:rsidRDefault="00552B48" w:rsidP="00552B48">
      <w:pPr>
        <w:pStyle w:val="NormalHanging12a"/>
        <w:rPr>
          <w:szCs w:val="24"/>
        </w:rPr>
      </w:pPr>
      <w:r w:rsidRPr="00623F9C">
        <w:rPr>
          <w:snapToGrid w:val="0"/>
        </w:rPr>
        <w:t>V.</w:t>
      </w:r>
      <w:r w:rsidRPr="00623F9C">
        <w:rPr>
          <w:snapToGrid w:val="0"/>
        </w:rPr>
        <w:tab/>
      </w:r>
      <w:r w:rsidRPr="00623F9C">
        <w:t xml:space="preserve">kadangi kai kuriose šalyse aborto procedūros ir nešališkos konsultacijos tebėra </w:t>
      </w:r>
      <w:proofErr w:type="spellStart"/>
      <w:r w:rsidRPr="00623F9C">
        <w:t>tabu</w:t>
      </w:r>
      <w:proofErr w:type="spellEnd"/>
      <w:r w:rsidRPr="00623F9C">
        <w:t xml:space="preserve"> ir retai kada yra įtraukiamos į privalomą medicinos mokymą, o tai lemia gydytojų žinių ir praktikos trūkumą, dėl kurio nukenčia pacientų fizinė ir psichinė sveikata;</w:t>
      </w:r>
    </w:p>
    <w:p w:rsidR="00552B48" w:rsidRPr="00623F9C" w:rsidRDefault="00552B48" w:rsidP="00552B48">
      <w:pPr>
        <w:pStyle w:val="NormalHanging12a"/>
        <w:rPr>
          <w:szCs w:val="24"/>
        </w:rPr>
      </w:pPr>
      <w:r w:rsidRPr="00623F9C">
        <w:rPr>
          <w:snapToGrid w:val="0"/>
        </w:rPr>
        <w:t>W.</w:t>
      </w:r>
      <w:r w:rsidRPr="00623F9C">
        <w:rPr>
          <w:snapToGrid w:val="0"/>
        </w:rPr>
        <w:tab/>
      </w:r>
      <w:r w:rsidRPr="00623F9C">
        <w:t>kadangi dezinformacija apie abortą, įskaitant dezinformaciją internete, sukuriama tikra kliūtis moterų savarankiškumui; kadangi Vokietijoje dar visai neseniai informacijos apie medicininio aborto būdus pateikimas gydytojų interneto svetainėse buvo laikomas aborto propagavimu ir už jį buvo baudžiama; kadangi aborto reklamos draudimas buvo panaikintas tik 2022 m. liepos mėn.;</w:t>
      </w:r>
    </w:p>
    <w:p w:rsidR="00552B48" w:rsidRPr="00623F9C" w:rsidRDefault="00552B48" w:rsidP="00552B48">
      <w:pPr>
        <w:pStyle w:val="NormalHanging12a"/>
        <w:rPr>
          <w:szCs w:val="24"/>
        </w:rPr>
      </w:pPr>
      <w:r w:rsidRPr="00623F9C">
        <w:t>X.</w:t>
      </w:r>
      <w:r w:rsidRPr="00623F9C">
        <w:tab/>
        <w:t>kadangi pabėgėliai iš Ukrainos kai kuriose valstybėse narėse negalėjo naudotis aborto paslaugomis, be kita ko, ir seksualinio smurto atvejais, o tai yra šiurkštus jų žmogaus teisių pažeidimas ir prilyginama kankinimui ir nežmoniškam ar žeminančiam elgesiui;</w:t>
      </w:r>
    </w:p>
    <w:p w:rsidR="00552B48" w:rsidRPr="00623F9C" w:rsidRDefault="00552B48" w:rsidP="00552B48">
      <w:pPr>
        <w:pStyle w:val="NormalHanging12a"/>
        <w:rPr>
          <w:szCs w:val="24"/>
        </w:rPr>
      </w:pPr>
      <w:r w:rsidRPr="00623F9C">
        <w:t>Y.</w:t>
      </w:r>
      <w:r w:rsidRPr="00623F9C">
        <w:tab/>
        <w:t xml:space="preserve">kadangi lytinės ir reprodukcinės sveikatos priežiūros paslaugų, ypač nėštumo nutraukimo paslaugų, bei teisių </w:t>
      </w:r>
      <w:proofErr w:type="spellStart"/>
      <w:r w:rsidRPr="00623F9C">
        <w:t>kriminalizavimas</w:t>
      </w:r>
      <w:proofErr w:type="spellEnd"/>
      <w:r w:rsidRPr="00623F9C">
        <w:t>, ir delsimas bei atsisakymas suteikti galimybę jomis pasinaudoti yra viena iš smurto dėl lyties formų; kadangi šie apribojimai ir draudimai, užuot padėję mažinti abortų skaičių, tik priverčia asmenis keliauti toli arba pasinaudoti nesaugių abortų galimybe, o tai taip pat padaro juos pažeidžiamus dėl baudžiamojo tyrimo ir persekiojimo; kadangi jie paveikia asmenis, kuriems labiausiai trūksta lėšų ir informacijos; kadangi beveik visos mirtys dėl nesaugių abortų įvyksta šalyse, kuriose abortai yra griežtai ribojami; kadangi šių mirčių galima išvengti; kadangi nesaugus abortas yra viena iš pagrindinių gimdyvių sergamumo priežasčių, bet ji yra išvengiama;</w:t>
      </w:r>
    </w:p>
    <w:p w:rsidR="00552B48" w:rsidRPr="00623F9C" w:rsidRDefault="00552B48" w:rsidP="00552B48">
      <w:pPr>
        <w:pStyle w:val="NormalHanging12a"/>
        <w:rPr>
          <w:szCs w:val="24"/>
        </w:rPr>
      </w:pPr>
      <w:r w:rsidRPr="00623F9C">
        <w:t>Z.</w:t>
      </w:r>
      <w:r w:rsidRPr="00623F9C">
        <w:tab/>
        <w:t xml:space="preserve">kadangi </w:t>
      </w:r>
      <w:proofErr w:type="spellStart"/>
      <w:r w:rsidRPr="00623F9C">
        <w:t>marginalizuoti</w:t>
      </w:r>
      <w:proofErr w:type="spellEnd"/>
      <w:r w:rsidRPr="00623F9C">
        <w:t xml:space="preserve"> asmenys ir grupės, įskaitant rasines, etnines ir religines mažumas, migrantus, nepalankioje socialinėje ir ekonominėje padėtyje esančius asmenis, kaimo vietovėse gyvenančius asmenis, neįgaliuosius, LGBTIQ bendruomenės narius ir smurto aukas, naudodamiesi sveikatos priežiūros paslaugomis dažnai susiduria su papildomomis kliūtimis, </w:t>
      </w:r>
      <w:proofErr w:type="spellStart"/>
      <w:r w:rsidRPr="00623F9C">
        <w:t>sąveikine</w:t>
      </w:r>
      <w:proofErr w:type="spellEnd"/>
      <w:r w:rsidRPr="00623F9C">
        <w:t xml:space="preserve"> diskriminacija ir smurtu; kadangi tai lemia </w:t>
      </w:r>
      <w:r w:rsidRPr="00623F9C">
        <w:lastRenderedPageBreak/>
        <w:t xml:space="preserve">įstatymai ir politika, pagal kuriuos sudaromos sąlygos priverstinei lytinės ir reprodukcinės sveikatos priežiūros praktikai, ir </w:t>
      </w:r>
      <w:proofErr w:type="spellStart"/>
      <w:r w:rsidRPr="00623F9C">
        <w:t>nesugebėjimas</w:t>
      </w:r>
      <w:proofErr w:type="spellEnd"/>
      <w:r w:rsidRPr="00623F9C">
        <w:t xml:space="preserve"> užtikrinti tinkamų sąlygų gauti kokybišką priežiūrą ir informaciją;</w:t>
      </w:r>
    </w:p>
    <w:p w:rsidR="00552B48" w:rsidRPr="00623F9C" w:rsidRDefault="00552B48" w:rsidP="00552B48">
      <w:pPr>
        <w:pStyle w:val="NormalHanging12a"/>
        <w:rPr>
          <w:szCs w:val="24"/>
        </w:rPr>
      </w:pPr>
      <w:r w:rsidRPr="00623F9C">
        <w:t>1.</w:t>
      </w:r>
      <w:r w:rsidRPr="00623F9C">
        <w:tab/>
        <w:t>dar kartą primena, kad lytinė ir reprodukcinė sveikata bei teisės yra pagrindinės žmogaus teisės, kurios turi būti saugomos ir stiprinamos ir jokiu būdu negali būti silpninamos ar panaikintos;</w:t>
      </w:r>
    </w:p>
    <w:p w:rsidR="00552B48" w:rsidRPr="00623F9C" w:rsidRDefault="00552B48" w:rsidP="00552B48">
      <w:pPr>
        <w:pStyle w:val="NormalHanging12a"/>
        <w:rPr>
          <w:szCs w:val="24"/>
        </w:rPr>
      </w:pPr>
      <w:r w:rsidRPr="00623F9C">
        <w:t>2.</w:t>
      </w:r>
      <w:r w:rsidRPr="00623F9C">
        <w:tab/>
        <w:t>primena ES įsipareigojimą propaguoti, ginti ir užtikrinti kiekvieno asmens, visų pirma kiekvienos moters ir mergaitės, teisę į fizinį savarankiškumą, teisę visiškai kontroliuoti ir laisvai spręsti klausimus, susijusius su savo lytiškumu ir lytinėmis bei reprodukcinėmis teisėmis, nepatiriant diskriminacijos, prievartos ir smurto;</w:t>
      </w:r>
    </w:p>
    <w:p w:rsidR="00552B48" w:rsidRPr="00623F9C" w:rsidRDefault="00552B48" w:rsidP="00552B48">
      <w:pPr>
        <w:pStyle w:val="NormalHanging12a"/>
        <w:rPr>
          <w:szCs w:val="24"/>
        </w:rPr>
      </w:pPr>
      <w:r w:rsidRPr="00623F9C">
        <w:t>3.</w:t>
      </w:r>
      <w:r w:rsidRPr="00623F9C">
        <w:tab/>
        <w:t xml:space="preserve">primygtinai ragina Europos Vadovų Tarybą sušaukti konventą Sutartims peržiūrėti, kaip prašoma jo 2022 m. birželio 9 d. ir 2023 m. lapkričio 22 d. rezoliucijose, ir priimti į jo </w:t>
      </w:r>
      <w:r w:rsidRPr="00623F9C">
        <w:rPr>
          <w:shd w:val="clear" w:color="auto" w:fill="FEFEFE"/>
        </w:rPr>
        <w:t>2023 m. lapkričio 22 d. rezoliuciją</w:t>
      </w:r>
      <w:r w:rsidRPr="00623F9C">
        <w:t xml:space="preserve"> įtrauktą pasiūlymą papildyti Chartiją lytinės ir reprodukcinės sveikatos priežiūra ir teise į saugų ir teisėtą abortą bei ją iš dalies pakeisti taip:</w:t>
      </w:r>
    </w:p>
    <w:tbl>
      <w:tblPr>
        <w:tblStyle w:val="1"/>
        <w:tblW w:w="9752" w:type="dxa"/>
        <w:jc w:val="center"/>
        <w:tblLayout w:type="fixed"/>
        <w:tblLook w:val="0000" w:firstRow="0" w:lastRow="0" w:firstColumn="0" w:lastColumn="0" w:noHBand="0" w:noVBand="0"/>
      </w:tblPr>
      <w:tblGrid>
        <w:gridCol w:w="9752"/>
      </w:tblGrid>
      <w:tr w:rsidR="00552B48" w:rsidRPr="00623F9C" w:rsidTr="001A47B8">
        <w:trPr>
          <w:jc w:val="center"/>
        </w:trPr>
        <w:tc>
          <w:tcPr>
            <w:tcW w:w="9752" w:type="dxa"/>
          </w:tcPr>
          <w:p w:rsidR="00552B48" w:rsidRPr="00623F9C" w:rsidRDefault="00552B48" w:rsidP="001A47B8">
            <w:pPr>
              <w:ind w:left="1440"/>
              <w:jc w:val="both"/>
              <w:rPr>
                <w:rFonts w:ascii="Times New Roman" w:eastAsia="Times New Roman" w:hAnsi="Times New Roman" w:cs="Times New Roman"/>
                <w:szCs w:val="24"/>
              </w:rPr>
            </w:pPr>
            <w:r w:rsidRPr="00623F9C">
              <w:rPr>
                <w:rFonts w:ascii="Times New Roman" w:hAnsi="Times New Roman"/>
              </w:rPr>
              <w:t>3 straipsnis</w:t>
            </w:r>
          </w:p>
          <w:p w:rsidR="00552B48" w:rsidRPr="00623F9C" w:rsidRDefault="00552B48" w:rsidP="001A47B8">
            <w:pPr>
              <w:ind w:left="1440"/>
              <w:jc w:val="both"/>
              <w:rPr>
                <w:rFonts w:ascii="Times New Roman" w:eastAsia="Times New Roman" w:hAnsi="Times New Roman" w:cs="Times New Roman"/>
                <w:szCs w:val="24"/>
              </w:rPr>
            </w:pPr>
            <w:r w:rsidRPr="00623F9C">
              <w:rPr>
                <w:rFonts w:ascii="Times New Roman" w:hAnsi="Times New Roman"/>
              </w:rPr>
              <w:t xml:space="preserve">Teisė į asmens neliečiamybę </w:t>
            </w:r>
            <w:r w:rsidRPr="00623F9C">
              <w:rPr>
                <w:rFonts w:ascii="Times New Roman" w:hAnsi="Times New Roman"/>
                <w:b/>
              </w:rPr>
              <w:t>ir fizinį savarankiškumą</w:t>
            </w:r>
          </w:p>
          <w:p w:rsidR="00552B48" w:rsidRPr="00623F9C" w:rsidRDefault="00552B48" w:rsidP="001A47B8">
            <w:pPr>
              <w:ind w:left="1440"/>
              <w:jc w:val="both"/>
              <w:rPr>
                <w:rFonts w:ascii="Times New Roman" w:eastAsia="Times New Roman" w:hAnsi="Times New Roman" w:cs="Times New Roman"/>
                <w:szCs w:val="24"/>
              </w:rPr>
            </w:pPr>
            <w:r w:rsidRPr="00623F9C">
              <w:rPr>
                <w:rFonts w:ascii="Times New Roman" w:hAnsi="Times New Roman"/>
                <w:b/>
              </w:rPr>
              <w:t>2a. Kiekvienas asmuo turi teisę į fizinį savarankiškumą, nemokamą, pagrįstą, visapusišką ir visuotinę galimybę naudotis lytinės ir reprodukcinės sveikatos priežiūros paslaugomis bei teisėmis ir visomis susijusiomis sveikatos priežiūros paslaugomis nepatiriant diskriminacijos, įskaitant galimybę saugiai ir teisėtai nutraukti nėštumą</w:t>
            </w:r>
            <w:r w:rsidRPr="00623F9C">
              <w:rPr>
                <w:rFonts w:ascii="Times New Roman" w:hAnsi="Times New Roman"/>
              </w:rPr>
              <w:t>;</w:t>
            </w:r>
          </w:p>
        </w:tc>
      </w:tr>
    </w:tbl>
    <w:p w:rsidR="00552B48" w:rsidRPr="00623F9C" w:rsidRDefault="00552B48" w:rsidP="00552B48">
      <w:pPr>
        <w:pStyle w:val="NormalHanging12a"/>
      </w:pPr>
      <w:r w:rsidRPr="00623F9C">
        <w:t>4.</w:t>
      </w:r>
      <w:r w:rsidRPr="00623F9C">
        <w:tab/>
        <w:t xml:space="preserve">griežtai smerkia moterų teisių padėties blogėjimą ir visus regresinius bandymus apriboti arba panaikinti esamas lytinės ir reprodukcinės sveikatos bei teisių ir lyčių lygybės apsaugos priemones, pastebimus pasaulio mastu, be kita ko, ir ES valstybėse narėse, taip pat visokio pobūdžio </w:t>
      </w:r>
      <w:proofErr w:type="spellStart"/>
      <w:r w:rsidRPr="00623F9C">
        <w:t>grasinimus</w:t>
      </w:r>
      <w:proofErr w:type="spellEnd"/>
      <w:r w:rsidRPr="00623F9C">
        <w:t>, bauginimą ir priekabiavimą, nukreiptus prieš žmogaus teisių gynėjus ir šias teises ginančias pilietinės visuomenės organizacijas;</w:t>
      </w:r>
    </w:p>
    <w:p w:rsidR="00552B48" w:rsidRPr="00623F9C" w:rsidRDefault="00552B48" w:rsidP="00552B48">
      <w:pPr>
        <w:pStyle w:val="NormalHanging12a"/>
      </w:pPr>
      <w:r w:rsidRPr="00623F9C">
        <w:t>5.</w:t>
      </w:r>
      <w:r w:rsidRPr="00623F9C">
        <w:tab/>
        <w:t>yra susirūpinęs dėl to, kad pasaulyje, įskaitant Europą, labai padidėjo prieš lyčių lygybę ir pasirinkimo laisvę kovojančių grupių finansavimo mastas; ragina Komisiją pasinaudoti visomis turimomis priemonėmis, siekiant užtikrinti, kad organizacijos, vykdančios veiklą, nukreiptą prieš lyčių lygybę ir moterų teises, įskaitant reprodukcines teises, negautų ES finansavimo;</w:t>
      </w:r>
    </w:p>
    <w:p w:rsidR="00552B48" w:rsidRPr="00623F9C" w:rsidRDefault="00552B48" w:rsidP="00552B48">
      <w:pPr>
        <w:pStyle w:val="NormalHanging12a"/>
      </w:pPr>
      <w:r w:rsidRPr="00623F9C">
        <w:t>6.</w:t>
      </w:r>
      <w:r w:rsidRPr="00623F9C">
        <w:tab/>
      </w:r>
      <w:r w:rsidRPr="00623F9C">
        <w:rPr>
          <w:shd w:val="clear" w:color="auto" w:fill="FEFEFE"/>
        </w:rPr>
        <w:t xml:space="preserve">primygtinai ragina valstybes nares visiškai </w:t>
      </w:r>
      <w:proofErr w:type="spellStart"/>
      <w:r w:rsidRPr="00623F9C">
        <w:rPr>
          <w:shd w:val="clear" w:color="auto" w:fill="FEFEFE"/>
        </w:rPr>
        <w:t>dekriminalizuoti</w:t>
      </w:r>
      <w:proofErr w:type="spellEnd"/>
      <w:r w:rsidRPr="00623F9C">
        <w:rPr>
          <w:shd w:val="clear" w:color="auto" w:fill="FEFEFE"/>
        </w:rPr>
        <w:t xml:space="preserve"> abortą, laikantis 2022 m. PSO gairių, pašalinti kliūtis saugiam ir teisėtam nėštumo nutraukimui ir naudojimuisi lytinės ir reprodukcinės sveikatos priežiūros paslaugomis bei teisėmis ir su jomis kovoti; </w:t>
      </w:r>
      <w:r w:rsidRPr="00623F9C">
        <w:t xml:space="preserve">ragina Lenkiją ir Maltą panaikinti savo įstatymus ir kitas priemones, susijusius su aborto draudimu ir ribojimais; primygtinai ragina Lenkijos valdžios institucijas teikti prioritetą teisėkūros pastangoms kuo skubiau užtikrinti visapusišką galimybę naudotis saugaus ir teisėto nėštumo nutraukimo paslaugomis; primygtinai ragina Maltos valdžios institucijas nedelsiant </w:t>
      </w:r>
      <w:proofErr w:type="spellStart"/>
      <w:r w:rsidRPr="00623F9C">
        <w:t>dekriminalizuoti</w:t>
      </w:r>
      <w:proofErr w:type="spellEnd"/>
      <w:r w:rsidRPr="00623F9C">
        <w:t xml:space="preserve"> abortą ir užtikrinti galimybę naudotis saugiomis ir teisėtomis nėštumo nutraukimo paslaugomis, laikantis 2022 m. PSO gairių;</w:t>
      </w:r>
    </w:p>
    <w:p w:rsidR="00552B48" w:rsidRPr="00623F9C" w:rsidRDefault="00552B48" w:rsidP="00552B48">
      <w:pPr>
        <w:pStyle w:val="NormalHanging12a"/>
      </w:pPr>
      <w:r w:rsidRPr="00623F9C">
        <w:t>7.</w:t>
      </w:r>
      <w:r w:rsidRPr="00623F9C">
        <w:tab/>
        <w:t xml:space="preserve">primygtinai ragina visų valstybių narių vyriausybes nediskriminuojant užtikrinti </w:t>
      </w:r>
      <w:r w:rsidRPr="00623F9C">
        <w:lastRenderedPageBreak/>
        <w:t>galimybę naudotis saugaus</w:t>
      </w:r>
      <w:r w:rsidRPr="00623F9C">
        <w:rPr>
          <w:shd w:val="clear" w:color="auto" w:fill="FEFEFE"/>
        </w:rPr>
        <w:t>, teisėto ir nemokamo nėštumo nutraukimo paslaugomis, sveikatos priežiūros paslaugomis ir priemonėmis prieš gimdymą ir pagimdžius, savanorišku šeimos planavimu, kontracepcija ir jaunimui palankiomis paslaugomis, taip pat ŽIV prevencijos, gydymo, priežiūros ir paramos paslaugomis;</w:t>
      </w:r>
    </w:p>
    <w:p w:rsidR="00552B48" w:rsidRPr="00623F9C" w:rsidRDefault="00552B48" w:rsidP="00552B48">
      <w:pPr>
        <w:pStyle w:val="NormalHanging12a"/>
        <w:rPr>
          <w:shd w:val="clear" w:color="auto" w:fill="FEFEFE"/>
        </w:rPr>
      </w:pPr>
      <w:r w:rsidRPr="00623F9C">
        <w:t>8.</w:t>
      </w:r>
      <w:r w:rsidRPr="00623F9C">
        <w:tab/>
      </w:r>
      <w:r w:rsidRPr="00623F9C">
        <w:rPr>
          <w:shd w:val="clear" w:color="auto" w:fill="FEFEFE"/>
        </w:rPr>
        <w:t xml:space="preserve">smerkia tai, kad kai kuriose valstybėse narės gydytojai, o kai kuriais atvejais medicinos įstaigos </w:t>
      </w:r>
      <w:r w:rsidRPr="00623F9C">
        <w:t xml:space="preserve">atsisako </w:t>
      </w:r>
      <w:r w:rsidRPr="00623F9C">
        <w:rPr>
          <w:shd w:val="clear" w:color="auto" w:fill="FEFEFE"/>
        </w:rPr>
        <w:t>suteikti aborto paslaugas, remdamosi vidinių įsitikinimų išlyga; apgailestauja dėl to, kad ši išlyga dažnai taikoma tokiais atvejais, kai vėlavimas gali kelti pavojų paciento gyvybei ar sveikatai;</w:t>
      </w:r>
    </w:p>
    <w:p w:rsidR="00552B48" w:rsidRPr="00623F9C" w:rsidRDefault="00552B48" w:rsidP="00552B48">
      <w:pPr>
        <w:pStyle w:val="NormalHanging12a"/>
      </w:pPr>
      <w:r w:rsidRPr="00623F9C">
        <w:t>9.</w:t>
      </w:r>
      <w:r w:rsidRPr="00623F9C">
        <w:tab/>
        <w:t xml:space="preserve">ragina valstybes nares užtikrinti galimybę naudotis visomis lytinės ir reprodukcinės sveikatos priežiūros paslaugomis bei teisėmis, įskaitant galimybę visiems asmenims gauti išsamaus, pagal amžių tinkamo ir </w:t>
      </w:r>
      <w:proofErr w:type="spellStart"/>
      <w:r w:rsidRPr="00623F9C">
        <w:t>įrodymais</w:t>
      </w:r>
      <w:proofErr w:type="spellEnd"/>
      <w:r w:rsidRPr="00623F9C">
        <w:t xml:space="preserve"> pagrįsto lytinio švietimo ir ugdymo santykių klausimais paslaugas, galimybę naudotis aukštos kokybės, prieinamais, saugiais ir nemokamais kontracepcijos metodais ir priemonėmis bei šeimos planavimo konsultavimo paslaugomis, ypatingą dėmesį skiriant ne baltaodėms, romų, vyresnio amžiaus, žemesnį išsilavinimą turinčioms moterims, LGBTIQ asmenims, moterims su negalia, paauglėms, moterims migrantėms, įskaitant neteisėtas migrantes, ir vienišoms moterims;</w:t>
      </w:r>
    </w:p>
    <w:p w:rsidR="00552B48" w:rsidRPr="00623F9C" w:rsidRDefault="00552B48" w:rsidP="00552B48">
      <w:pPr>
        <w:pStyle w:val="NormalHanging12a"/>
      </w:pPr>
      <w:r w:rsidRPr="00623F9C">
        <w:t>10.</w:t>
      </w:r>
      <w:r w:rsidRPr="00623F9C">
        <w:tab/>
        <w:t>ragina valstybes nares ir vietos valdžios institucijas padidinti savo išlaidas programų srityje ir savo tiesiogines subsidijas organizacijoms, įskaitant sveikatos priežiūros ir šeimos planavimo paslaugų teikimo tarnybas ir kitas šioje srityje veiklą vykdančias organizacijas;</w:t>
      </w:r>
    </w:p>
    <w:p w:rsidR="00552B48" w:rsidRPr="00623F9C" w:rsidRDefault="00552B48" w:rsidP="00552B48">
      <w:pPr>
        <w:pStyle w:val="NormalHanging12a"/>
      </w:pPr>
      <w:r w:rsidRPr="00623F9C">
        <w:t>11.</w:t>
      </w:r>
      <w:r w:rsidRPr="00623F9C">
        <w:tab/>
        <w:t>primygtinai ragina valstybių narių vyriausybes užtikrinti, kad aborto metodai ir procedūros taptų privaloma gydytojų ir medicinos studentų, visų pirma ginekologiją studijuojančių studentų, mokymo programos dalimi;</w:t>
      </w:r>
    </w:p>
    <w:p w:rsidR="00552B48" w:rsidRPr="00623F9C" w:rsidRDefault="00552B48" w:rsidP="00552B48">
      <w:pPr>
        <w:pStyle w:val="NormalHanging12a"/>
      </w:pPr>
      <w:r w:rsidRPr="00623F9C">
        <w:t>12.</w:t>
      </w:r>
      <w:r w:rsidRPr="00623F9C">
        <w:tab/>
        <w:t>ragina visas valstybes nares pašalinti teisines, finansines, socialines ir praktines abortų kliūtis ir apribojimus, įskaitant kliūtis ir apribojimus, darančius neproporcingą poveikį skurstančioms moterims, ypač rasinių grupių moterims, įskaitant juodaodes ir etninėms mažumoms priklausančias moteris, ir vienišų motinų namų ūkiams;</w:t>
      </w:r>
    </w:p>
    <w:p w:rsidR="00552B48" w:rsidRPr="00623F9C" w:rsidRDefault="00552B48" w:rsidP="00552B48">
      <w:pPr>
        <w:pStyle w:val="NormalHanging12a"/>
      </w:pPr>
      <w:r w:rsidRPr="00623F9C">
        <w:t>13.</w:t>
      </w:r>
      <w:r w:rsidRPr="00623F9C">
        <w:tab/>
        <w:t>pripažįsta svarbų pilietinės visuomenės organizacijų ir lytinės ir reprodukcinės sveikatos bei teisių gynėjų, kaip paslaugų teikėjų ir lytinės ir reprodukcinės sveikatos bei teisių šalininkų, vaidmenį ir skatina juos tęsti savo darbą; ragina ES ir valstybes nares užtikrinti ir politiškai remti palankią pilietinę erdvę ES, parengiant ir įgyvendinant pilietinės visuomenės strategiją, užtikrinti moterų žmogaus teisių gynėjų ir lytinės ir reprodukcinės sveikatos bei teisių srityje veiklą vykdančių žmogaus teisių gynėjų apsaugą, sukuriant ir taikant žmogaus teisių gynėjams skirtą apsaugos mechanizmą ir remiant juos finansiškai, visų pirma pagal Piliečių, lygybės, teisių ir vertybių programą; ragina valstybes nares užtikrinti didesnį lytinės ir reprodukcinės sveikatos priežiūros paslaugų, įskaitant abortą, prieinamumą pagal programą „ES – sveikatos labui“;</w:t>
      </w:r>
    </w:p>
    <w:p w:rsidR="00552B48" w:rsidRPr="00623F9C" w:rsidRDefault="00552B48" w:rsidP="00552B48">
      <w:pPr>
        <w:pStyle w:val="NormalHanging12a"/>
      </w:pPr>
      <w:r w:rsidRPr="00623F9C">
        <w:t>14.</w:t>
      </w:r>
      <w:r w:rsidRPr="00623F9C">
        <w:tab/>
        <w:t>taip pat ragina ES atlikti šios teisės gynėjos vaidmenį ir užtikrinti, kad ji būtų pripažinta vienu iš pagrindinių prioritetų, per derybas tarptautinėse institucijose ir kituose daugiašaliuose forumuose, pvz., Europos Taryboje ir JT; ragina ES ratifikuoti Europos žmogaus teisių konvenciją;</w:t>
      </w:r>
    </w:p>
    <w:p w:rsidR="00E365E1" w:rsidRPr="00623F9C" w:rsidRDefault="00552B48" w:rsidP="00140DE4">
      <w:pPr>
        <w:ind w:left="567" w:hanging="567"/>
      </w:pPr>
      <w:r w:rsidRPr="00623F9C">
        <w:t>15.</w:t>
      </w:r>
      <w:r w:rsidRPr="00623F9C">
        <w:tab/>
      </w:r>
      <w:r w:rsidRPr="00623F9C">
        <w:rPr>
          <w:shd w:val="clear" w:color="auto" w:fill="FEFEFE"/>
        </w:rPr>
        <w:t xml:space="preserve">paveda Pirmininkei perduoti šią rezoliuciją </w:t>
      </w:r>
      <w:r w:rsidR="00623F9C" w:rsidRPr="00623F9C">
        <w:rPr>
          <w:shd w:val="clear" w:color="auto" w:fill="FEFEFE"/>
        </w:rPr>
        <w:t>Tarybai ir Komisijai.</w:t>
      </w:r>
      <w:bookmarkStart w:id="9" w:name="TextBodyEnd"/>
      <w:bookmarkEnd w:id="9"/>
    </w:p>
    <w:sectPr w:rsidR="00E365E1" w:rsidRPr="00623F9C" w:rsidSect="00623F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7F9" w:rsidRPr="00623F9C" w:rsidRDefault="00E137F9">
      <w:r w:rsidRPr="00623F9C">
        <w:separator/>
      </w:r>
    </w:p>
  </w:endnote>
  <w:endnote w:type="continuationSeparator" w:id="0">
    <w:p w:rsidR="00E137F9" w:rsidRPr="00623F9C" w:rsidRDefault="00E137F9">
      <w:r w:rsidRPr="00623F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F9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F9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F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7F9" w:rsidRPr="00623F9C" w:rsidRDefault="00E137F9">
      <w:r w:rsidRPr="00623F9C">
        <w:separator/>
      </w:r>
    </w:p>
  </w:footnote>
  <w:footnote w:type="continuationSeparator" w:id="0">
    <w:p w:rsidR="00E137F9" w:rsidRPr="00623F9C" w:rsidRDefault="00E137F9">
      <w:r w:rsidRPr="00623F9C">
        <w:continuationSeparator/>
      </w:r>
    </w:p>
  </w:footnote>
  <w:footnote w:id="1">
    <w:p w:rsidR="00552B48" w:rsidRPr="00623F9C" w:rsidRDefault="00552B48" w:rsidP="00623F9C">
      <w:pPr>
        <w:pStyle w:val="FootnoteText"/>
        <w:ind w:left="567" w:hanging="567"/>
        <w:rPr>
          <w:sz w:val="24"/>
          <w:lang w:val="lt-LT"/>
        </w:rPr>
      </w:pPr>
      <w:r w:rsidRPr="00623F9C">
        <w:rPr>
          <w:rStyle w:val="FootnoteReference"/>
          <w:sz w:val="24"/>
          <w:lang w:val="lt-LT"/>
        </w:rPr>
        <w:footnoteRef/>
      </w:r>
      <w:r w:rsidR="00623F9C" w:rsidRPr="00623F9C">
        <w:rPr>
          <w:sz w:val="24"/>
          <w:lang w:val="lt-LT"/>
        </w:rPr>
        <w:t xml:space="preserve"> </w:t>
      </w:r>
      <w:r w:rsidR="00623F9C" w:rsidRPr="00623F9C">
        <w:rPr>
          <w:sz w:val="24"/>
          <w:lang w:val="lt-LT"/>
        </w:rPr>
        <w:tab/>
      </w:r>
      <w:r w:rsidRPr="00623F9C">
        <w:rPr>
          <w:sz w:val="24"/>
          <w:lang w:val="lt-LT"/>
        </w:rPr>
        <w:t>OL C 449, 2020 12 23, p. 102.</w:t>
      </w:r>
    </w:p>
  </w:footnote>
  <w:footnote w:id="2">
    <w:p w:rsidR="00552B48" w:rsidRPr="00623F9C" w:rsidRDefault="00552B48" w:rsidP="00623F9C">
      <w:pPr>
        <w:pStyle w:val="FootnoteText"/>
        <w:ind w:left="567" w:hanging="567"/>
        <w:rPr>
          <w:sz w:val="24"/>
          <w:lang w:val="lt-LT"/>
        </w:rPr>
      </w:pPr>
      <w:r w:rsidRPr="00623F9C">
        <w:rPr>
          <w:rStyle w:val="FootnoteReference"/>
          <w:sz w:val="24"/>
          <w:lang w:val="lt-LT"/>
        </w:rPr>
        <w:footnoteRef/>
      </w:r>
      <w:r w:rsidR="00623F9C" w:rsidRPr="00623F9C">
        <w:rPr>
          <w:sz w:val="24"/>
          <w:lang w:val="lt-LT"/>
        </w:rPr>
        <w:t xml:space="preserve"> </w:t>
      </w:r>
      <w:r w:rsidR="00623F9C" w:rsidRPr="00623F9C">
        <w:rPr>
          <w:sz w:val="24"/>
          <w:lang w:val="lt-LT"/>
        </w:rPr>
        <w:tab/>
      </w:r>
      <w:r w:rsidRPr="00623F9C">
        <w:rPr>
          <w:sz w:val="24"/>
          <w:lang w:val="lt-LT"/>
        </w:rPr>
        <w:t>OL C 208, 2021 6 1, p. 24.</w:t>
      </w:r>
    </w:p>
  </w:footnote>
  <w:footnote w:id="3">
    <w:p w:rsidR="00552B48" w:rsidRPr="00623F9C" w:rsidRDefault="00552B48" w:rsidP="00623F9C">
      <w:pPr>
        <w:pStyle w:val="FootnoteText"/>
        <w:ind w:left="567" w:hanging="567"/>
        <w:rPr>
          <w:sz w:val="24"/>
          <w:lang w:val="lt-LT"/>
        </w:rPr>
      </w:pPr>
      <w:r w:rsidRPr="00623F9C">
        <w:rPr>
          <w:rStyle w:val="FootnoteReference"/>
          <w:sz w:val="24"/>
          <w:lang w:val="lt-LT"/>
        </w:rPr>
        <w:footnoteRef/>
      </w:r>
      <w:r w:rsidR="00623F9C" w:rsidRPr="00623F9C">
        <w:rPr>
          <w:sz w:val="24"/>
          <w:lang w:val="lt-LT"/>
        </w:rPr>
        <w:t xml:space="preserve"> </w:t>
      </w:r>
      <w:r w:rsidR="00623F9C" w:rsidRPr="00623F9C">
        <w:rPr>
          <w:sz w:val="24"/>
          <w:lang w:val="lt-LT"/>
        </w:rPr>
        <w:tab/>
      </w:r>
      <w:r w:rsidRPr="00623F9C">
        <w:rPr>
          <w:sz w:val="24"/>
          <w:lang w:val="lt-LT"/>
        </w:rPr>
        <w:t>OL C 425, 2021 10 20, p. 147.</w:t>
      </w:r>
    </w:p>
  </w:footnote>
  <w:footnote w:id="4">
    <w:p w:rsidR="00552B48" w:rsidRPr="00623F9C" w:rsidRDefault="00552B48" w:rsidP="00623F9C">
      <w:pPr>
        <w:pStyle w:val="FootnoteText"/>
        <w:ind w:left="567" w:hanging="567"/>
        <w:rPr>
          <w:sz w:val="24"/>
          <w:lang w:val="lt-LT"/>
        </w:rPr>
      </w:pPr>
      <w:r w:rsidRPr="00623F9C">
        <w:rPr>
          <w:rStyle w:val="FootnoteReference"/>
          <w:sz w:val="24"/>
          <w:lang w:val="lt-LT"/>
        </w:rPr>
        <w:footnoteRef/>
      </w:r>
      <w:r w:rsidR="00623F9C" w:rsidRPr="00623F9C">
        <w:rPr>
          <w:sz w:val="24"/>
          <w:lang w:val="lt-LT"/>
        </w:rPr>
        <w:t xml:space="preserve"> </w:t>
      </w:r>
      <w:r w:rsidR="00623F9C" w:rsidRPr="00623F9C">
        <w:rPr>
          <w:sz w:val="24"/>
          <w:lang w:val="lt-LT"/>
        </w:rPr>
        <w:tab/>
      </w:r>
      <w:r w:rsidRPr="00623F9C">
        <w:rPr>
          <w:sz w:val="24"/>
          <w:lang w:val="lt-LT"/>
        </w:rPr>
        <w:t>OL C 205, 2022 5 20, p. 44.</w:t>
      </w:r>
    </w:p>
  </w:footnote>
  <w:footnote w:id="5">
    <w:p w:rsidR="00552B48" w:rsidRPr="00623F9C" w:rsidRDefault="00552B48" w:rsidP="00623F9C">
      <w:pPr>
        <w:pStyle w:val="FootnoteText"/>
        <w:ind w:left="567" w:hanging="567"/>
        <w:rPr>
          <w:sz w:val="24"/>
          <w:lang w:val="lt-LT"/>
        </w:rPr>
      </w:pPr>
      <w:r w:rsidRPr="00623F9C">
        <w:rPr>
          <w:rStyle w:val="FootnoteReference"/>
          <w:sz w:val="24"/>
          <w:lang w:val="lt-LT"/>
        </w:rPr>
        <w:footnoteRef/>
      </w:r>
      <w:r w:rsidR="00623F9C" w:rsidRPr="00623F9C">
        <w:rPr>
          <w:sz w:val="24"/>
          <w:lang w:val="lt-LT"/>
        </w:rPr>
        <w:t xml:space="preserve"> </w:t>
      </w:r>
      <w:r w:rsidR="00623F9C" w:rsidRPr="00623F9C">
        <w:rPr>
          <w:sz w:val="24"/>
          <w:lang w:val="lt-LT"/>
        </w:rPr>
        <w:tab/>
      </w:r>
      <w:r w:rsidRPr="00623F9C">
        <w:rPr>
          <w:sz w:val="24"/>
          <w:lang w:val="lt-LT"/>
        </w:rPr>
        <w:t>OL C 81, 2022 2 18, p. 43.</w:t>
      </w:r>
    </w:p>
  </w:footnote>
  <w:footnote w:id="6">
    <w:p w:rsidR="00552B48" w:rsidRPr="00623F9C" w:rsidRDefault="00552B48" w:rsidP="00623F9C">
      <w:pPr>
        <w:pStyle w:val="FootnoteText"/>
        <w:ind w:left="567" w:hanging="567"/>
        <w:rPr>
          <w:sz w:val="24"/>
          <w:lang w:val="lt-LT"/>
        </w:rPr>
      </w:pPr>
      <w:r w:rsidRPr="00623F9C">
        <w:rPr>
          <w:rStyle w:val="FootnoteReference"/>
          <w:sz w:val="24"/>
          <w:lang w:val="lt-LT"/>
        </w:rPr>
        <w:footnoteRef/>
      </w:r>
      <w:r w:rsidR="00623F9C" w:rsidRPr="00623F9C">
        <w:rPr>
          <w:sz w:val="24"/>
          <w:lang w:val="lt-LT"/>
        </w:rPr>
        <w:t xml:space="preserve"> </w:t>
      </w:r>
      <w:r w:rsidR="00623F9C" w:rsidRPr="00623F9C">
        <w:rPr>
          <w:sz w:val="24"/>
          <w:lang w:val="lt-LT"/>
        </w:rPr>
        <w:tab/>
      </w:r>
      <w:r w:rsidRPr="00623F9C">
        <w:rPr>
          <w:sz w:val="24"/>
          <w:lang w:val="lt-LT"/>
        </w:rPr>
        <w:t>OL C 465, 2022 12 6, p. 155.</w:t>
      </w:r>
    </w:p>
  </w:footnote>
  <w:footnote w:id="7">
    <w:p w:rsidR="00552B48" w:rsidRPr="00623F9C" w:rsidRDefault="00552B48" w:rsidP="00623F9C">
      <w:pPr>
        <w:pStyle w:val="FootnoteText"/>
        <w:ind w:left="567" w:hanging="567"/>
        <w:rPr>
          <w:sz w:val="24"/>
          <w:lang w:val="lt-LT"/>
        </w:rPr>
      </w:pPr>
      <w:r w:rsidRPr="00623F9C">
        <w:rPr>
          <w:rStyle w:val="FootnoteReference"/>
          <w:sz w:val="24"/>
          <w:lang w:val="lt-LT"/>
        </w:rPr>
        <w:footnoteRef/>
      </w:r>
      <w:r w:rsidR="00623F9C" w:rsidRPr="00623F9C">
        <w:rPr>
          <w:sz w:val="24"/>
          <w:lang w:val="lt-LT"/>
        </w:rPr>
        <w:t xml:space="preserve"> </w:t>
      </w:r>
      <w:r w:rsidR="00623F9C" w:rsidRPr="00623F9C">
        <w:rPr>
          <w:sz w:val="24"/>
          <w:lang w:val="lt-LT"/>
        </w:rPr>
        <w:tab/>
      </w:r>
      <w:r w:rsidRPr="00623F9C">
        <w:rPr>
          <w:sz w:val="24"/>
          <w:lang w:val="lt-LT"/>
        </w:rPr>
        <w:t>OL C 493, 2022 12 27, p. 120.</w:t>
      </w:r>
    </w:p>
  </w:footnote>
  <w:footnote w:id="8">
    <w:p w:rsidR="00552B48" w:rsidRPr="00623F9C" w:rsidRDefault="00552B48" w:rsidP="00623F9C">
      <w:pPr>
        <w:pStyle w:val="FootnoteText"/>
        <w:ind w:left="567" w:hanging="567"/>
        <w:rPr>
          <w:sz w:val="24"/>
          <w:lang w:val="lt-LT"/>
        </w:rPr>
      </w:pPr>
      <w:r w:rsidRPr="00623F9C">
        <w:rPr>
          <w:rStyle w:val="FootnoteReference"/>
          <w:sz w:val="24"/>
          <w:lang w:val="lt-LT"/>
        </w:rPr>
        <w:footnoteRef/>
      </w:r>
      <w:r w:rsidR="00623F9C" w:rsidRPr="00623F9C">
        <w:rPr>
          <w:sz w:val="24"/>
          <w:lang w:val="lt-LT"/>
        </w:rPr>
        <w:t xml:space="preserve"> </w:t>
      </w:r>
      <w:r w:rsidR="00623F9C" w:rsidRPr="00623F9C">
        <w:rPr>
          <w:sz w:val="24"/>
          <w:lang w:val="lt-LT"/>
        </w:rPr>
        <w:tab/>
      </w:r>
      <w:r w:rsidRPr="00623F9C">
        <w:rPr>
          <w:sz w:val="24"/>
          <w:lang w:val="lt-LT"/>
        </w:rPr>
        <w:t>OL C 47, 2023 2 7, p. 268.</w:t>
      </w:r>
    </w:p>
  </w:footnote>
  <w:footnote w:id="9">
    <w:p w:rsidR="00552B48" w:rsidRPr="00623F9C" w:rsidRDefault="00552B48" w:rsidP="00623F9C">
      <w:pPr>
        <w:pStyle w:val="FootnoteText"/>
        <w:ind w:left="567" w:hanging="567"/>
        <w:rPr>
          <w:sz w:val="24"/>
          <w:lang w:val="lt-LT"/>
        </w:rPr>
      </w:pPr>
      <w:r w:rsidRPr="00623F9C">
        <w:rPr>
          <w:rStyle w:val="FootnoteReference"/>
          <w:sz w:val="24"/>
          <w:lang w:val="lt-LT"/>
        </w:rPr>
        <w:footnoteRef/>
      </w:r>
      <w:r w:rsidR="00623F9C" w:rsidRPr="00623F9C">
        <w:rPr>
          <w:sz w:val="24"/>
          <w:lang w:val="lt-LT"/>
        </w:rPr>
        <w:t xml:space="preserve"> </w:t>
      </w:r>
      <w:r w:rsidR="00623F9C" w:rsidRPr="00623F9C">
        <w:rPr>
          <w:sz w:val="24"/>
          <w:lang w:val="lt-LT"/>
        </w:rPr>
        <w:tab/>
      </w:r>
      <w:r w:rsidRPr="00623F9C">
        <w:rPr>
          <w:sz w:val="24"/>
          <w:lang w:val="lt-LT"/>
        </w:rPr>
        <w:t>Priimti tekstai, P9_TA(2023)0427.</w:t>
      </w:r>
    </w:p>
  </w:footnote>
  <w:footnote w:id="10">
    <w:p w:rsidR="00552B48" w:rsidRPr="00623F9C" w:rsidRDefault="00552B48" w:rsidP="00623F9C">
      <w:pPr>
        <w:pStyle w:val="FootnoteText"/>
        <w:ind w:left="567" w:hanging="567"/>
        <w:rPr>
          <w:sz w:val="24"/>
          <w:lang w:val="lt-LT"/>
        </w:rPr>
      </w:pPr>
      <w:r w:rsidRPr="00623F9C">
        <w:rPr>
          <w:rStyle w:val="FootnoteReference"/>
          <w:sz w:val="24"/>
          <w:lang w:val="lt-LT"/>
        </w:rPr>
        <w:footnoteRef/>
      </w:r>
      <w:r w:rsidR="00623F9C" w:rsidRPr="00623F9C">
        <w:rPr>
          <w:sz w:val="24"/>
          <w:lang w:val="lt-LT"/>
        </w:rPr>
        <w:t xml:space="preserve"> </w:t>
      </w:r>
      <w:r w:rsidR="00623F9C" w:rsidRPr="00623F9C">
        <w:rPr>
          <w:sz w:val="24"/>
          <w:lang w:val="lt-LT"/>
        </w:rPr>
        <w:tab/>
      </w:r>
      <w:r w:rsidRPr="00623F9C">
        <w:rPr>
          <w:sz w:val="24"/>
          <w:lang w:val="lt-LT"/>
        </w:rPr>
        <w:t>Priimti tekstai, P9_TA(2024)0050.</w:t>
      </w:r>
    </w:p>
  </w:footnote>
  <w:footnote w:id="11">
    <w:p w:rsidR="00552B48" w:rsidRPr="00623F9C" w:rsidRDefault="00552B48" w:rsidP="00623F9C">
      <w:pPr>
        <w:pStyle w:val="FootnoteText"/>
        <w:ind w:left="567" w:hanging="567"/>
        <w:rPr>
          <w:sz w:val="24"/>
          <w:lang w:val="lt-LT"/>
        </w:rPr>
      </w:pPr>
      <w:r w:rsidRPr="00623F9C">
        <w:rPr>
          <w:rStyle w:val="FootnoteReference"/>
          <w:sz w:val="24"/>
          <w:lang w:val="lt-LT"/>
        </w:rPr>
        <w:footnoteRef/>
      </w:r>
      <w:r w:rsidR="00623F9C" w:rsidRPr="00623F9C">
        <w:rPr>
          <w:sz w:val="24"/>
          <w:lang w:val="lt-LT"/>
        </w:rPr>
        <w:t xml:space="preserve"> </w:t>
      </w:r>
      <w:r w:rsidR="00623F9C" w:rsidRPr="00623F9C">
        <w:rPr>
          <w:sz w:val="24"/>
          <w:lang w:val="lt-LT"/>
        </w:rPr>
        <w:tab/>
      </w:r>
      <w:r w:rsidRPr="00623F9C">
        <w:rPr>
          <w:sz w:val="24"/>
          <w:lang w:val="lt-LT"/>
        </w:rPr>
        <w:t>Priimti tekstai, P9_TA(2024)0108.</w:t>
      </w:r>
    </w:p>
  </w:footnote>
  <w:footnote w:id="12">
    <w:p w:rsidR="00552B48" w:rsidRPr="00623F9C" w:rsidRDefault="00552B48" w:rsidP="00623F9C">
      <w:pPr>
        <w:pStyle w:val="FootnoteText"/>
        <w:ind w:left="567" w:hanging="567"/>
        <w:rPr>
          <w:sz w:val="24"/>
          <w:lang w:val="lt-LT"/>
        </w:rPr>
      </w:pPr>
      <w:r w:rsidRPr="00623F9C">
        <w:rPr>
          <w:rStyle w:val="FootnoteReference"/>
          <w:sz w:val="24"/>
          <w:lang w:val="lt-LT"/>
        </w:rPr>
        <w:footnoteRef/>
      </w:r>
      <w:r w:rsidR="00623F9C" w:rsidRPr="00623F9C">
        <w:rPr>
          <w:sz w:val="24"/>
          <w:lang w:val="lt-LT"/>
        </w:rPr>
        <w:t xml:space="preserve"> </w:t>
      </w:r>
      <w:r w:rsidR="00623F9C" w:rsidRPr="00623F9C">
        <w:rPr>
          <w:sz w:val="24"/>
          <w:lang w:val="lt-LT"/>
        </w:rPr>
        <w:tab/>
      </w:r>
      <w:r w:rsidRPr="00623F9C">
        <w:rPr>
          <w:sz w:val="24"/>
          <w:lang w:val="lt-LT"/>
        </w:rPr>
        <w:t xml:space="preserve">JT vyriausiojo žmogaus teisių komisaro biuras, </w:t>
      </w:r>
      <w:hyperlink r:id="rId1" w:history="1">
        <w:proofErr w:type="spellStart"/>
        <w:r w:rsidRPr="00623F9C">
          <w:rPr>
            <w:rStyle w:val="Hyperlink"/>
            <w:i/>
            <w:sz w:val="24"/>
            <w:lang w:val="lt-LT"/>
          </w:rPr>
          <w:t>Information</w:t>
        </w:r>
        <w:proofErr w:type="spellEnd"/>
        <w:r w:rsidRPr="00623F9C">
          <w:rPr>
            <w:rStyle w:val="Hyperlink"/>
            <w:i/>
            <w:sz w:val="24"/>
            <w:lang w:val="lt-LT"/>
          </w:rPr>
          <w:t xml:space="preserve"> </w:t>
        </w:r>
        <w:proofErr w:type="spellStart"/>
        <w:r w:rsidRPr="00623F9C">
          <w:rPr>
            <w:rStyle w:val="Hyperlink"/>
            <w:i/>
            <w:sz w:val="24"/>
            <w:lang w:val="lt-LT"/>
          </w:rPr>
          <w:t>series</w:t>
        </w:r>
        <w:proofErr w:type="spellEnd"/>
        <w:r w:rsidRPr="00623F9C">
          <w:rPr>
            <w:rStyle w:val="Hyperlink"/>
            <w:i/>
            <w:sz w:val="24"/>
            <w:lang w:val="lt-LT"/>
          </w:rPr>
          <w:t xml:space="preserve"> </w:t>
        </w:r>
        <w:proofErr w:type="spellStart"/>
        <w:r w:rsidRPr="00623F9C">
          <w:rPr>
            <w:rStyle w:val="Hyperlink"/>
            <w:i/>
            <w:sz w:val="24"/>
            <w:lang w:val="lt-LT"/>
          </w:rPr>
          <w:t>on</w:t>
        </w:r>
        <w:proofErr w:type="spellEnd"/>
        <w:r w:rsidRPr="00623F9C">
          <w:rPr>
            <w:rStyle w:val="Hyperlink"/>
            <w:i/>
            <w:sz w:val="24"/>
            <w:lang w:val="lt-LT"/>
          </w:rPr>
          <w:t xml:space="preserve"> </w:t>
        </w:r>
        <w:proofErr w:type="spellStart"/>
        <w:r w:rsidRPr="00623F9C">
          <w:rPr>
            <w:rStyle w:val="Hyperlink"/>
            <w:i/>
            <w:sz w:val="24"/>
            <w:lang w:val="lt-LT"/>
          </w:rPr>
          <w:t>sexual</w:t>
        </w:r>
        <w:proofErr w:type="spellEnd"/>
        <w:r w:rsidRPr="00623F9C">
          <w:rPr>
            <w:rStyle w:val="Hyperlink"/>
            <w:i/>
            <w:sz w:val="24"/>
            <w:lang w:val="lt-LT"/>
          </w:rPr>
          <w:t xml:space="preserve"> </w:t>
        </w:r>
        <w:proofErr w:type="spellStart"/>
        <w:r w:rsidRPr="00623F9C">
          <w:rPr>
            <w:rStyle w:val="Hyperlink"/>
            <w:i/>
            <w:sz w:val="24"/>
            <w:lang w:val="lt-LT"/>
          </w:rPr>
          <w:t>and</w:t>
        </w:r>
        <w:proofErr w:type="spellEnd"/>
        <w:r w:rsidRPr="00623F9C">
          <w:rPr>
            <w:rStyle w:val="Hyperlink"/>
            <w:i/>
            <w:sz w:val="24"/>
            <w:lang w:val="lt-LT"/>
          </w:rPr>
          <w:t xml:space="preserve"> </w:t>
        </w:r>
        <w:proofErr w:type="spellStart"/>
        <w:r w:rsidRPr="00623F9C">
          <w:rPr>
            <w:rStyle w:val="Hyperlink"/>
            <w:i/>
            <w:sz w:val="24"/>
            <w:lang w:val="lt-LT"/>
          </w:rPr>
          <w:t>reproductive</w:t>
        </w:r>
        <w:proofErr w:type="spellEnd"/>
        <w:r w:rsidRPr="00623F9C">
          <w:rPr>
            <w:rStyle w:val="Hyperlink"/>
            <w:i/>
            <w:sz w:val="24"/>
            <w:lang w:val="lt-LT"/>
          </w:rPr>
          <w:t xml:space="preserve"> </w:t>
        </w:r>
        <w:proofErr w:type="spellStart"/>
        <w:r w:rsidRPr="00623F9C">
          <w:rPr>
            <w:rStyle w:val="Hyperlink"/>
            <w:i/>
            <w:sz w:val="24"/>
            <w:lang w:val="lt-LT"/>
          </w:rPr>
          <w:t>health</w:t>
        </w:r>
        <w:proofErr w:type="spellEnd"/>
        <w:r w:rsidRPr="00623F9C">
          <w:rPr>
            <w:rStyle w:val="Hyperlink"/>
            <w:i/>
            <w:sz w:val="24"/>
            <w:lang w:val="lt-LT"/>
          </w:rPr>
          <w:t xml:space="preserve"> </w:t>
        </w:r>
        <w:proofErr w:type="spellStart"/>
        <w:r w:rsidRPr="00623F9C">
          <w:rPr>
            <w:rStyle w:val="Hyperlink"/>
            <w:i/>
            <w:sz w:val="24"/>
            <w:lang w:val="lt-LT"/>
          </w:rPr>
          <w:t>and</w:t>
        </w:r>
        <w:proofErr w:type="spellEnd"/>
        <w:r w:rsidRPr="00623F9C">
          <w:rPr>
            <w:rStyle w:val="Hyperlink"/>
            <w:i/>
            <w:sz w:val="24"/>
            <w:lang w:val="lt-LT"/>
          </w:rPr>
          <w:t xml:space="preserve"> </w:t>
        </w:r>
        <w:proofErr w:type="spellStart"/>
        <w:r w:rsidRPr="00623F9C">
          <w:rPr>
            <w:rStyle w:val="Hyperlink"/>
            <w:i/>
            <w:sz w:val="24"/>
            <w:lang w:val="lt-LT"/>
          </w:rPr>
          <w:t>rights</w:t>
        </w:r>
        <w:proofErr w:type="spellEnd"/>
        <w:r w:rsidRPr="00623F9C">
          <w:rPr>
            <w:rStyle w:val="Hyperlink"/>
            <w:i/>
            <w:sz w:val="24"/>
            <w:lang w:val="lt-LT"/>
          </w:rPr>
          <w:t xml:space="preserve"> – </w:t>
        </w:r>
        <w:proofErr w:type="spellStart"/>
        <w:r w:rsidRPr="00623F9C">
          <w:rPr>
            <w:rStyle w:val="Hyperlink"/>
            <w:i/>
            <w:sz w:val="24"/>
            <w:lang w:val="lt-LT"/>
          </w:rPr>
          <w:t>abortion</w:t>
        </w:r>
        <w:proofErr w:type="spellEnd"/>
      </w:hyperlink>
      <w:r w:rsidRPr="00623F9C">
        <w:rPr>
          <w:sz w:val="24"/>
          <w:lang w:val="lt-LT"/>
        </w:rPr>
        <w:t xml:space="preserve"> (</w:t>
      </w:r>
      <w:proofErr w:type="spellStart"/>
      <w:r w:rsidRPr="00623F9C">
        <w:rPr>
          <w:sz w:val="24"/>
          <w:lang w:val="lt-LT"/>
        </w:rPr>
        <w:t>liet</w:t>
      </w:r>
      <w:proofErr w:type="spellEnd"/>
      <w:r w:rsidRPr="00623F9C">
        <w:rPr>
          <w:sz w:val="24"/>
          <w:lang w:val="lt-LT"/>
        </w:rPr>
        <w:t>. „Informacijos serija apie lytinę ir reprodukcinę sveikatą bei teises. Abortas“), 2020 m.</w:t>
      </w:r>
    </w:p>
  </w:footnote>
  <w:footnote w:id="13">
    <w:p w:rsidR="00552B48" w:rsidRPr="00623F9C" w:rsidRDefault="00552B48" w:rsidP="00623F9C">
      <w:pPr>
        <w:pStyle w:val="FootnoteText"/>
        <w:ind w:left="567" w:hanging="567"/>
        <w:rPr>
          <w:sz w:val="24"/>
          <w:lang w:val="lt-LT"/>
        </w:rPr>
      </w:pPr>
      <w:r w:rsidRPr="00623F9C">
        <w:rPr>
          <w:rStyle w:val="FootnoteReference"/>
          <w:sz w:val="24"/>
          <w:lang w:val="lt-LT"/>
        </w:rPr>
        <w:footnoteRef/>
      </w:r>
      <w:r w:rsidR="00623F9C" w:rsidRPr="00623F9C">
        <w:rPr>
          <w:sz w:val="24"/>
          <w:lang w:val="lt-LT"/>
        </w:rPr>
        <w:t xml:space="preserve"> </w:t>
      </w:r>
      <w:r w:rsidR="00623F9C" w:rsidRPr="00623F9C">
        <w:rPr>
          <w:sz w:val="24"/>
          <w:lang w:val="lt-LT"/>
        </w:rPr>
        <w:tab/>
      </w:r>
      <w:r w:rsidRPr="00623F9C">
        <w:rPr>
          <w:sz w:val="24"/>
          <w:lang w:val="lt-LT"/>
        </w:rPr>
        <w:t>EŽTT sprendimas dėl Konstitucinio Teismo, byla </w:t>
      </w:r>
      <w:proofErr w:type="spellStart"/>
      <w:r w:rsidRPr="00623F9C">
        <w:rPr>
          <w:i/>
          <w:sz w:val="24"/>
          <w:lang w:val="lt-LT"/>
        </w:rPr>
        <w:t>Xero</w:t>
      </w:r>
      <w:proofErr w:type="spellEnd"/>
      <w:r w:rsidRPr="00623F9C">
        <w:rPr>
          <w:i/>
          <w:sz w:val="24"/>
          <w:lang w:val="lt-LT"/>
        </w:rPr>
        <w:t xml:space="preserve"> </w:t>
      </w:r>
      <w:proofErr w:type="spellStart"/>
      <w:r w:rsidRPr="00623F9C">
        <w:rPr>
          <w:i/>
          <w:sz w:val="24"/>
          <w:lang w:val="lt-LT"/>
        </w:rPr>
        <w:t>Flor</w:t>
      </w:r>
      <w:proofErr w:type="spellEnd"/>
      <w:r w:rsidRPr="00623F9C">
        <w:rPr>
          <w:i/>
          <w:sz w:val="24"/>
          <w:lang w:val="lt-LT"/>
        </w:rPr>
        <w:t xml:space="preserve"> w </w:t>
      </w:r>
      <w:proofErr w:type="spellStart"/>
      <w:r w:rsidRPr="00623F9C">
        <w:rPr>
          <w:i/>
          <w:sz w:val="24"/>
          <w:lang w:val="lt-LT"/>
        </w:rPr>
        <w:t>Polsce</w:t>
      </w:r>
      <w:proofErr w:type="spellEnd"/>
      <w:r w:rsidRPr="00623F9C">
        <w:rPr>
          <w:i/>
          <w:sz w:val="24"/>
          <w:lang w:val="lt-LT"/>
        </w:rPr>
        <w:t xml:space="preserve"> sp. z </w:t>
      </w:r>
      <w:proofErr w:type="spellStart"/>
      <w:r w:rsidRPr="00623F9C">
        <w:rPr>
          <w:i/>
          <w:sz w:val="24"/>
          <w:lang w:val="lt-LT"/>
        </w:rPr>
        <w:t>o.o</w:t>
      </w:r>
      <w:proofErr w:type="spellEnd"/>
      <w:r w:rsidRPr="00623F9C">
        <w:rPr>
          <w:i/>
          <w:sz w:val="24"/>
          <w:lang w:val="lt-LT"/>
        </w:rPr>
        <w:t>. prieš</w:t>
      </w:r>
      <w:r w:rsidRPr="00623F9C">
        <w:rPr>
          <w:sz w:val="24"/>
          <w:lang w:val="lt-LT"/>
        </w:rPr>
        <w:t xml:space="preserve"> </w:t>
      </w:r>
      <w:r w:rsidRPr="00623F9C">
        <w:rPr>
          <w:i/>
          <w:sz w:val="24"/>
          <w:lang w:val="lt-LT"/>
        </w:rPr>
        <w:t>Lenkiją</w:t>
      </w:r>
      <w:r w:rsidR="00140DE4">
        <w:rPr>
          <w:i/>
          <w:sz w:val="24"/>
          <w:lang w:val="lt-LT"/>
        </w:rPr>
        <w:t xml:space="preserve"> </w:t>
      </w:r>
      <w:r w:rsidRPr="00623F9C">
        <w:rPr>
          <w:i/>
          <w:sz w:val="24"/>
          <w:lang w:val="lt-LT"/>
        </w:rPr>
        <w:t>(pareiškimas Nr. </w:t>
      </w:r>
      <w:hyperlink w:anchor="{%22appno%22:[%224907/18%22]}" w:tgtFrame="_blank" w:history="1">
        <w:r w:rsidRPr="00623F9C">
          <w:rPr>
            <w:rStyle w:val="Hyperlink"/>
            <w:i/>
            <w:sz w:val="24"/>
            <w:lang w:val="lt-LT"/>
          </w:rPr>
          <w:t>4907/18</w:t>
        </w:r>
      </w:hyperlink>
      <w:r w:rsidRPr="00623F9C">
        <w:rPr>
          <w:i/>
          <w:sz w:val="24"/>
          <w:lang w:val="lt-LT"/>
        </w:rPr>
        <w:t>)</w:t>
      </w:r>
      <w:r w:rsidRPr="00623F9C">
        <w:rPr>
          <w:sz w:val="24"/>
          <w:lang w:val="lt-LT"/>
        </w:rPr>
        <w:t>,</w:t>
      </w:r>
      <w:r w:rsidRPr="00623F9C">
        <w:rPr>
          <w:i/>
          <w:sz w:val="24"/>
          <w:lang w:val="lt-LT"/>
        </w:rPr>
        <w:t xml:space="preserve"> </w:t>
      </w:r>
      <w:r w:rsidRPr="00623F9C">
        <w:rPr>
          <w:sz w:val="24"/>
          <w:lang w:val="lt-LT"/>
        </w:rPr>
        <w:t>žr. 289 punktą.</w:t>
      </w:r>
    </w:p>
  </w:footnote>
  <w:footnote w:id="14">
    <w:p w:rsidR="00552B48" w:rsidRPr="00623F9C" w:rsidRDefault="00552B48" w:rsidP="00623F9C">
      <w:pPr>
        <w:pStyle w:val="FootnoteText"/>
        <w:ind w:left="567" w:hanging="567"/>
        <w:rPr>
          <w:rStyle w:val="Hyperlink"/>
          <w:sz w:val="24"/>
          <w:vertAlign w:val="superscript"/>
          <w:lang w:val="lt-LT"/>
        </w:rPr>
      </w:pPr>
      <w:r w:rsidRPr="00623F9C">
        <w:rPr>
          <w:rStyle w:val="FootnoteReference"/>
          <w:sz w:val="24"/>
          <w:lang w:val="lt-LT"/>
        </w:rPr>
        <w:footnoteRef/>
      </w:r>
      <w:r w:rsidR="00623F9C" w:rsidRPr="00623F9C">
        <w:rPr>
          <w:sz w:val="24"/>
          <w:lang w:val="lt-LT"/>
        </w:rPr>
        <w:t xml:space="preserve"> </w:t>
      </w:r>
      <w:r w:rsidR="00623F9C" w:rsidRPr="00623F9C">
        <w:rPr>
          <w:sz w:val="24"/>
          <w:lang w:val="lt-LT"/>
        </w:rPr>
        <w:tab/>
      </w:r>
      <w:r w:rsidRPr="00623F9C">
        <w:rPr>
          <w:sz w:val="24"/>
          <w:lang w:val="lt-LT"/>
        </w:rPr>
        <w:t xml:space="preserve">Europos Taryba, </w:t>
      </w:r>
      <w:hyperlink r:id="rId2" w:history="1">
        <w:r w:rsidRPr="00623F9C">
          <w:rPr>
            <w:rStyle w:val="Hyperlink"/>
            <w:sz w:val="24"/>
            <w:lang w:val="lt-LT"/>
          </w:rPr>
          <w:t>Rezoliucija CM/</w:t>
        </w:r>
        <w:proofErr w:type="spellStart"/>
        <w:r w:rsidRPr="00623F9C">
          <w:rPr>
            <w:rStyle w:val="Hyperlink"/>
            <w:sz w:val="24"/>
            <w:lang w:val="lt-LT"/>
          </w:rPr>
          <w:t>ResChS</w:t>
        </w:r>
        <w:proofErr w:type="spellEnd"/>
        <w:r w:rsidRPr="00623F9C">
          <w:rPr>
            <w:rStyle w:val="Hyperlink"/>
            <w:sz w:val="24"/>
            <w:lang w:val="lt-LT"/>
          </w:rPr>
          <w:t xml:space="preserve">(2016)3 byloje </w:t>
        </w:r>
        <w:proofErr w:type="spellStart"/>
        <w:r w:rsidRPr="00623F9C">
          <w:rPr>
            <w:rStyle w:val="Hyperlink"/>
            <w:i/>
            <w:sz w:val="24"/>
            <w:lang w:val="lt-LT"/>
          </w:rPr>
          <w:t>Confederazione</w:t>
        </w:r>
        <w:proofErr w:type="spellEnd"/>
        <w:r w:rsidRPr="00623F9C">
          <w:rPr>
            <w:rStyle w:val="Hyperlink"/>
            <w:i/>
            <w:sz w:val="24"/>
            <w:lang w:val="lt-LT"/>
          </w:rPr>
          <w:t xml:space="preserve"> </w:t>
        </w:r>
        <w:proofErr w:type="spellStart"/>
        <w:r w:rsidRPr="00623F9C">
          <w:rPr>
            <w:rStyle w:val="Hyperlink"/>
            <w:i/>
            <w:sz w:val="24"/>
            <w:lang w:val="lt-LT"/>
          </w:rPr>
          <w:t>Generale</w:t>
        </w:r>
        <w:proofErr w:type="spellEnd"/>
        <w:r w:rsidRPr="00623F9C">
          <w:rPr>
            <w:rStyle w:val="Hyperlink"/>
            <w:i/>
            <w:sz w:val="24"/>
            <w:lang w:val="lt-LT"/>
          </w:rPr>
          <w:t xml:space="preserve"> </w:t>
        </w:r>
        <w:proofErr w:type="spellStart"/>
        <w:r w:rsidRPr="00623F9C">
          <w:rPr>
            <w:rStyle w:val="Hyperlink"/>
            <w:i/>
            <w:sz w:val="24"/>
            <w:lang w:val="lt-LT"/>
          </w:rPr>
          <w:t>Italiana</w:t>
        </w:r>
        <w:proofErr w:type="spellEnd"/>
        <w:r w:rsidRPr="00623F9C">
          <w:rPr>
            <w:rStyle w:val="Hyperlink"/>
            <w:i/>
            <w:sz w:val="24"/>
            <w:lang w:val="lt-LT"/>
          </w:rPr>
          <w:t xml:space="preserve"> </w:t>
        </w:r>
        <w:proofErr w:type="spellStart"/>
        <w:r w:rsidRPr="00623F9C">
          <w:rPr>
            <w:rStyle w:val="Hyperlink"/>
            <w:i/>
            <w:sz w:val="24"/>
            <w:lang w:val="lt-LT"/>
          </w:rPr>
          <w:t>del</w:t>
        </w:r>
        <w:proofErr w:type="spellEnd"/>
        <w:r w:rsidRPr="00623F9C">
          <w:rPr>
            <w:rStyle w:val="Hyperlink"/>
            <w:i/>
            <w:sz w:val="24"/>
            <w:lang w:val="lt-LT"/>
          </w:rPr>
          <w:t xml:space="preserve"> </w:t>
        </w:r>
        <w:proofErr w:type="spellStart"/>
        <w:r w:rsidRPr="00623F9C">
          <w:rPr>
            <w:rStyle w:val="Hyperlink"/>
            <w:i/>
            <w:sz w:val="24"/>
            <w:lang w:val="lt-LT"/>
          </w:rPr>
          <w:t>Lavoro</w:t>
        </w:r>
        <w:proofErr w:type="spellEnd"/>
        <w:r w:rsidRPr="00623F9C">
          <w:rPr>
            <w:rStyle w:val="Hyperlink"/>
            <w:i/>
            <w:sz w:val="24"/>
            <w:lang w:val="lt-LT"/>
          </w:rPr>
          <w:t xml:space="preserve"> (CGIL) prieš</w:t>
        </w:r>
      </w:hyperlink>
      <w:hyperlink r:id="rId3" w:history="1">
        <w:r w:rsidRPr="00623F9C">
          <w:rPr>
            <w:rStyle w:val="Hyperlink"/>
            <w:i/>
            <w:sz w:val="24"/>
            <w:lang w:val="lt-LT"/>
          </w:rPr>
          <w:t xml:space="preserve"> Italiją</w:t>
        </w:r>
        <w:r w:rsidRPr="00623F9C">
          <w:rPr>
            <w:rStyle w:val="Hyperlink"/>
            <w:sz w:val="24"/>
            <w:lang w:val="lt-LT"/>
          </w:rPr>
          <w:t>, skundas Nr. </w:t>
        </w:r>
        <w:r w:rsidRPr="00623F9C">
          <w:rPr>
            <w:rStyle w:val="Hyperlink"/>
            <w:sz w:val="24"/>
            <w:lang w:val="lt-LT"/>
          </w:rPr>
          <w:t>91/2013</w:t>
        </w:r>
      </w:hyperlink>
      <w:r w:rsidRPr="00623F9C">
        <w:rPr>
          <w:sz w:val="24"/>
          <w:lang w:val="lt-LT"/>
        </w:rPr>
        <w:t xml:space="preserve">, 2016 m.; Europos Parlamentas, </w:t>
      </w:r>
      <w:r w:rsidRPr="00623F9C">
        <w:rPr>
          <w:sz w:val="24"/>
          <w:lang w:val="lt-LT"/>
        </w:rPr>
        <w:fldChar w:fldCharType="begin"/>
      </w:r>
      <w:r w:rsidRPr="00623F9C">
        <w:rPr>
          <w:sz w:val="24"/>
          <w:lang w:val="lt-LT"/>
        </w:rPr>
        <w:instrText xml:space="preserve"> HYPERLINK "http://www.refreg.ep.parl.union.eu/RegData/etudes/BRIE/2018/608853/IPOL_BRI(2018)608853_EN.pdf" </w:instrText>
      </w:r>
      <w:r w:rsidRPr="00623F9C">
        <w:rPr>
          <w:sz w:val="24"/>
          <w:lang w:val="lt-LT"/>
        </w:rPr>
        <w:fldChar w:fldCharType="separate"/>
      </w:r>
      <w:r w:rsidRPr="00623F9C">
        <w:rPr>
          <w:rStyle w:val="Hyperlink"/>
          <w:sz w:val="24"/>
          <w:lang w:val="lt-LT"/>
        </w:rPr>
        <w:t>informacinis pranešimas „FEMM komandiruotė į Italiją</w:t>
      </w:r>
    </w:p>
    <w:p w:rsidR="00552B48" w:rsidRPr="00623F9C" w:rsidRDefault="00623F9C" w:rsidP="00623F9C">
      <w:pPr>
        <w:pStyle w:val="FootnoteText"/>
        <w:ind w:left="567" w:hanging="567"/>
        <w:rPr>
          <w:sz w:val="24"/>
          <w:lang w:val="lt-LT"/>
        </w:rPr>
      </w:pPr>
      <w:r w:rsidRPr="00623F9C">
        <w:rPr>
          <w:rStyle w:val="Hyperlink"/>
          <w:sz w:val="24"/>
          <w:lang w:val="lt-LT"/>
        </w:rPr>
        <w:t xml:space="preserve"> </w:t>
      </w:r>
      <w:r w:rsidRPr="00623F9C">
        <w:rPr>
          <w:rStyle w:val="Hyperlink"/>
          <w:sz w:val="24"/>
          <w:lang w:val="lt-LT"/>
        </w:rPr>
        <w:tab/>
      </w:r>
      <w:r w:rsidR="00552B48" w:rsidRPr="00623F9C">
        <w:rPr>
          <w:rStyle w:val="Hyperlink"/>
          <w:sz w:val="24"/>
          <w:lang w:val="lt-LT"/>
        </w:rPr>
        <w:t>2018 m. gruodžio 17–19 d.“</w:t>
      </w:r>
      <w:r w:rsidR="00552B48" w:rsidRPr="00623F9C">
        <w:rPr>
          <w:sz w:val="24"/>
          <w:lang w:val="lt-LT"/>
        </w:rPr>
        <w:fldChar w:fldCharType="end"/>
      </w:r>
      <w:r w:rsidR="00552B48" w:rsidRPr="00623F9C">
        <w:rPr>
          <w:sz w:val="24"/>
          <w:lang w:val="lt-LT"/>
        </w:rPr>
        <w:t>, 2018 m. gruodžio mėn.</w:t>
      </w:r>
    </w:p>
  </w:footnote>
  <w:footnote w:id="15">
    <w:p w:rsidR="00552B48" w:rsidRPr="00623F9C" w:rsidRDefault="00552B48" w:rsidP="00623F9C">
      <w:pPr>
        <w:pStyle w:val="FootnoteText"/>
        <w:ind w:left="567" w:hanging="567"/>
        <w:rPr>
          <w:color w:val="000000"/>
          <w:sz w:val="24"/>
          <w:lang w:val="lt-LT"/>
        </w:rPr>
      </w:pPr>
      <w:r w:rsidRPr="00623F9C">
        <w:rPr>
          <w:rStyle w:val="FootnoteReference"/>
          <w:sz w:val="24"/>
          <w:lang w:val="lt-LT"/>
        </w:rPr>
        <w:footnoteRef/>
      </w:r>
      <w:r w:rsidR="00623F9C" w:rsidRPr="00623F9C">
        <w:rPr>
          <w:sz w:val="24"/>
          <w:lang w:val="lt-LT"/>
        </w:rPr>
        <w:t xml:space="preserve"> </w:t>
      </w:r>
      <w:r w:rsidR="00623F9C" w:rsidRPr="00623F9C">
        <w:rPr>
          <w:sz w:val="24"/>
          <w:lang w:val="lt-LT"/>
        </w:rPr>
        <w:tab/>
      </w:r>
      <w:r w:rsidRPr="00623F9C">
        <w:rPr>
          <w:sz w:val="24"/>
          <w:lang w:val="lt-LT"/>
        </w:rPr>
        <w:t xml:space="preserve">RODA, </w:t>
      </w:r>
      <w:hyperlink r:id="rId4" w:history="1">
        <w:r w:rsidRPr="00623F9C">
          <w:rPr>
            <w:rStyle w:val="Hyperlink"/>
            <w:i/>
            <w:sz w:val="24"/>
            <w:lang w:val="lt-LT"/>
          </w:rPr>
          <w:t xml:space="preserve">Support </w:t>
        </w:r>
        <w:proofErr w:type="spellStart"/>
        <w:r w:rsidRPr="00623F9C">
          <w:rPr>
            <w:rStyle w:val="Hyperlink"/>
            <w:i/>
            <w:sz w:val="24"/>
            <w:lang w:val="lt-LT"/>
          </w:rPr>
          <w:t>for</w:t>
        </w:r>
        <w:proofErr w:type="spellEnd"/>
        <w:r w:rsidRPr="00623F9C">
          <w:rPr>
            <w:rStyle w:val="Hyperlink"/>
            <w:i/>
            <w:sz w:val="24"/>
            <w:lang w:val="lt-LT"/>
          </w:rPr>
          <w:t xml:space="preserve"> </w:t>
        </w:r>
        <w:proofErr w:type="spellStart"/>
        <w:r w:rsidRPr="00623F9C">
          <w:rPr>
            <w:rStyle w:val="Hyperlink"/>
            <w:i/>
            <w:sz w:val="24"/>
            <w:lang w:val="lt-LT"/>
          </w:rPr>
          <w:t>accessible</w:t>
        </w:r>
        <w:proofErr w:type="spellEnd"/>
        <w:r w:rsidRPr="00623F9C">
          <w:rPr>
            <w:rStyle w:val="Hyperlink"/>
            <w:i/>
            <w:sz w:val="24"/>
            <w:lang w:val="lt-LT"/>
          </w:rPr>
          <w:t xml:space="preserve">, </w:t>
        </w:r>
        <w:proofErr w:type="spellStart"/>
        <w:r w:rsidRPr="00623F9C">
          <w:rPr>
            <w:rStyle w:val="Hyperlink"/>
            <w:i/>
            <w:sz w:val="24"/>
            <w:lang w:val="lt-LT"/>
          </w:rPr>
          <w:t>safe</w:t>
        </w:r>
        <w:proofErr w:type="spellEnd"/>
        <w:r w:rsidRPr="00623F9C">
          <w:rPr>
            <w:rStyle w:val="Hyperlink"/>
            <w:i/>
            <w:sz w:val="24"/>
            <w:lang w:val="lt-LT"/>
          </w:rPr>
          <w:t xml:space="preserve"> </w:t>
        </w:r>
        <w:proofErr w:type="spellStart"/>
        <w:r w:rsidRPr="00623F9C">
          <w:rPr>
            <w:rStyle w:val="Hyperlink"/>
            <w:i/>
            <w:sz w:val="24"/>
            <w:lang w:val="lt-LT"/>
          </w:rPr>
          <w:t>and</w:t>
        </w:r>
        <w:proofErr w:type="spellEnd"/>
        <w:r w:rsidRPr="00623F9C">
          <w:rPr>
            <w:rStyle w:val="Hyperlink"/>
            <w:i/>
            <w:sz w:val="24"/>
            <w:lang w:val="lt-LT"/>
          </w:rPr>
          <w:t xml:space="preserve"> </w:t>
        </w:r>
        <w:proofErr w:type="spellStart"/>
        <w:r w:rsidRPr="00623F9C">
          <w:rPr>
            <w:rStyle w:val="Hyperlink"/>
            <w:i/>
            <w:sz w:val="24"/>
            <w:lang w:val="lt-LT"/>
          </w:rPr>
          <w:t>legal</w:t>
        </w:r>
        <w:proofErr w:type="spellEnd"/>
        <w:r w:rsidRPr="00623F9C">
          <w:rPr>
            <w:rStyle w:val="Hyperlink"/>
            <w:i/>
            <w:sz w:val="24"/>
            <w:lang w:val="lt-LT"/>
          </w:rPr>
          <w:t xml:space="preserve"> </w:t>
        </w:r>
        <w:proofErr w:type="spellStart"/>
        <w:r w:rsidRPr="00623F9C">
          <w:rPr>
            <w:rStyle w:val="Hyperlink"/>
            <w:i/>
            <w:sz w:val="24"/>
            <w:lang w:val="lt-LT"/>
          </w:rPr>
          <w:t>termination</w:t>
        </w:r>
        <w:proofErr w:type="spellEnd"/>
        <w:r w:rsidRPr="00623F9C">
          <w:rPr>
            <w:rStyle w:val="Hyperlink"/>
            <w:i/>
            <w:sz w:val="24"/>
            <w:lang w:val="lt-LT"/>
          </w:rPr>
          <w:t xml:space="preserve"> </w:t>
        </w:r>
        <w:proofErr w:type="spellStart"/>
        <w:r w:rsidRPr="00623F9C">
          <w:rPr>
            <w:rStyle w:val="Hyperlink"/>
            <w:i/>
            <w:sz w:val="24"/>
            <w:lang w:val="lt-LT"/>
          </w:rPr>
          <w:t>of</w:t>
        </w:r>
        <w:proofErr w:type="spellEnd"/>
        <w:r w:rsidRPr="00623F9C">
          <w:rPr>
            <w:rStyle w:val="Hyperlink"/>
            <w:i/>
            <w:sz w:val="24"/>
            <w:lang w:val="lt-LT"/>
          </w:rPr>
          <w:t xml:space="preserve"> </w:t>
        </w:r>
        <w:proofErr w:type="spellStart"/>
        <w:r w:rsidRPr="00623F9C">
          <w:rPr>
            <w:rStyle w:val="Hyperlink"/>
            <w:i/>
            <w:sz w:val="24"/>
            <w:lang w:val="lt-LT"/>
          </w:rPr>
          <w:t>pregnancy</w:t>
        </w:r>
        <w:proofErr w:type="spellEnd"/>
        <w:r w:rsidRPr="00623F9C">
          <w:rPr>
            <w:rStyle w:val="Hyperlink"/>
            <w:i/>
            <w:sz w:val="24"/>
            <w:lang w:val="lt-LT"/>
          </w:rPr>
          <w:t xml:space="preserve"> </w:t>
        </w:r>
        <w:proofErr w:type="spellStart"/>
        <w:r w:rsidRPr="00623F9C">
          <w:rPr>
            <w:rStyle w:val="Hyperlink"/>
            <w:i/>
            <w:sz w:val="24"/>
            <w:lang w:val="lt-LT"/>
          </w:rPr>
          <w:t>in</w:t>
        </w:r>
        <w:proofErr w:type="spellEnd"/>
        <w:r w:rsidRPr="00623F9C">
          <w:rPr>
            <w:rStyle w:val="Hyperlink"/>
            <w:i/>
            <w:sz w:val="24"/>
            <w:lang w:val="lt-LT"/>
          </w:rPr>
          <w:t xml:space="preserve"> </w:t>
        </w:r>
        <w:proofErr w:type="spellStart"/>
        <w:r w:rsidRPr="00623F9C">
          <w:rPr>
            <w:rStyle w:val="Hyperlink"/>
            <w:i/>
            <w:sz w:val="24"/>
            <w:lang w:val="lt-LT"/>
          </w:rPr>
          <w:t>Croatia</w:t>
        </w:r>
        <w:proofErr w:type="spellEnd"/>
      </w:hyperlink>
      <w:r w:rsidRPr="00623F9C">
        <w:rPr>
          <w:sz w:val="24"/>
          <w:lang w:val="lt-LT"/>
        </w:rPr>
        <w:t xml:space="preserve"> (</w:t>
      </w:r>
      <w:proofErr w:type="spellStart"/>
      <w:r w:rsidRPr="00623F9C">
        <w:rPr>
          <w:sz w:val="24"/>
          <w:lang w:val="lt-LT"/>
        </w:rPr>
        <w:t>liet</w:t>
      </w:r>
      <w:proofErr w:type="spellEnd"/>
      <w:r w:rsidRPr="00623F9C">
        <w:rPr>
          <w:sz w:val="24"/>
          <w:lang w:val="lt-LT"/>
        </w:rPr>
        <w:t>. „Parama prieinamam, saugiam ir teisėtam nėštumo nutraukimui Kroatijoje“), 2022 m. gegužės 6 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F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F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F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5/2024"/>
    <w:docVar w:name="dvlangue" w:val="LT"/>
    <w:docVar w:name="dvnumam" w:val="0"/>
    <w:docVar w:name="dvpe" w:val="760.611"/>
    <w:docVar w:name="dvtitre" w:val="Europos Parlamento rezoliucija dėl teisės į abortą įtraukimo į ES pagrindinių teisių chartiją(2024/2655(RSP))"/>
  </w:docVars>
  <w:rsids>
    <w:rsidRoot w:val="00E137F9"/>
    <w:rsid w:val="00002272"/>
    <w:rsid w:val="00064002"/>
    <w:rsid w:val="000677B9"/>
    <w:rsid w:val="000831BA"/>
    <w:rsid w:val="000A42CC"/>
    <w:rsid w:val="000E7DD9"/>
    <w:rsid w:val="0010095E"/>
    <w:rsid w:val="00125B37"/>
    <w:rsid w:val="00140DE4"/>
    <w:rsid w:val="00187494"/>
    <w:rsid w:val="001F32AE"/>
    <w:rsid w:val="002767FF"/>
    <w:rsid w:val="002B18FE"/>
    <w:rsid w:val="002B5493"/>
    <w:rsid w:val="00343214"/>
    <w:rsid w:val="00361C00"/>
    <w:rsid w:val="00370C4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2B48"/>
    <w:rsid w:val="00560270"/>
    <w:rsid w:val="00563FB8"/>
    <w:rsid w:val="005C2568"/>
    <w:rsid w:val="006037C0"/>
    <w:rsid w:val="00623F9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67A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7F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682BE"/>
  <w15:chartTrackingRefBased/>
  <w15:docId w15:val="{E0066A9D-A5FC-4E3E-A8DF-1E204E0A8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52B48"/>
    <w:pPr>
      <w:spacing w:before="480" w:after="240"/>
    </w:pPr>
  </w:style>
  <w:style w:type="paragraph" w:customStyle="1" w:styleId="NormalHanging12a">
    <w:name w:val="NormalHanging12a"/>
    <w:basedOn w:val="Normal"/>
    <w:rsid w:val="00552B48"/>
    <w:pPr>
      <w:spacing w:after="240"/>
      <w:ind w:left="567" w:hanging="567"/>
    </w:pPr>
  </w:style>
  <w:style w:type="character" w:customStyle="1" w:styleId="doceo-font-family-base">
    <w:name w:val="doceo-font-family-base"/>
    <w:basedOn w:val="DefaultParagraphFont"/>
    <w:rsid w:val="00552B48"/>
  </w:style>
  <w:style w:type="table" w:customStyle="1" w:styleId="1">
    <w:name w:val="1"/>
    <w:basedOn w:val="TableNormal"/>
    <w:rsid w:val="00552B48"/>
    <w:pPr>
      <w:spacing w:after="160" w:line="259" w:lineRule="auto"/>
    </w:pPr>
    <w:rPr>
      <w:rFonts w:ascii="Calibri" w:eastAsia="Calibri" w:hAnsi="Calibri" w:cs="Calibri"/>
      <w:sz w:val="22"/>
      <w:szCs w:val="22"/>
      <w:lang w:val="lt-LT"/>
    </w:rPr>
    <w:tblPr>
      <w:tblStyleRowBandSize w:val="1"/>
      <w:tblStyleColBandSize w:val="1"/>
      <w:tblCellMar>
        <w:left w:w="340" w:type="dxa"/>
        <w:right w:w="340" w:type="dxa"/>
      </w:tblCellMar>
    </w:tblPr>
  </w:style>
  <w:style w:type="character" w:styleId="Hyperlink">
    <w:name w:val="Hyperlink"/>
    <w:basedOn w:val="DefaultParagraphFont"/>
    <w:uiPriority w:val="99"/>
    <w:unhideWhenUsed/>
    <w:rsid w:val="00552B48"/>
    <w:rPr>
      <w:color w:val="0000FF"/>
      <w:u w:val="single"/>
    </w:rPr>
  </w:style>
  <w:style w:type="paragraph" w:styleId="BalloonText">
    <w:name w:val="Balloon Text"/>
    <w:basedOn w:val="Normal"/>
    <w:link w:val="BalloonTextChar"/>
    <w:rsid w:val="00563FB8"/>
    <w:rPr>
      <w:rFonts w:ascii="Segoe UI" w:hAnsi="Segoe UI" w:cs="Segoe UI"/>
      <w:sz w:val="18"/>
      <w:szCs w:val="18"/>
    </w:rPr>
  </w:style>
  <w:style w:type="character" w:customStyle="1" w:styleId="BalloonTextChar">
    <w:name w:val="Balloon Text Char"/>
    <w:basedOn w:val="DefaultParagraphFont"/>
    <w:link w:val="BalloonText"/>
    <w:rsid w:val="00563FB8"/>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arch.coe.int/cm/Pages/result_details.aspx?ObjectId=0900001680687bdc" TargetMode="External"/><Relationship Id="rId2" Type="http://schemas.openxmlformats.org/officeDocument/2006/relationships/hyperlink" Target="https://search.coe.int/cm/Pages/result_details.aspx?ObjectId=0900001680687bdc" TargetMode="External"/><Relationship Id="rId1" Type="http://schemas.openxmlformats.org/officeDocument/2006/relationships/hyperlink" Target="https://www.ohchr.org/sites/default/files/Documents/Issues/Women/WRGS/SexualHealth/INFO_Abortion_WEB.pdf" TargetMode="External"/><Relationship Id="rId4" Type="http://schemas.openxmlformats.org/officeDocument/2006/relationships/hyperlink" Target="https://www.roda.hr/en/news/support-for-accessible-safe-and-legal-termination-of-pregnancy-in-croat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E9BF7-0950-4870-98D8-B45AA788E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2991</Words>
  <Characters>20083</Characters>
  <Application>Microsoft Office Word</Application>
  <DocSecurity>0</DocSecurity>
  <Lines>167</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2024-04-10T14:37:00Z</dcterms:created>
  <dcterms:modified xsi:type="dcterms:W3CDTF">2024-04-11T13:54:00Z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B9-0205/2024</vt:lpwstr>
  </property>
  <property fmtid="{D5CDD505-2E9C-101B-9397-08002B2CF9AE}" pid="4" name="&lt;Type&gt;">
    <vt:lpwstr>RR</vt:lpwstr>
  </property>
</Properties>
</file>