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2A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2AA2" w:rsidRDefault="00F523D6" w:rsidP="0010095E">
            <w:pPr>
              <w:pStyle w:val="EPName"/>
            </w:pPr>
            <w:r w:rsidRPr="00E12AA2">
              <w:t>Parlamento Europeu</w:t>
            </w:r>
          </w:p>
          <w:p w:rsidR="00751A4A" w:rsidRPr="00E12A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2AA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12AA2" w:rsidRDefault="00187494" w:rsidP="0010095E">
            <w:pPr>
              <w:pStyle w:val="EPLogo"/>
            </w:pPr>
            <w:r w:rsidRPr="00E12AA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2AA2" w:rsidRDefault="00D058B8" w:rsidP="004C5D52">
      <w:pPr>
        <w:pStyle w:val="LineTop"/>
      </w:pPr>
    </w:p>
    <w:p w:rsidR="00680577" w:rsidRPr="00E12AA2" w:rsidRDefault="00F523D6" w:rsidP="00680577">
      <w:pPr>
        <w:pStyle w:val="EPBodyTA1"/>
      </w:pPr>
      <w:r w:rsidRPr="00E12AA2">
        <w:t>TEXTOS APROVADOS</w:t>
      </w:r>
    </w:p>
    <w:p w:rsidR="00D058B8" w:rsidRPr="00E12AA2" w:rsidRDefault="00D058B8" w:rsidP="00D058B8">
      <w:pPr>
        <w:pStyle w:val="LineBottom"/>
      </w:pPr>
    </w:p>
    <w:p w:rsidR="00F523D6" w:rsidRPr="00E12AA2" w:rsidRDefault="00F523D6" w:rsidP="00F523D6">
      <w:pPr>
        <w:pStyle w:val="ATHeading1"/>
      </w:pPr>
      <w:bookmarkStart w:id="0" w:name="TANumber"/>
      <w:r w:rsidRPr="00E12AA2">
        <w:t>P9_TA(2024)</w:t>
      </w:r>
      <w:bookmarkEnd w:id="0"/>
      <w:r w:rsidR="00FA7525" w:rsidRPr="00E12AA2">
        <w:t>0286</w:t>
      </w:r>
    </w:p>
    <w:p w:rsidR="00F523D6" w:rsidRPr="00E12AA2" w:rsidRDefault="00F523D6" w:rsidP="00F523D6">
      <w:pPr>
        <w:pStyle w:val="ATHeading2"/>
      </w:pPr>
      <w:bookmarkStart w:id="1" w:name="title"/>
      <w:r w:rsidRPr="00E12AA2">
        <w:t>Inclusão do direito ao aborto na Carta dos Direitos Fundamentais da UE</w:t>
      </w:r>
      <w:bookmarkEnd w:id="1"/>
    </w:p>
    <w:p w:rsidR="00F523D6" w:rsidRPr="00E12AA2" w:rsidRDefault="00F523D6" w:rsidP="00F523D6">
      <w:pPr>
        <w:rPr>
          <w:i/>
          <w:vanish/>
        </w:rPr>
      </w:pPr>
      <w:r w:rsidRPr="00E12AA2">
        <w:rPr>
          <w:i/>
        </w:rPr>
        <w:fldChar w:fldCharType="begin"/>
      </w:r>
      <w:r w:rsidRPr="00E12AA2">
        <w:rPr>
          <w:i/>
        </w:rPr>
        <w:instrText xml:space="preserve"> TC"(</w:instrText>
      </w:r>
      <w:bookmarkStart w:id="2" w:name="DocNumber"/>
      <w:r w:rsidRPr="00E12AA2">
        <w:rPr>
          <w:i/>
        </w:rPr>
        <w:instrText>B9-0205/2024</w:instrText>
      </w:r>
      <w:bookmarkEnd w:id="2"/>
      <w:r w:rsidRPr="00E12AA2">
        <w:rPr>
          <w:i/>
        </w:rPr>
        <w:instrText xml:space="preserve">)"\l3 \n&gt; \* MERGEFORMAT </w:instrText>
      </w:r>
      <w:r w:rsidRPr="00E12AA2">
        <w:rPr>
          <w:i/>
        </w:rPr>
        <w:fldChar w:fldCharType="end"/>
      </w:r>
    </w:p>
    <w:p w:rsidR="00F523D6" w:rsidRPr="00E12AA2" w:rsidRDefault="00F523D6" w:rsidP="00F523D6">
      <w:pPr>
        <w:rPr>
          <w:vanish/>
        </w:rPr>
      </w:pPr>
      <w:bookmarkStart w:id="3" w:name="PE"/>
      <w:r w:rsidRPr="00E12AA2">
        <w:rPr>
          <w:vanish/>
        </w:rPr>
        <w:t>PE760.611</w:t>
      </w:r>
      <w:bookmarkEnd w:id="3"/>
    </w:p>
    <w:p w:rsidR="00F523D6" w:rsidRPr="00E12AA2" w:rsidRDefault="00F523D6" w:rsidP="00F523D6">
      <w:pPr>
        <w:pStyle w:val="ATHeading3"/>
      </w:pPr>
      <w:bookmarkStart w:id="4" w:name="Sujet"/>
      <w:r w:rsidRPr="00E12AA2">
        <w:t xml:space="preserve">Resolução do Parlamento Europeu, de </w:t>
      </w:r>
      <w:r w:rsidR="00D220B2" w:rsidRPr="00E12AA2">
        <w:t>11</w:t>
      </w:r>
      <w:r w:rsidRPr="00E12AA2">
        <w:t xml:space="preserve"> de </w:t>
      </w:r>
      <w:r w:rsidR="00D220B2" w:rsidRPr="00E12AA2">
        <w:t>abril</w:t>
      </w:r>
      <w:r w:rsidRPr="00E12AA2">
        <w:t xml:space="preserve"> de 2024, sobre a inclusão do direito ao aborto na Carta dos Direitos Fundamentais da UE</w:t>
      </w:r>
      <w:bookmarkEnd w:id="4"/>
      <w:r w:rsidRPr="00E12AA2">
        <w:t xml:space="preserve"> </w:t>
      </w:r>
      <w:bookmarkStart w:id="5" w:name="References"/>
      <w:r w:rsidRPr="00E12AA2">
        <w:t>(2024/2655(RSP))</w:t>
      </w:r>
      <w:bookmarkEnd w:id="5"/>
    </w:p>
    <w:p w:rsidR="000A2344" w:rsidRPr="00E12AA2" w:rsidRDefault="000A2344" w:rsidP="000A2344">
      <w:pPr>
        <w:pStyle w:val="EPComma"/>
      </w:pPr>
      <w:bookmarkStart w:id="6" w:name="TextBodyBegin"/>
      <w:bookmarkEnd w:id="6"/>
      <w:r w:rsidRPr="00E12AA2">
        <w:rPr>
          <w:i/>
          <w:iCs/>
        </w:rPr>
        <w:t>O Parlamento Europeu</w:t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Convenção Europeia dos Direitos Humanos de 1950,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Convenção sobre a Eliminação de Todas as Formas de Discriminação Contra as Mulheres, de 1979,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Carta dos Direitos Fundamentais da União Europeia («Carta»), de 2000,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13 de fevereiro de 2019, sobre o retrocesso em matéria de direitos das mulheres e de igualda</w:t>
      </w:r>
      <w:bookmarkStart w:id="7" w:name="_GoBack"/>
      <w:bookmarkEnd w:id="7"/>
      <w:r w:rsidRPr="00E12AA2">
        <w:t>de de género na UE</w:t>
      </w:r>
      <w:r w:rsidRPr="00E12AA2">
        <w:rPr>
          <w:rStyle w:val="FootnoteReference"/>
        </w:rPr>
        <w:footnoteReference w:id="1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14 de novembro de 2019, sobre a criminalização da educação sexual na Polónia</w:t>
      </w:r>
      <w:r w:rsidRPr="00E12AA2">
        <w:rPr>
          <w:rStyle w:val="FootnoteReference"/>
        </w:rPr>
        <w:footnoteReference w:id="2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26 de novembro de 2020, sobre a proibição</w:t>
      </w:r>
      <w:r w:rsidRPr="00E12AA2">
        <w:rPr>
          <w:i/>
        </w:rPr>
        <w:t xml:space="preserve"> de</w:t>
      </w:r>
      <w:r w:rsidR="00D220B2" w:rsidRPr="00E12AA2">
        <w:rPr>
          <w:i/>
        </w:rPr>
        <w:t> </w:t>
      </w:r>
      <w:r w:rsidRPr="00E12AA2">
        <w:rPr>
          <w:i/>
        </w:rPr>
        <w:t>facto</w:t>
      </w:r>
      <w:r w:rsidRPr="00E12AA2">
        <w:t xml:space="preserve"> do direito ao aborto na Polónia</w:t>
      </w:r>
      <w:r w:rsidRPr="00E12AA2">
        <w:rPr>
          <w:rStyle w:val="FootnoteReference"/>
        </w:rPr>
        <w:footnoteReference w:id="3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 xml:space="preserve">Tendo em conta a sua Resolução, de 11 de novembro de 2021, sobre o primeiro aniversário da proibição </w:t>
      </w:r>
      <w:r w:rsidRPr="00E12AA2">
        <w:rPr>
          <w:i/>
        </w:rPr>
        <w:t>de facto</w:t>
      </w:r>
      <w:r w:rsidRPr="00E12AA2">
        <w:t xml:space="preserve"> do aborto na Polónia</w:t>
      </w:r>
      <w:r w:rsidRPr="00E12AA2">
        <w:rPr>
          <w:rStyle w:val="FootnoteReference"/>
        </w:rPr>
        <w:footnoteReference w:id="4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24 de junho de 2021, sobre a situação da saúde e dos direitos sexuais e reprodutivos na UE, no contexto da saúde das mulheres</w:t>
      </w:r>
      <w:r w:rsidRPr="00E12AA2">
        <w:rPr>
          <w:rStyle w:val="FootnoteReference"/>
        </w:rPr>
        <w:footnoteReference w:id="5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 xml:space="preserve">Tendo em conta a sua Resolução, de 5 de maio de 2022, sobre o impacto da guerra </w:t>
      </w:r>
      <w:r w:rsidRPr="00E12AA2">
        <w:lastRenderedPageBreak/>
        <w:t>contra a Ucrânia para as mulheres</w:t>
      </w:r>
      <w:r w:rsidRPr="00E12AA2">
        <w:rPr>
          <w:rStyle w:val="FootnoteReference"/>
        </w:rPr>
        <w:footnoteReference w:id="6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9 de junho de 2022, sobre as ameaças globais aos direitos ao aborto: eventual revogação do direito ao aborto nos Estados Unidos pelo Supremo Tribunal</w:t>
      </w:r>
      <w:r w:rsidRPr="00E12AA2">
        <w:rPr>
          <w:rStyle w:val="FootnoteReference"/>
        </w:rPr>
        <w:footnoteReference w:id="7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7 de julho de 2022, sobre a decisão do Supremo Tribunal dos Estados Unidos de revogar o direito ao aborto nos Estados Unidos e a necessidade de garantir o direito ao aborto e a saúde das mulheres na União Europeia</w:t>
      </w:r>
      <w:r w:rsidRPr="00E12AA2">
        <w:rPr>
          <w:rStyle w:val="FootnoteReference"/>
        </w:rPr>
        <w:footnoteReference w:id="8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22 de novembro de 2023, sobre projetos do Parlamento Europeu de revisão dos Tratados</w:t>
      </w:r>
      <w:r w:rsidRPr="00E12AA2">
        <w:rPr>
          <w:rStyle w:val="FootnoteReference"/>
        </w:rPr>
        <w:footnoteReference w:id="9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as orientações da OMS intituladas «Aborto seguro: orientação técnica e de políticas para sistemas de saúde»,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Estratégia 2017-2021 da OMS intitulada «Women’s health and well-being in Europe: beyond the mortality advantage» [Saúde e bem-estar das mulheres na Europa: para além da vantagem na mortalidade], e o plano de ação de 2016 para a saúde sexual e reprodutiva: rumo à concretização da Agenda 2030 para o Desenvolvimento Sustentável na Europa – não deixar ninguém para trás,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Comunicação da Comissão, de 5 de março de 2020, intitulada «Uma União da Igualdade: Estratégia para a Igualdade de Género 2020-2025» (COM(2020)0152),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Comunicação da Comissão, de 12 de novembro de 2020, intitulada «União da Igualdade: Estratégia para a igualdade de tratamento das pessoas LGBTIQ 2020-2025» (COM(2020)0698),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Declaração Universal dos Direitos Humanos,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Convenção Europeia dos Direitos Humanos (CEDH) e a jurisprudência do Tribunal Europeu dos Direitos Humanos (TEDH),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Convenção do Conselho da Europa para a Prevenção e o Combate à Violência Contra as Mulheres e a Violência Doméstica («Convenção de Istambul»), que foi aberta à assinatura em Istambul em 11 de maio de 2011, e ratificada pela UE em 28 de junho de 2023,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o comentário geral n.º 36 (2018) do Comité dos Direitos Humanos da ONU sobre o artigo 6.º do Pacto Internacional sobre os Direitos Civis e Políticos, sobre o direito à vida,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 xml:space="preserve">Tendo em conta a sua Resolução, de 18 de janeiro de 2024, sobre a situação dos direitos </w:t>
      </w:r>
      <w:r w:rsidRPr="00E12AA2">
        <w:lastRenderedPageBreak/>
        <w:t>fundamentais na União Europeia – Relatório anual para os anos 2022-2023</w:t>
      </w:r>
      <w:r w:rsidRPr="00E12AA2">
        <w:rPr>
          <w:rStyle w:val="FootnoteReference"/>
        </w:rPr>
        <w:footnoteReference w:id="10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a sua Resolução, de 28 de fevereiro de 2024, sobre o relatório de 2023 da Comissão sobre o Estado de Direito</w:t>
      </w:r>
      <w:r w:rsidRPr="00E12AA2">
        <w:rPr>
          <w:rStyle w:val="FootnoteReference"/>
        </w:rPr>
        <w:footnoteReference w:id="11"/>
      </w:r>
      <w:r w:rsidRPr="00E12AA2">
        <w:t>,</w:t>
      </w:r>
    </w:p>
    <w:p w:rsidR="000A2344" w:rsidRPr="00E12AA2" w:rsidRDefault="000A2344" w:rsidP="000A2344">
      <w:pPr>
        <w:pStyle w:val="NormalHanging12a"/>
      </w:pPr>
      <w:r w:rsidRPr="00E12AA2">
        <w:t>–</w:t>
      </w:r>
      <w:r w:rsidRPr="00E12AA2">
        <w:tab/>
        <w:t>Tendo em conta o artigo 132.º, n.º 2, do seu Regimento,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A.</w:t>
      </w:r>
      <w:r w:rsidRPr="00E12AA2">
        <w:tab/>
        <w:t>Considerando que o acesso à saúde e aos direitos sexuais e reprodutivos, designadamente a cuidados de aborto seguro e legal, constitui um direito fundamental</w:t>
      </w:r>
      <w:r w:rsidR="00D220B2" w:rsidRPr="00E12AA2">
        <w:t>; considerando que</w:t>
      </w:r>
      <w:r w:rsidRPr="00E12AA2">
        <w:t xml:space="preserve"> a concretização do acesso à saúde e aos direitos sexuais e reprodutivos é primordial na defesa da dignidade humana e está intrinsecamente ligada ao combate à violência sexual e baseada no género e à consecução da igualdade de género e de vários outros direitos humanos, como o direito das pessoas à vida, à saúde, à privacidade, à segurança, à não discriminação, à igualdade perante a lei e a serem protegidas contra a tortura e outras penas ou tratamentos cruéis, desumanos ou degradantes;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B.</w:t>
      </w:r>
      <w:r w:rsidRPr="00E12AA2">
        <w:tab/>
        <w:t>Considerando que a capacidade das pessoas para exercerem a sua autonomia reprodutiva, controlarem a sua vida reprodutiva e decidirem se, quando e como ter filhos é imprescindível para a plena concretização dos direitos humanos das mulheres, das raparigas e de todas as pessoas que podem engravidar</w:t>
      </w:r>
      <w:r w:rsidR="00D220B2" w:rsidRPr="00E12AA2">
        <w:t>; considerando que</w:t>
      </w:r>
      <w:r w:rsidRPr="00E12AA2">
        <w:t xml:space="preserve"> importa salvaguardar o corpo, as escolhas e, por conseguinte, a plena autonomia das pessoas;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C.</w:t>
      </w:r>
      <w:r w:rsidRPr="00E12AA2">
        <w:tab/>
        <w:t>Considerando que a Carta consagra os principais direitos e liberdades fundamentais das pessoas que vivem na UE</w:t>
      </w:r>
      <w:r w:rsidR="00D220B2" w:rsidRPr="00E12AA2">
        <w:t>; considerando que</w:t>
      </w:r>
      <w:r w:rsidRPr="00E12AA2">
        <w:t xml:space="preserve"> a proteção dos cuidados de aborto seguro e legal tem implicações diretas no exercício efetivo dos direitos reconhecidos na Carta, como a dignidade humana, a autonomia pessoal, a igualdade, a saúde e a integridade física e mental</w:t>
      </w:r>
      <w:r w:rsidR="00D220B2" w:rsidRPr="00E12AA2">
        <w:t>; considerando que</w:t>
      </w:r>
      <w:r w:rsidRPr="00E12AA2">
        <w:t xml:space="preserve"> a privação do acesso a cuidados de aborto constitui uma violação destes direitos fundamentais;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D.</w:t>
      </w:r>
      <w:r w:rsidRPr="00E12AA2">
        <w:tab/>
        <w:t>Considerando que o Comité dos Direitos Humanos das Nações Unidas reconheceu especificamente que a decisão de uma pessoa de interromper voluntariamente a gravidez integra o âmbito de aplicação do direito à privacidade</w:t>
      </w:r>
      <w:r w:rsidR="00D220B2" w:rsidRPr="00E12AA2">
        <w:t>; considerando que</w:t>
      </w:r>
      <w:r w:rsidRPr="00E12AA2">
        <w:t xml:space="preserve"> a Comissão dos Direitos Humanos das Nações Unidas concluiu ainda que não dar seguimento à decisão de uma mulher de se submeter a um aborto legal constitui uma violação do direito à privacidade, designadamente quando o poder judicial interfere nessa decisão;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E.</w:t>
      </w:r>
      <w:r w:rsidRPr="00E12AA2">
        <w:tab/>
        <w:t>Considerando que, na sua Recomendação Geral n.º 35, o Comité das Nações Unidas para a Eliminação da Discriminação contra as Mulheres (CEDAW) afirmou explicitamente que a criminalização do aborto constitui uma violação da saúde e dos direitos sexuais e reprodutivos das mulheres e uma forma de violência baseada no género, e instou os Estados a revogarem toda a legislação que criminaliza o aborto;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F.</w:t>
      </w:r>
      <w:r w:rsidRPr="00E12AA2">
        <w:tab/>
        <w:t xml:space="preserve">Considerando que a saúde e os direitos sexuais e reprodutivos figuram entre as metas dos Objetivos de Desenvolvimento Sustentável das Nações Unidas, notadamente na meta 3.7, que visa assegurar o acesso universal aos serviços de saúde sexual e reprodutiva, incluindo o planeamento familiar, informação e educação, bem como a </w:t>
      </w:r>
      <w:r w:rsidRPr="00E12AA2">
        <w:lastRenderedPageBreak/>
        <w:t>integração da saúde reprodutiva em estratégias e programas nacionais, e na meta 5.6, que frisa a necessidade de assegurar o acesso universal à saúde e aos direitos sexuais e reprodutivos, em conformidade com o Programa de Ação da Conferência Internacional sobre População e Desenvolvimento e com a Plataforma de Ação de Pequim e os documentos resultantes das suas conferências de revisão;</w:t>
      </w:r>
    </w:p>
    <w:p w:rsidR="000A2344" w:rsidRPr="00E12AA2" w:rsidRDefault="000A2344" w:rsidP="000A2344">
      <w:pPr>
        <w:pStyle w:val="NormalHanging12a"/>
        <w:rPr>
          <w:rStyle w:val="doceo-font-family-base"/>
          <w:color w:val="000000"/>
          <w:szCs w:val="24"/>
        </w:rPr>
      </w:pPr>
      <w:r w:rsidRPr="00E12AA2">
        <w:rPr>
          <w:rStyle w:val="doceo-font-family-base"/>
          <w:color w:val="000000"/>
        </w:rPr>
        <w:t>G.</w:t>
      </w:r>
      <w:r w:rsidRPr="00E12AA2">
        <w:rPr>
          <w:rStyle w:val="doceo-font-family-base"/>
          <w:color w:val="000000"/>
        </w:rPr>
        <w:tab/>
      </w:r>
      <w:r w:rsidRPr="00E12AA2">
        <w:t>Considerando que os países com leis sobre o aborto menos restritivas têm, em geral, taxas de aborto mais baixas do que os países com legislação sobre o aborto muito restritiva</w:t>
      </w:r>
      <w:r w:rsidRPr="00E12AA2">
        <w:rPr>
          <w:rStyle w:val="FootnoteReference"/>
          <w:color w:val="000000"/>
          <w:szCs w:val="24"/>
        </w:rPr>
        <w:footnoteReference w:id="12"/>
      </w:r>
      <w:r w:rsidR="00D220B2" w:rsidRPr="00E12AA2">
        <w:t>; considerando que</w:t>
      </w:r>
      <w:r w:rsidRPr="00E12AA2">
        <w:t>, com vista a assegurar a plena autonomia sobre o corpo, o que inclui reduzir as gravidezes indesejadas e permitir que as pessoas tomem decisões informadas sobre as suas vidas e os seus corpos, é indispensável que todas as pessoas tenham acesso a uma educação abrangente, adequada à idade e baseada em dados concretos, assim como a aconselhamento sobre planeamento familiar e contraceção de elevada qualidade, acessível, seguro e gratuito</w:t>
      </w:r>
      <w:r w:rsidR="00D220B2" w:rsidRPr="00E12AA2">
        <w:t>; considerando que</w:t>
      </w:r>
      <w:r w:rsidRPr="00E12AA2">
        <w:rPr>
          <w:rStyle w:val="doceo-font-family-base"/>
          <w:color w:val="000000"/>
        </w:rPr>
        <w:t xml:space="preserve"> uma educação sexual adequada à idade e abrangente é capital para desenvolver a capacidade das crianças e dos jovens para se envolverem em relações saudáveis, igualitárias e seguras, nomeadamente debruçando-se sobre as normas de género, a igualdade de género, as dinâmicas de poder nas relações, o consentimento e o respeito pelos limites</w:t>
      </w:r>
      <w:r w:rsidR="00D220B2" w:rsidRPr="00E12AA2">
        <w:rPr>
          <w:rStyle w:val="doceo-font-family-base"/>
          <w:color w:val="000000"/>
        </w:rPr>
        <w:t>; considerando que</w:t>
      </w:r>
      <w:r w:rsidRPr="00E12AA2">
        <w:rPr>
          <w:rStyle w:val="doceo-font-family-base"/>
          <w:color w:val="000000"/>
        </w:rPr>
        <w:t xml:space="preserve"> contribui também para alcançar a igualdade de género;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H.</w:t>
      </w:r>
      <w:r w:rsidRPr="00E12AA2">
        <w:tab/>
        <w:t>Considerando que, numa votação histórica em 4 de março de 2024, os legisladores franceses consagraram na Constituição francesa a liberdade garantida de recorrer ao aborto</w:t>
      </w:r>
      <w:r w:rsidR="00D220B2" w:rsidRPr="00E12AA2">
        <w:t>; considerando que</w:t>
      </w:r>
      <w:r w:rsidRPr="00E12AA2">
        <w:t xml:space="preserve"> França é o primeiro país do mundo a fazer explicitamente do aborto um direito constitucional</w:t>
      </w:r>
      <w:r w:rsidR="00D220B2" w:rsidRPr="00E12AA2">
        <w:t>; considerando que</w:t>
      </w:r>
      <w:r w:rsidRPr="00E12AA2">
        <w:t xml:space="preserve"> esta revisão constitucional visa estabelecer uma salvaguarda no contexto do retrocesso quanto aos direitos ao aborto que se verifica na UE e à escala mundial, em particular nos EUA, na Polónia, na Hungria e em Malta</w:t>
      </w:r>
      <w:r w:rsidR="00D220B2" w:rsidRPr="00E12AA2">
        <w:t>; considerando que</w:t>
      </w:r>
      <w:r w:rsidRPr="00E12AA2">
        <w:t xml:space="preserve"> o trabalho e o empenho das organizações e parlamentares feministas em França foram fundamentais para garantir uma maioria de apoio à proteção constitucional do direito ao aborto;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rPr>
          <w:snapToGrid w:val="0"/>
        </w:rPr>
        <w:t>I.</w:t>
      </w:r>
      <w:r w:rsidRPr="00E12AA2">
        <w:rPr>
          <w:snapToGrid w:val="0"/>
        </w:rPr>
        <w:tab/>
      </w:r>
      <w:r w:rsidRPr="00E12AA2">
        <w:t>Considerando que, desde a inclusão do direito ao aborto na Constituição francesa, já foram ponderadas iniciativas semelhantes noutros países, como em Espanha e na Suécia, o que demonstra a necessidade de uma resposta europeia ao retrocesso na igualdade de género e na saúde e direitos sexuais e reprodutivos e de proteger constitucionalmente os direitos que estão sob ataque;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J.</w:t>
      </w:r>
      <w:r w:rsidRPr="00E12AA2">
        <w:tab/>
        <w:t>Considerando que é necessário que o apoio financeiro acompanhe as alterações legislativas positivas para tornar o direito de acesso aos cuidados de aborto uma realidade;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K.</w:t>
      </w:r>
      <w:r w:rsidRPr="00E12AA2">
        <w:tab/>
        <w:t>Considerando que, embora a UE tenha algumas das normas sobre saúde e direitos sexuais e reprodutivos mais avançadas do mundo, as mulheres e os membros da comunidade LGBTIQ+ continuam a enfrentar obstáculos ao usufruto da autonomia sobre o seu corpo</w:t>
      </w:r>
      <w:r w:rsidR="00D220B2" w:rsidRPr="00E12AA2">
        <w:t>; considerando que</w:t>
      </w:r>
      <w:r w:rsidRPr="00E12AA2">
        <w:t xml:space="preserve"> estes obstáculos podem ser de natureza jurídica, política, económica, cultural ou relacionada com a informação;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L.</w:t>
      </w:r>
      <w:r w:rsidRPr="00E12AA2">
        <w:tab/>
        <w:t xml:space="preserve">Considerando que alguns Estados-Membros ainda têm leis altamente restritivas que </w:t>
      </w:r>
      <w:r w:rsidRPr="00E12AA2">
        <w:lastRenderedPageBreak/>
        <w:t>proíbem o aborto, exceto em circunstâncias estritamente definidas, o que faz com que as mulheres tenham de recorrer a intervenções que não são seguras e que põem em risco a sua vida, viajar para outros países ou levar a gravidez até ao fim contra a sua vontade, o que constitui uma violação dos seus direitos humanos e uma forma de violência baseada no género</w:t>
      </w:r>
      <w:r w:rsidR="00D220B2" w:rsidRPr="00E12AA2">
        <w:t>; considerando que</w:t>
      </w:r>
      <w:r w:rsidRPr="00E12AA2">
        <w:t xml:space="preserve"> alguns Estados-Membros que legalizaram o aborto em resposta a pedidos ou por motivos gerais de ordem social continuam, ainda assim, a impor sanções penais específicas em caso de abortos que sejam realizados fora do âmbito das disposições jurídicas aplicáveis;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M.</w:t>
      </w:r>
      <w:r w:rsidRPr="00E12AA2">
        <w:tab/>
        <w:t>Considerando que vários Estados-Membros estão a tentar limitar ainda mais o acesso à saúde e aos direitos sexuais e reprodutivos através de leis muito restritivas, o que restringe o acesso aos cuidados de saúde e resulta em discriminação e violência com base no género</w:t>
      </w:r>
      <w:r w:rsidR="00D220B2" w:rsidRPr="00E12AA2">
        <w:t>; considerando que</w:t>
      </w:r>
      <w:r w:rsidRPr="00E12AA2">
        <w:t xml:space="preserve"> estas iniciativas e recuos prejudicam o usufruto dos direitos das pessoas, impedem o desenvolvimento dos países e atentam contra a democracia, os valores europeus e os direitos fundamentais;</w:t>
      </w:r>
    </w:p>
    <w:p w:rsidR="000A2344" w:rsidRPr="00E12AA2" w:rsidRDefault="000A2344" w:rsidP="000A2344">
      <w:pPr>
        <w:pStyle w:val="NormalHanging12a"/>
        <w:rPr>
          <w:szCs w:val="24"/>
        </w:rPr>
      </w:pPr>
      <w:bookmarkStart w:id="8" w:name="_Hlk161903494"/>
      <w:r w:rsidRPr="00E12AA2">
        <w:t>N.</w:t>
      </w:r>
      <w:r w:rsidRPr="00E12AA2">
        <w:tab/>
        <w:t>Considerando que se verifica no mundo inteiro um retrocesso coordenado e bem financiado no atinente à igualdade de género, à diversidade LGBTIQ+ e ao feminismo</w:t>
      </w:r>
      <w:r w:rsidR="00D220B2" w:rsidRPr="00E12AA2">
        <w:t>; considerando que</w:t>
      </w:r>
      <w:r w:rsidRPr="00E12AA2">
        <w:t>, em todo o mundo, forças regressivas e intervenientes religiosos ultraconservadores e de extrema-direita estão a tentar pôr em causa décadas de progressos relacionados com os direitos humanos e impor uma visão global perniciosa dos papéis de género nas famílias e na vida pública</w:t>
      </w:r>
      <w:r w:rsidR="00D220B2" w:rsidRPr="00E12AA2">
        <w:t>; considerando que</w:t>
      </w:r>
      <w:r w:rsidRPr="00E12AA2">
        <w:t xml:space="preserve"> estes movimentos e ataques estão estreitamente relacionados com tendências autoritárias que implicam o retrocesso da democracia mundial</w:t>
      </w:r>
      <w:r w:rsidR="00D220B2" w:rsidRPr="00E12AA2">
        <w:t>; considerando que</w:t>
      </w:r>
      <w:r w:rsidRPr="00E12AA2">
        <w:t>, por conseguinte, o Estado de direito se encontra claramente sob ameaça na Europa;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O.</w:t>
      </w:r>
      <w:r w:rsidRPr="00E12AA2">
        <w:tab/>
        <w:t>Considerando que estes movimentos contrários à igualdade de género e aos direitos atacam especificamente os direitos sexuais e reprodutivos e a autonomia das mulheres e influem na legislação e nas políticas ao fazerem com que vários Estados-Membros ponham em prática iniciativas regressivas com o objetivo de comprometer o acesso à saúde e aos direitos sexuais e reprodutivos;</w:t>
      </w:r>
      <w:bookmarkEnd w:id="8"/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P.</w:t>
      </w:r>
      <w:r w:rsidRPr="00E12AA2">
        <w:tab/>
        <w:t>Considerando que a Polónia restringiu ainda mais o acesso aos cuidados de aborto legal na sequência de um acórdão do Tribunal Constitucional ilegal em 22 de outubro de 2020</w:t>
      </w:r>
      <w:r w:rsidRPr="00E12AA2">
        <w:rPr>
          <w:rStyle w:val="FootnoteReference"/>
          <w:color w:val="000000"/>
          <w:szCs w:val="24"/>
        </w:rPr>
        <w:footnoteReference w:id="13"/>
      </w:r>
      <w:r w:rsidRPr="00E12AA2">
        <w:t xml:space="preserve"> que implica uma proibição </w:t>
      </w:r>
      <w:r w:rsidRPr="00E12AA2">
        <w:rPr>
          <w:i/>
        </w:rPr>
        <w:t>de facto</w:t>
      </w:r>
      <w:r w:rsidRPr="00E12AA2">
        <w:t xml:space="preserve"> do aborto e conduziu à morte de, pelo menos, seis mulheres</w:t>
      </w:r>
      <w:r w:rsidR="00D220B2" w:rsidRPr="00E12AA2">
        <w:t>; considerando que</w:t>
      </w:r>
      <w:r w:rsidRPr="00E12AA2">
        <w:t xml:space="preserve"> existem mulheres que têm sido alvo de investigações por alegadamente terem recorrido ao aborto e que mulheres defensoras dos direitos humanos e reprodutivos foram processadas por terem ajudado outras mulheres a acederem a cuidados de aborto ou por se manifestarem a favor do direito ao aborto</w:t>
      </w:r>
      <w:r w:rsidR="00D220B2" w:rsidRPr="00E12AA2">
        <w:t>; considerando que</w:t>
      </w:r>
      <w:r w:rsidRPr="00E12AA2">
        <w:t xml:space="preserve"> o recente acórdão do Tribunal Europeu dos Direitos Humanos (TEDH) no processo </w:t>
      </w:r>
      <w:r w:rsidRPr="00E12AA2">
        <w:rPr>
          <w:i/>
        </w:rPr>
        <w:t>M.L.</w:t>
      </w:r>
      <w:r w:rsidR="00D220B2" w:rsidRPr="00E12AA2">
        <w:rPr>
          <w:i/>
        </w:rPr>
        <w:t>/</w:t>
      </w:r>
      <w:r w:rsidRPr="00E12AA2">
        <w:rPr>
          <w:i/>
        </w:rPr>
        <w:t>Polónia</w:t>
      </w:r>
      <w:r w:rsidRPr="00E12AA2">
        <w:t xml:space="preserve"> concluiu que tinha havido uma violação do artigo 8.º da Convenção Europeia dos Direitos Humanos sobre o direito ao respeito pela vida privada e familiar no caso de uma mulher que foi obrigada a viajar para o estrangeiro para fazer um aborto com custos consideráveis que a própria suportou, longe da sua rede de apoio familiar, e com um impacto psicológico importante;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Q.</w:t>
      </w:r>
      <w:r w:rsidRPr="00E12AA2">
        <w:tab/>
        <w:t xml:space="preserve">Considerando que o Governo polaco recém-eleito está empenhado em propor novas leis para garantir os direitos das mulheres e o acesso à saúde e aos direitos sexuais e </w:t>
      </w:r>
      <w:r w:rsidRPr="00E12AA2">
        <w:lastRenderedPageBreak/>
        <w:t>reprodutivos, designadamente aos cuidados de aborto</w:t>
      </w:r>
      <w:r w:rsidR="00D220B2" w:rsidRPr="00E12AA2">
        <w:t>; considerando que</w:t>
      </w:r>
      <w:r w:rsidRPr="00E12AA2">
        <w:t>, lamentavelmente, a votação de projetos de lei destinados a despenalizar e garantir o acesso aos cuidados de aborto foi adiada no Sejm polaco;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R.</w:t>
      </w:r>
      <w:r w:rsidRPr="00E12AA2">
        <w:tab/>
        <w:t xml:space="preserve">Considerando que, em Malta, o aborto é proibido e criminalizado </w:t>
      </w:r>
      <w:r w:rsidRPr="00E12AA2">
        <w:rPr>
          <w:i/>
        </w:rPr>
        <w:t>de facto</w:t>
      </w:r>
      <w:r w:rsidR="00D220B2" w:rsidRPr="00E12AA2">
        <w:t>; considerando que</w:t>
      </w:r>
      <w:r w:rsidRPr="00E12AA2">
        <w:t xml:space="preserve"> a reforma de julho de 2023 provocou uma mudança preocupante no Parlamento maltês, porquanto se retiraram direitos e criaram ainda mais riscos e obstáculos do que antes no acesso aos cuidados de aborto</w:t>
      </w:r>
      <w:r w:rsidR="00D220B2" w:rsidRPr="00E12AA2">
        <w:t>; considerando que</w:t>
      </w:r>
      <w:r w:rsidRPr="00E12AA2">
        <w:t xml:space="preserve"> um destes obstáculos se caracteriza por os médicos só poderem interromper uma gravidez se a vida da pessoa estiver em risco iminente e ainda não se verificar «viabilidade fetal» e serem obrigados a encaminhar a pessoa grávida em agonia para uma junta médica de três consultores</w:t>
      </w:r>
      <w:r w:rsidR="00D220B2" w:rsidRPr="00E12AA2">
        <w:t>; considerando que</w:t>
      </w:r>
      <w:r w:rsidRPr="00E12AA2">
        <w:t xml:space="preserve"> a lei não contempla os casos de risco grave para a saúde</w:t>
      </w:r>
      <w:r w:rsidR="00D220B2" w:rsidRPr="00E12AA2">
        <w:t>; considerando que</w:t>
      </w:r>
      <w:r w:rsidRPr="00E12AA2">
        <w:t>, em Malta, uma pessoa grávida com cancro não pode ser tratada de forma adequada e tem de esperar até ao nascimento da criança para ter acesso ao tratamento oncológico, o que reduz as probabilidades de êxito do tratamento;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S.</w:t>
      </w:r>
      <w:r w:rsidRPr="00E12AA2">
        <w:tab/>
        <w:t>Considerando que a interrupção clínica da gravidez não é legal na Eslováquia nem na Hungria</w:t>
      </w:r>
      <w:r w:rsidR="00D220B2" w:rsidRPr="00E12AA2">
        <w:t>; considerando que</w:t>
      </w:r>
      <w:r w:rsidRPr="00E12AA2">
        <w:t>, em setembro de 2022, a Hungria aprovou um decreto que obriga as mulheres que pretendem recorrer ao aborto a ouvir os batimentos cardíacos do feto</w:t>
      </w:r>
      <w:r w:rsidR="00D220B2" w:rsidRPr="00E12AA2">
        <w:t>; considerando que</w:t>
      </w:r>
      <w:r w:rsidRPr="00E12AA2">
        <w:t>, na Eslováquia, têm ocorrido várias tentativas de restringir o acesso aos cuidados de aborto através de projetos de lei regressivos no parlamento;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T.</w:t>
      </w:r>
      <w:r w:rsidRPr="00E12AA2">
        <w:tab/>
        <w:t>Considerando que o acesso aos cuidados de aborto está a ser comprometido também em Itália</w:t>
      </w:r>
      <w:r w:rsidRPr="00E12AA2">
        <w:rPr>
          <w:szCs w:val="24"/>
          <w:vertAlign w:val="superscript"/>
        </w:rPr>
        <w:footnoteReference w:id="14"/>
      </w:r>
      <w:r w:rsidR="00D220B2" w:rsidRPr="00E12AA2">
        <w:t>; considerando que</w:t>
      </w:r>
      <w:r w:rsidRPr="00E12AA2">
        <w:t xml:space="preserve">, em países como Itália, a Eslováquia e a Roménia, uma grande maioria dos médicos se declara objetora de consciência, o que torna o acesso </w:t>
      </w:r>
      <w:r w:rsidRPr="00E12AA2">
        <w:rPr>
          <w:i/>
        </w:rPr>
        <w:t xml:space="preserve">de facto </w:t>
      </w:r>
      <w:r w:rsidRPr="00E12AA2">
        <w:t>aos cuidados de aborto extremamente difícil em algumas regiões</w:t>
      </w:r>
      <w:r w:rsidR="00D220B2" w:rsidRPr="00E12AA2">
        <w:t>; considerando que</w:t>
      </w:r>
      <w:r w:rsidRPr="00E12AA2">
        <w:t xml:space="preserve"> o acesso atempado e adequado aos cuidados de aborto está a ser negado noutros Estados-Membros, como na Croácia</w:t>
      </w:r>
      <w:r w:rsidRPr="00E12AA2">
        <w:rPr>
          <w:szCs w:val="24"/>
          <w:vertAlign w:val="superscript"/>
        </w:rPr>
        <w:footnoteReference w:id="15"/>
      </w:r>
      <w:r w:rsidRPr="00E12AA2">
        <w:t>, devido a obstáculos de ordem prática;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rPr>
          <w:snapToGrid w:val="0"/>
        </w:rPr>
        <w:t>U.</w:t>
      </w:r>
      <w:r w:rsidRPr="00E12AA2">
        <w:rPr>
          <w:snapToGrid w:val="0"/>
        </w:rPr>
        <w:tab/>
      </w:r>
      <w:r w:rsidRPr="00E12AA2">
        <w:t>Considerando que várias tentativas de despenalizar totalmente o aborto na Bélgica foram adiadas no Parlamento Federal belga;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rPr>
          <w:snapToGrid w:val="0"/>
        </w:rPr>
        <w:t>V.</w:t>
      </w:r>
      <w:r w:rsidRPr="00E12AA2">
        <w:rPr>
          <w:snapToGrid w:val="0"/>
        </w:rPr>
        <w:tab/>
      </w:r>
      <w:r w:rsidRPr="00E12AA2">
        <w:t>Considerando que, em alguns países, os procedimentos de aborto e o aconselhamento imparcial continuam a ser tabu e raramente fazem parte da formação médica obrigatória, o que resulta numa falta de conhecimentos e de prática entre os médicos em detrimento da saúde física e mental das pacientes;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rPr>
          <w:snapToGrid w:val="0"/>
        </w:rPr>
        <w:t>W.</w:t>
      </w:r>
      <w:r w:rsidRPr="00E12AA2">
        <w:rPr>
          <w:snapToGrid w:val="0"/>
        </w:rPr>
        <w:tab/>
      </w:r>
      <w:r w:rsidRPr="00E12AA2">
        <w:t>Considerando que a desinformação sobre o aborto, designadamente em linha, constitui um verdadeiro obstáculo à autonomia das mulheres</w:t>
      </w:r>
      <w:r w:rsidR="00D220B2" w:rsidRPr="00E12AA2">
        <w:t>; considerando que</w:t>
      </w:r>
      <w:r w:rsidRPr="00E12AA2">
        <w:t>, até há pouco tempo, na Alemanha, a disponibilização de informações nos sítios Web dos médicos sobre métodos de interrupção clínica da gravidez era considerada um incentivo ao aborto e era penalizada</w:t>
      </w:r>
      <w:r w:rsidR="00D220B2" w:rsidRPr="00E12AA2">
        <w:t>; considerando que</w:t>
      </w:r>
      <w:r w:rsidRPr="00E12AA2">
        <w:t xml:space="preserve"> a «proibição de publicitar o aborto» só foi levantada em julho de 2022;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lastRenderedPageBreak/>
        <w:t>X.</w:t>
      </w:r>
      <w:r w:rsidRPr="00E12AA2">
        <w:tab/>
        <w:t>Considerando que, em alguns Estados-Membros, o acesso aos cuidados de aborto foi negado a refugiadas ucranianas mesmo em casos de violência sexual, o que constitui uma grave violação dos seus direitos humanos e equivale a tortura e a tratamentos desumanos ou degradantes;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Y.</w:t>
      </w:r>
      <w:r w:rsidRPr="00E12AA2">
        <w:tab/>
        <w:t>Considerando que criminalizar, atrasar e negar o acesso à saúde e aos direitos sexuais e reprodutivos, em particular aos cuidados de aborto, constitui uma forma de violência baseada no género</w:t>
      </w:r>
      <w:r w:rsidR="00D220B2" w:rsidRPr="00E12AA2">
        <w:t>; considerando que</w:t>
      </w:r>
      <w:r w:rsidRPr="00E12AA2">
        <w:t xml:space="preserve"> estas restrições e proibições, ao invés de reduzirem o número de abortos, obrigam as pessoas a percorrer longas distâncias ou a recorrer a abortos de risco, o que também as deixa sujeitas a investigações e ações judiciais</w:t>
      </w:r>
      <w:r w:rsidR="00D220B2" w:rsidRPr="00E12AA2">
        <w:t>; considerando que</w:t>
      </w:r>
      <w:r w:rsidRPr="00E12AA2">
        <w:t xml:space="preserve"> estas restrições e proibições afetam as pessoas mais desprovidas de recursos e de informação</w:t>
      </w:r>
      <w:r w:rsidR="00D220B2" w:rsidRPr="00E12AA2">
        <w:t>; considerando que</w:t>
      </w:r>
      <w:r w:rsidRPr="00E12AA2">
        <w:t xml:space="preserve"> quase todas as mortes provocadas por abortos de risco acontecem em países em que as leis do aborto estão sujeitas a severas restrições</w:t>
      </w:r>
      <w:r w:rsidR="00D220B2" w:rsidRPr="00E12AA2">
        <w:t>; considerando que</w:t>
      </w:r>
      <w:r w:rsidRPr="00E12AA2">
        <w:t xml:space="preserve"> estas mortes são evitáveis</w:t>
      </w:r>
      <w:r w:rsidR="00D220B2" w:rsidRPr="00E12AA2">
        <w:t>; considerando que</w:t>
      </w:r>
      <w:r w:rsidRPr="00E12AA2">
        <w:t xml:space="preserve"> o aborto de risco é a principal causa, ainda que evitável, de morbilidade materna;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Z.</w:t>
      </w:r>
      <w:r w:rsidRPr="00E12AA2">
        <w:tab/>
        <w:t>Considerando que as pessoas e os grupos marginalizados, notadamente as minorias raciais, étnicas e religiosas, os migrantes, as pessoas oriundas de meios socioeconómicos desfavorecidos, as pessoas que vivem em zonas rurais, as pessoas com deficiência, os membros da comunidade LGBTIQ+ e as vítimas de violência, enfrentam amiúde obstáculos adicionais, discriminação intersetorial e violência no acesso aos cuidados de saúde</w:t>
      </w:r>
      <w:r w:rsidR="00D220B2" w:rsidRPr="00E12AA2">
        <w:t>; considerando que</w:t>
      </w:r>
      <w:r w:rsidRPr="00E12AA2">
        <w:t xml:space="preserve"> esta situação resulta de leis e políticas que permitem práticas coercivas no que toca aos cuidados de saúde sexual e reprodutiva e da incapacidade de garantir adaptações razoáveis no que concerne o acesso a cuidados e informações de qualidade;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1.</w:t>
      </w:r>
      <w:r w:rsidRPr="00E12AA2">
        <w:tab/>
        <w:t>Recorda, uma vez mais, que a saúde e os direitos sexuais e reprodutivos são direitos humanos fundamentais que devem ser protegidos e reforçados e que não podem, de forma alguma, ser enfraquecidos ou retirados;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2.</w:t>
      </w:r>
      <w:r w:rsidRPr="00E12AA2">
        <w:tab/>
        <w:t>Recorda o empenho da UE na promoção, na defesa e no exercício do direito de todas as pessoas, em particular de todas as mulheres e raparigas, a terem pleno controlo e autonomia sobre o seu corpo e poder de livre decisão sobre a sua sexualidade e os seus direitos sexuais e reprodutivos, sem discriminação, coerção e violência;</w:t>
      </w:r>
    </w:p>
    <w:p w:rsidR="000A2344" w:rsidRPr="00E12AA2" w:rsidRDefault="000A2344" w:rsidP="000A2344">
      <w:pPr>
        <w:pStyle w:val="NormalHanging12a"/>
        <w:rPr>
          <w:szCs w:val="24"/>
        </w:rPr>
      </w:pPr>
      <w:r w:rsidRPr="00E12AA2">
        <w:t>3.</w:t>
      </w:r>
      <w:r w:rsidRPr="00E12AA2">
        <w:tab/>
        <w:t>Insta o Conselho Europeu a dar início a uma Convenção para a revisão dos Tratados, tal como solicitado nas suas resoluções de 9 de junho de 2022 e de 22 de novembro de 2023, e a adotar a proposta incluída na sua resolução de 22 de novembro de 2023 no sentido de aditar à Carta os cuidados de saúde sexual e reprodutiva e o direito ao aborto seguro e legal e alterá-la do seguinte modo:</w:t>
      </w:r>
    </w:p>
    <w:tbl>
      <w:tblPr>
        <w:tblStyle w:val="1"/>
        <w:tblW w:w="9752" w:type="dxa"/>
        <w:jc w:val="center"/>
        <w:tblLayout w:type="fixed"/>
        <w:tblLook w:val="0000" w:firstRow="0" w:lastRow="0" w:firstColumn="0" w:lastColumn="0" w:noHBand="0" w:noVBand="0"/>
      </w:tblPr>
      <w:tblGrid>
        <w:gridCol w:w="9752"/>
      </w:tblGrid>
      <w:tr w:rsidR="000A2344" w:rsidRPr="00E12AA2" w:rsidTr="00D60360">
        <w:trPr>
          <w:jc w:val="center"/>
        </w:trPr>
        <w:tc>
          <w:tcPr>
            <w:tcW w:w="9752" w:type="dxa"/>
          </w:tcPr>
          <w:p w:rsidR="000A2344" w:rsidRPr="00E12AA2" w:rsidRDefault="000A2344" w:rsidP="00E12AA2">
            <w:pPr>
              <w:ind w:left="1440"/>
              <w:rPr>
                <w:rFonts w:ascii="Times New Roman" w:eastAsia="Times New Roman" w:hAnsi="Times New Roman" w:cs="Times New Roman"/>
                <w:szCs w:val="24"/>
              </w:rPr>
            </w:pPr>
            <w:r w:rsidRPr="00E12AA2">
              <w:rPr>
                <w:rFonts w:ascii="Times New Roman" w:hAnsi="Times New Roman"/>
              </w:rPr>
              <w:t>Artigo 3.º</w:t>
            </w:r>
          </w:p>
          <w:p w:rsidR="000A2344" w:rsidRPr="00E12AA2" w:rsidRDefault="000A2344" w:rsidP="00E12AA2">
            <w:pPr>
              <w:ind w:left="1440"/>
              <w:rPr>
                <w:rFonts w:ascii="Times New Roman" w:eastAsia="Times New Roman" w:hAnsi="Times New Roman" w:cs="Times New Roman"/>
                <w:szCs w:val="24"/>
              </w:rPr>
            </w:pPr>
            <w:r w:rsidRPr="00E12AA2">
              <w:rPr>
                <w:rFonts w:ascii="Times New Roman" w:hAnsi="Times New Roman"/>
              </w:rPr>
              <w:t xml:space="preserve">Direito à integridade do ser humano </w:t>
            </w:r>
            <w:r w:rsidRPr="00E12AA2">
              <w:rPr>
                <w:rFonts w:ascii="Times New Roman" w:hAnsi="Times New Roman"/>
                <w:b/>
              </w:rPr>
              <w:t>e à autonomia sobre o corpo</w:t>
            </w:r>
          </w:p>
          <w:p w:rsidR="000A2344" w:rsidRPr="00E12AA2" w:rsidRDefault="000A2344" w:rsidP="00E12AA2">
            <w:pPr>
              <w:ind w:left="1440"/>
              <w:rPr>
                <w:rFonts w:ascii="Times New Roman" w:eastAsia="Times New Roman" w:hAnsi="Times New Roman" w:cs="Times New Roman"/>
                <w:szCs w:val="24"/>
              </w:rPr>
            </w:pPr>
            <w:r w:rsidRPr="00E12AA2">
              <w:rPr>
                <w:rFonts w:ascii="Times New Roman" w:hAnsi="Times New Roman"/>
                <w:b/>
              </w:rPr>
              <w:t>2-A. Todas as pessoas têm direito à autonomia sobre o corpo, ao acesso gratuito, informado, pleno e universal à saúde e aos direitos sexuais e reprodutivos, e a todos os serviços de saúde conexos, sem discriminação, incluindo o acesso a um aborto seguro e legal</w:t>
            </w:r>
            <w:r w:rsidRPr="00E12AA2">
              <w:rPr>
                <w:rFonts w:ascii="Times New Roman" w:hAnsi="Times New Roman"/>
              </w:rPr>
              <w:t>;</w:t>
            </w:r>
          </w:p>
        </w:tc>
      </w:tr>
    </w:tbl>
    <w:p w:rsidR="000A2344" w:rsidRPr="00E12AA2" w:rsidRDefault="000A2344" w:rsidP="000A2344">
      <w:pPr>
        <w:pStyle w:val="NormalHanging12a"/>
      </w:pPr>
      <w:r w:rsidRPr="00E12AA2">
        <w:t>4.</w:t>
      </w:r>
      <w:r w:rsidRPr="00E12AA2">
        <w:tab/>
        <w:t xml:space="preserve">Condena com a maior firmeza o retrocesso no que toca aos direitos das mulheres e todas as tentativas regressivas de limitar ou eliminar as proteções existentes no atinente à </w:t>
      </w:r>
      <w:r w:rsidRPr="00E12AA2">
        <w:lastRenderedPageBreak/>
        <w:t>saúde e aos direitos sexuais e reprodutivos e à igualdade de género que se verificam à escala mundial, designadamente nos Estados-Membros da UE, assim como todas as formas de ameaças, intimidação e assédio dirigidas contra defensores dos direitos humanos e organizações da sociedade civil que trabalham para promover estes direitos;</w:t>
      </w:r>
    </w:p>
    <w:p w:rsidR="000A2344" w:rsidRPr="00E12AA2" w:rsidRDefault="000A2344" w:rsidP="000A2344">
      <w:pPr>
        <w:pStyle w:val="NormalHanging12a"/>
      </w:pPr>
      <w:r w:rsidRPr="00E12AA2">
        <w:t>5.</w:t>
      </w:r>
      <w:r w:rsidRPr="00E12AA2">
        <w:tab/>
        <w:t>Manifesta preocupação com o importante aumento do financiamento a favor de grupos antigénero e antiescolha no mundo, inclusive na UE; insta a Comissão a utilizar todos os instrumentos disponíveis para garantir que as organizações que atuam contra a igualdade de género e os direitos das mulheres, notadamente os direitos reprodutivos, não recebam financiamento da UE;</w:t>
      </w:r>
    </w:p>
    <w:p w:rsidR="000A2344" w:rsidRPr="00E12AA2" w:rsidRDefault="000A2344" w:rsidP="000A2344">
      <w:pPr>
        <w:pStyle w:val="NormalHanging12a"/>
      </w:pPr>
      <w:r w:rsidRPr="00E12AA2">
        <w:t>6.</w:t>
      </w:r>
      <w:r w:rsidRPr="00E12AA2">
        <w:tab/>
      </w:r>
      <w:r w:rsidRPr="00E12AA2">
        <w:rPr>
          <w:shd w:val="clear" w:color="auto" w:fill="FEFEFE"/>
        </w:rPr>
        <w:t xml:space="preserve">Exorta os Estados-Membros a despenalizarem totalmente o aborto, em conformidade com as orientações da OMS de 2022, e a eliminarem e combaterem os obstáculos ao aborto seguro e legal e ao acesso à saúde e aos direitos sexuais e reprodutivos; </w:t>
      </w:r>
      <w:r w:rsidRPr="00E12AA2">
        <w:t>insta a Polónia e Malta a revogarem as suas leis e outras medidas que impõem proibições e restrições ao aborto; exorta as autoridades polacas a darem prioridade aos esforços legislativos para garantir pleno acesso ao aborto seguro e legal o mais rapidamente possível; insta as autoridades maltesas a despenalizarem de imediato o aborto e a permitirem o acesso ao aborto seguro e legal, em conformidade com as orientações da OMS de 2022;</w:t>
      </w:r>
    </w:p>
    <w:p w:rsidR="000A2344" w:rsidRPr="00E12AA2" w:rsidRDefault="000A2344" w:rsidP="000A2344">
      <w:pPr>
        <w:pStyle w:val="NormalHanging12a"/>
      </w:pPr>
      <w:r w:rsidRPr="00E12AA2">
        <w:t>7.</w:t>
      </w:r>
      <w:r w:rsidRPr="00E12AA2">
        <w:tab/>
        <w:t>Insta os governos de todos os Estados-Membros a garantirem o acesso a cuidados de aborto seguros, legais e gratuitos, a serviços e materiais de cuidados pré-natais e maternos, ao planeamento familiar voluntário, à contraceção, a serviços adaptados aos jovens, bem como à prevenção, ao tratamento, aos cuidados e ao apoio em relação ao VIH, sem discriminação;</w:t>
      </w:r>
    </w:p>
    <w:p w:rsidR="000A2344" w:rsidRPr="00E12AA2" w:rsidRDefault="000A2344" w:rsidP="000A2344">
      <w:pPr>
        <w:pStyle w:val="NormalHanging12a"/>
        <w:rPr>
          <w:shd w:val="clear" w:color="auto" w:fill="FEFEFE"/>
        </w:rPr>
      </w:pPr>
      <w:r w:rsidRPr="00E12AA2">
        <w:t>8.</w:t>
      </w:r>
      <w:r w:rsidRPr="00E12AA2">
        <w:tab/>
        <w:t>Condena o facto de, em alguns Estados-Membros, o aborto ser negado por médicos e, em alguns casos, por instituições médicas inteiras, com base na «cláusula de consciência»;</w:t>
      </w:r>
      <w:r w:rsidRPr="00E12AA2">
        <w:rPr>
          <w:shd w:val="clear" w:color="auto" w:fill="FEFEFE"/>
        </w:rPr>
        <w:t xml:space="preserve"> lamenta que esta cláusula seja amiúde invocada em situações em que os atrasos põem em risco a vida ou a saúde das pacientes;</w:t>
      </w:r>
    </w:p>
    <w:p w:rsidR="000A2344" w:rsidRPr="00E12AA2" w:rsidRDefault="000A2344" w:rsidP="000A2344">
      <w:pPr>
        <w:pStyle w:val="NormalHanging12a"/>
      </w:pPr>
      <w:r w:rsidRPr="00E12AA2">
        <w:t>9.</w:t>
      </w:r>
      <w:r w:rsidRPr="00E12AA2">
        <w:tab/>
        <w:t>Solicita aos Estados-Membros que velem pelo acesso a todos os serviços relacionados com a saúde e os direitos sexuais e reprodutivos, o que inclui uma educação sobre sexualidade e relacionamentos abrangente, adequada à idade e baseada em dados concretos para todos, métodos e materiais contracetivos de elevada qualidade, acessíveis, seguros e gratuitos, e aconselhamento sobre planeamento familiar, prestando especial atenção às mulheres de cor, às mulheres ciganas, às mulheres idosas, às mulheres com níveis de instrução mais baixos, às pessoas LGBTIQ+, às mulheres com deficiência, às adolescentes, às mulheres migrantes, notadamente migrantes em situação irregular, e às mulheres solteiras;</w:t>
      </w:r>
    </w:p>
    <w:p w:rsidR="000A2344" w:rsidRPr="00E12AA2" w:rsidRDefault="000A2344" w:rsidP="000A2344">
      <w:pPr>
        <w:pStyle w:val="NormalHanging12a"/>
      </w:pPr>
      <w:r w:rsidRPr="00E12AA2">
        <w:t>10.</w:t>
      </w:r>
      <w:r w:rsidRPr="00E12AA2">
        <w:tab/>
        <w:t>Exorta os Estados-Membros e os governos locais a aumentarem as suas despesas com programas e os seus subsídios diretos às estruturas, incluindo os serviços de saúde e de planeamento familiar e outras organizações ativas neste domínio;</w:t>
      </w:r>
    </w:p>
    <w:p w:rsidR="000A2344" w:rsidRPr="00E12AA2" w:rsidRDefault="000A2344" w:rsidP="000A2344">
      <w:pPr>
        <w:pStyle w:val="NormalHanging12a"/>
      </w:pPr>
      <w:r w:rsidRPr="00E12AA2">
        <w:t>11.</w:t>
      </w:r>
      <w:r w:rsidRPr="00E12AA2">
        <w:tab/>
        <w:t>Insta os governos dos Estados-Membros a tornarem os métodos e procedimentos de aborto obrigatórios nos programas curriculares dos médicos e dos estudantes de medicina, mormente dos estudantes de ginecologia;</w:t>
      </w:r>
    </w:p>
    <w:p w:rsidR="000A2344" w:rsidRPr="00E12AA2" w:rsidRDefault="000A2344" w:rsidP="000A2344">
      <w:pPr>
        <w:pStyle w:val="NormalHanging12a"/>
      </w:pPr>
      <w:r w:rsidRPr="00E12AA2">
        <w:t>12.</w:t>
      </w:r>
      <w:r w:rsidRPr="00E12AA2">
        <w:tab/>
        <w:t xml:space="preserve">Exorta todos os Estados-Membros a eliminarem as restrições e os obstáculos jurídicos, </w:t>
      </w:r>
      <w:r w:rsidRPr="00E12AA2">
        <w:lastRenderedPageBreak/>
        <w:t>financeiros, sociais e práticos ao aborto, inclusive os que afetam desproporcionadamente as mulheres em situação de pobreza, em particular as mulheres racializadas, notadamente as mulheres negras e as pertencentes a minorias étnicas, e as mulheres de famílias monoparentais;</w:t>
      </w:r>
    </w:p>
    <w:p w:rsidR="000A2344" w:rsidRPr="00E12AA2" w:rsidRDefault="000A2344" w:rsidP="000A2344">
      <w:pPr>
        <w:pStyle w:val="NormalHanging12a"/>
      </w:pPr>
      <w:r w:rsidRPr="00E12AA2">
        <w:t>13.</w:t>
      </w:r>
      <w:r w:rsidRPr="00E12AA2">
        <w:tab/>
        <w:t>Reconhece a importância do papel das organizações da sociedade civil e dos defensores dos direitos humanos no domínio da saúde e dos direitos sexuais e reprodutivos enquanto prestadores de serviços e defensores da saúde e dos direitos sexuais e reprodutivos, e incentiva-os a prosseguirem o seu trabalho; apela à UE e aos Estados-Membros para que assegurem e apoiem politicamente um espaço cívico favorável na UE através de uma estratégia para a sociedade civil, no intuito de velar pela proteção das mulheres e dos defensores dos direitos humanos no domínio da saúde e dos direitos sexuais e reprodutivos através de um mecanismo de proteção dos defensores dos direitos humanos e para que os apoiem financeiramente, em particular através do programa Cidadãos, Igualdade, Direitos e Valores (CIDV); insta os Estados-Membros a melhorarem o acesso aos serviços de cuidados de saúde sexual e reprodutiva, inclusive de aborto, através do Programa UE pela Saúde;</w:t>
      </w:r>
    </w:p>
    <w:p w:rsidR="000A2344" w:rsidRPr="00E12AA2" w:rsidRDefault="000A2344" w:rsidP="000A2344">
      <w:pPr>
        <w:pStyle w:val="NormalHanging12a"/>
      </w:pPr>
      <w:r w:rsidRPr="00E12AA2">
        <w:t>14.</w:t>
      </w:r>
      <w:r w:rsidRPr="00E12AA2">
        <w:tab/>
        <w:t>Insta ainda a UE a agir como defensora e a fazer do reconhecimento deste direito uma prioridade fundamental nas negociações no seio das instituições internacionais e de outras instâncias multilaterais, como o Conselho da Europa e as Nações Unidas; exorta a UE a ratificar a Convenção Europeia dos Direitos Humanos;</w:t>
      </w:r>
    </w:p>
    <w:p w:rsidR="000A2344" w:rsidRPr="00E12AA2" w:rsidRDefault="000A2344" w:rsidP="00E12AA2">
      <w:pPr>
        <w:pStyle w:val="NormalHanging12a"/>
      </w:pPr>
      <w:r w:rsidRPr="00E12AA2">
        <w:t>15.</w:t>
      </w:r>
      <w:r w:rsidRPr="00E12AA2">
        <w:tab/>
      </w:r>
      <w:r w:rsidRPr="00E12AA2">
        <w:rPr>
          <w:shd w:val="clear" w:color="auto" w:fill="FEFEFE"/>
        </w:rPr>
        <w:t>Encarrega a sua Presidente de transmitir a presente resolução ao Conselho e à Comissão.</w:t>
      </w:r>
    </w:p>
    <w:p w:rsidR="00E365E1" w:rsidRPr="00E12AA2" w:rsidRDefault="00E365E1" w:rsidP="00F523D6">
      <w:bookmarkStart w:id="9" w:name="TextBodyEnd"/>
      <w:bookmarkEnd w:id="9"/>
    </w:p>
    <w:sectPr w:rsidR="00E365E1" w:rsidRPr="00E12AA2" w:rsidSect="004635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3D6" w:rsidRPr="00463513" w:rsidRDefault="00F523D6">
      <w:r w:rsidRPr="00463513">
        <w:separator/>
      </w:r>
    </w:p>
  </w:endnote>
  <w:endnote w:type="continuationSeparator" w:id="0">
    <w:p w:rsidR="00F523D6" w:rsidRPr="00463513" w:rsidRDefault="00F523D6">
      <w:r w:rsidRPr="004635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5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5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5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3D6" w:rsidRPr="00463513" w:rsidRDefault="00F523D6">
      <w:r w:rsidRPr="00463513">
        <w:separator/>
      </w:r>
    </w:p>
  </w:footnote>
  <w:footnote w:type="continuationSeparator" w:id="0">
    <w:p w:rsidR="00F523D6" w:rsidRPr="00463513" w:rsidRDefault="00F523D6">
      <w:r w:rsidRPr="00463513">
        <w:continuationSeparator/>
      </w:r>
    </w:p>
  </w:footnote>
  <w:footnote w:id="1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449 de 23.12.2020, p. 102.</w:t>
      </w:r>
    </w:p>
  </w:footnote>
  <w:footnote w:id="2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208 de 1.6.2021, p. 24.</w:t>
      </w:r>
    </w:p>
  </w:footnote>
  <w:footnote w:id="3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425 de 20.10.2021, p. 147.</w:t>
      </w:r>
    </w:p>
  </w:footnote>
  <w:footnote w:id="4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205 de 20.5.2022, p. 44</w:t>
      </w:r>
    </w:p>
  </w:footnote>
  <w:footnote w:id="5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81 de 18.2.2022, p. 43.</w:t>
      </w:r>
    </w:p>
  </w:footnote>
  <w:footnote w:id="6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465 de 6.12.2022, p. 155.</w:t>
      </w:r>
    </w:p>
  </w:footnote>
  <w:footnote w:id="7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493 de 27.12.2022, p. 120.</w:t>
      </w:r>
    </w:p>
  </w:footnote>
  <w:footnote w:id="8">
    <w:p w:rsidR="000A2344" w:rsidRPr="00E12AA2" w:rsidRDefault="000A2344" w:rsidP="00463513">
      <w:pPr>
        <w:pStyle w:val="FootnoteText"/>
        <w:ind w:left="567" w:hanging="567"/>
        <w:rPr>
          <w:sz w:val="24"/>
          <w:lang w:val="da-DK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E12AA2">
        <w:rPr>
          <w:sz w:val="24"/>
          <w:lang w:val="da-DK"/>
        </w:rPr>
        <w:t xml:space="preserve"> </w:t>
      </w:r>
      <w:r w:rsidR="00463513" w:rsidRPr="00E12AA2">
        <w:rPr>
          <w:sz w:val="24"/>
          <w:lang w:val="da-DK"/>
        </w:rPr>
        <w:tab/>
      </w:r>
      <w:r w:rsidRPr="00E12AA2">
        <w:rPr>
          <w:sz w:val="24"/>
          <w:lang w:val="da-DK"/>
        </w:rPr>
        <w:t>JO C 47 de 7.2.2023, p. 268.</w:t>
      </w:r>
    </w:p>
  </w:footnote>
  <w:footnote w:id="9">
    <w:p w:rsidR="000A2344" w:rsidRPr="00463513" w:rsidRDefault="000A2344" w:rsidP="00463513">
      <w:pPr>
        <w:pStyle w:val="FootnoteText"/>
        <w:ind w:left="567" w:hanging="567"/>
        <w:rPr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>Textos Aprovados, P9_TA(2023)0427.</w:t>
      </w:r>
    </w:p>
  </w:footnote>
  <w:footnote w:id="10">
    <w:p w:rsidR="000A2344" w:rsidRPr="00463513" w:rsidRDefault="000A2344" w:rsidP="00463513">
      <w:pPr>
        <w:pStyle w:val="FootnoteText"/>
        <w:ind w:left="567" w:hanging="567"/>
        <w:rPr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>Textos Aprovados, P9_TA(2024)0050.</w:t>
      </w:r>
    </w:p>
  </w:footnote>
  <w:footnote w:id="11">
    <w:p w:rsidR="000A2344" w:rsidRPr="00463513" w:rsidRDefault="000A2344" w:rsidP="00463513">
      <w:pPr>
        <w:pStyle w:val="FootnoteText"/>
        <w:ind w:left="567" w:hanging="567"/>
        <w:rPr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>Textos Aprovados, P9_TA(2024)0108.</w:t>
      </w:r>
    </w:p>
  </w:footnote>
  <w:footnote w:id="12">
    <w:p w:rsidR="000A2344" w:rsidRPr="00463513" w:rsidRDefault="000A2344" w:rsidP="00463513">
      <w:pPr>
        <w:pStyle w:val="FootnoteText"/>
        <w:ind w:left="567" w:hanging="567"/>
        <w:rPr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>Alto</w:t>
      </w:r>
      <w:r w:rsidRPr="00463513">
        <w:rPr>
          <w:sz w:val="24"/>
          <w:lang w:val="pt-PT"/>
        </w:rPr>
        <w:noBreakHyphen/>
        <w:t>Comissariado das Nações Unidas para os Direitos Humanos, «</w:t>
      </w:r>
      <w:hyperlink r:id="rId1" w:history="1">
        <w:r w:rsidRPr="00463513">
          <w:rPr>
            <w:rStyle w:val="Hyperlink"/>
            <w:sz w:val="24"/>
            <w:lang w:val="pt-PT"/>
          </w:rPr>
          <w:t>Information series on sexual and reproductive health and rights – abortion</w:t>
        </w:r>
      </w:hyperlink>
      <w:r w:rsidRPr="00463513">
        <w:rPr>
          <w:sz w:val="24"/>
          <w:lang w:val="pt-PT"/>
        </w:rPr>
        <w:t>» [Série de informações sobre saúde e direitos sexuais e reprodutivos – aborto], 2020.</w:t>
      </w:r>
    </w:p>
  </w:footnote>
  <w:footnote w:id="13">
    <w:p w:rsidR="000A2344" w:rsidRPr="00463513" w:rsidRDefault="000A2344" w:rsidP="00463513">
      <w:pPr>
        <w:pStyle w:val="FootnoteText"/>
        <w:ind w:left="567" w:hanging="567"/>
        <w:rPr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 xml:space="preserve">Acórdão do TEDH sobre o Tribunal Constitucional, Processo </w:t>
      </w:r>
      <w:r w:rsidRPr="00E12AA2">
        <w:rPr>
          <w:i/>
          <w:lang w:val="pt-PT"/>
        </w:rPr>
        <w:t>Xero Flor w Polsce sp. z o.o.</w:t>
      </w:r>
      <w:r w:rsidR="00D220B2" w:rsidRPr="00E12AA2">
        <w:rPr>
          <w:i/>
          <w:lang w:val="pt-PT"/>
        </w:rPr>
        <w:t>/</w:t>
      </w:r>
      <w:r w:rsidRPr="00E12AA2">
        <w:rPr>
          <w:i/>
          <w:lang w:val="pt-PT"/>
        </w:rPr>
        <w:t>Polónia</w:t>
      </w:r>
      <w:r w:rsidR="00D220B2">
        <w:rPr>
          <w:i/>
          <w:sz w:val="24"/>
          <w:lang w:val="pt-PT"/>
        </w:rPr>
        <w:t xml:space="preserve"> </w:t>
      </w:r>
      <w:r w:rsidRPr="00E12AA2">
        <w:rPr>
          <w:sz w:val="24"/>
          <w:lang w:val="pt-PT"/>
        </w:rPr>
        <w:t xml:space="preserve">(pedido n.º </w:t>
      </w:r>
      <w:r w:rsidR="00D220B2" w:rsidRPr="00E12AA2">
        <w:rPr>
          <w:lang w:val="pt-PT"/>
        </w:rPr>
        <w:t>4907/18</w:t>
      </w:r>
      <w:r w:rsidRPr="00E12AA2">
        <w:rPr>
          <w:sz w:val="24"/>
          <w:lang w:val="pt-PT"/>
        </w:rPr>
        <w:t>)</w:t>
      </w:r>
      <w:r w:rsidRPr="00463513">
        <w:rPr>
          <w:sz w:val="24"/>
          <w:lang w:val="pt-PT"/>
        </w:rPr>
        <w:t>,</w:t>
      </w:r>
      <w:r w:rsidRPr="00463513">
        <w:rPr>
          <w:i/>
          <w:sz w:val="24"/>
          <w:lang w:val="pt-PT"/>
        </w:rPr>
        <w:t xml:space="preserve"> </w:t>
      </w:r>
      <w:r w:rsidR="004764B2">
        <w:rPr>
          <w:sz w:val="24"/>
          <w:lang w:val="pt-PT"/>
        </w:rPr>
        <w:t>ver</w:t>
      </w:r>
      <w:r w:rsidR="004764B2" w:rsidRPr="00463513">
        <w:rPr>
          <w:sz w:val="24"/>
          <w:lang w:val="pt-PT"/>
        </w:rPr>
        <w:t xml:space="preserve"> </w:t>
      </w:r>
      <w:r w:rsidRPr="00463513">
        <w:rPr>
          <w:sz w:val="24"/>
          <w:lang w:val="pt-PT"/>
        </w:rPr>
        <w:t>o n.º 289.</w:t>
      </w:r>
    </w:p>
  </w:footnote>
  <w:footnote w:id="14">
    <w:p w:rsidR="000A2344" w:rsidRPr="00463513" w:rsidRDefault="000A2344" w:rsidP="00463513">
      <w:pPr>
        <w:pStyle w:val="FootnoteText"/>
        <w:ind w:left="567" w:hanging="567"/>
        <w:rPr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>Conselho da Europa, «</w:t>
      </w:r>
      <w:hyperlink r:id="rId2" w:history="1">
        <w:r w:rsidRPr="00463513">
          <w:rPr>
            <w:rStyle w:val="Hyperlink"/>
            <w:sz w:val="24"/>
            <w:lang w:val="pt-PT"/>
          </w:rPr>
          <w:t>Resolução CM/ResChS(2016)3 Confederazione Generale Italiana del Lavoro (CGIL) contra Itália, reclamação n.º 91/2013</w:t>
        </w:r>
      </w:hyperlink>
      <w:r w:rsidRPr="00463513">
        <w:rPr>
          <w:sz w:val="24"/>
          <w:lang w:val="pt-PT"/>
        </w:rPr>
        <w:t>», 2016; Parlamento Europeu, «</w:t>
      </w:r>
      <w:hyperlink r:id="rId3" w:history="1">
        <w:r w:rsidRPr="00463513">
          <w:rPr>
            <w:rStyle w:val="Hyperlink"/>
            <w:sz w:val="24"/>
            <w:lang w:val="pt-PT"/>
          </w:rPr>
          <w:t>Documento informativo: missão da Comissão FEMM a Itália, 17</w:t>
        </w:r>
        <w:r w:rsidRPr="00463513">
          <w:rPr>
            <w:rStyle w:val="Hyperlink"/>
            <w:sz w:val="24"/>
            <w:lang w:val="pt-PT"/>
          </w:rPr>
          <w:noBreakHyphen/>
          <w:t>19 de dezembro de 2018</w:t>
        </w:r>
      </w:hyperlink>
      <w:r w:rsidRPr="00463513">
        <w:rPr>
          <w:sz w:val="24"/>
          <w:lang w:val="pt-PT"/>
        </w:rPr>
        <w:t>», dezembro de 2018.</w:t>
      </w:r>
    </w:p>
  </w:footnote>
  <w:footnote w:id="15">
    <w:p w:rsidR="000A2344" w:rsidRPr="00463513" w:rsidRDefault="000A2344" w:rsidP="00463513">
      <w:pPr>
        <w:pStyle w:val="FootnoteText"/>
        <w:ind w:left="567" w:hanging="567"/>
        <w:rPr>
          <w:color w:val="000000"/>
          <w:sz w:val="24"/>
          <w:lang w:val="pt-PT"/>
        </w:rPr>
      </w:pPr>
      <w:r w:rsidRPr="00463513">
        <w:rPr>
          <w:rStyle w:val="FootnoteReference"/>
          <w:sz w:val="24"/>
          <w:lang w:val="pt-PT"/>
        </w:rPr>
        <w:footnoteRef/>
      </w:r>
      <w:r w:rsidR="00463513" w:rsidRPr="00463513">
        <w:rPr>
          <w:sz w:val="24"/>
          <w:lang w:val="pt-PT"/>
        </w:rPr>
        <w:t xml:space="preserve"> </w:t>
      </w:r>
      <w:r w:rsidR="00463513" w:rsidRPr="00463513">
        <w:rPr>
          <w:sz w:val="24"/>
          <w:lang w:val="pt-PT"/>
        </w:rPr>
        <w:tab/>
      </w:r>
      <w:r w:rsidRPr="00463513">
        <w:rPr>
          <w:sz w:val="24"/>
          <w:lang w:val="pt-PT"/>
        </w:rPr>
        <w:t>RODA, «</w:t>
      </w:r>
      <w:hyperlink r:id="rId4" w:history="1">
        <w:r w:rsidRPr="00463513">
          <w:rPr>
            <w:rStyle w:val="Hyperlink"/>
            <w:sz w:val="24"/>
            <w:lang w:val="pt-PT"/>
          </w:rPr>
          <w:t>Support for accessible, safe and legal termination of pregnancy in Croatia</w:t>
        </w:r>
      </w:hyperlink>
      <w:r w:rsidRPr="00463513">
        <w:rPr>
          <w:sz w:val="24"/>
          <w:lang w:val="pt-PT"/>
        </w:rPr>
        <w:t>» [Apoio à interrupção da gravidez acessível, segura e legal na Croácia], 6 de maio de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5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5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5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PT"/>
    <w:docVar w:name="dvnumam" w:val="0"/>
    <w:docVar w:name="dvpe" w:val="760.611"/>
    <w:docVar w:name="dvtitre" w:val="Resolução do Parlamento Europeu, de ... de ... de 2024, sobre a inclusão do direito ao aborto na Carta dos Direitos Fundamentais da UE(2024/2655(RSP))"/>
  </w:docVars>
  <w:rsids>
    <w:rsidRoot w:val="00F523D6"/>
    <w:rsid w:val="00002272"/>
    <w:rsid w:val="00064002"/>
    <w:rsid w:val="000677B9"/>
    <w:rsid w:val="000831BA"/>
    <w:rsid w:val="000A234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513"/>
    <w:rsid w:val="00471C19"/>
    <w:rsid w:val="004764B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7F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0B2"/>
    <w:rsid w:val="00D56C11"/>
    <w:rsid w:val="00D834A0"/>
    <w:rsid w:val="00D872DF"/>
    <w:rsid w:val="00D91E21"/>
    <w:rsid w:val="00DA7FCD"/>
    <w:rsid w:val="00E12AA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3D6"/>
    <w:rsid w:val="00F74202"/>
    <w:rsid w:val="00F87713"/>
    <w:rsid w:val="00FA75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8B900-9B15-4A31-80F9-87A74AC3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2344"/>
    <w:pPr>
      <w:spacing w:before="480" w:after="240"/>
    </w:pPr>
  </w:style>
  <w:style w:type="paragraph" w:customStyle="1" w:styleId="NormalHanging12a">
    <w:name w:val="NormalHanging12a"/>
    <w:basedOn w:val="Normal"/>
    <w:rsid w:val="000A2344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0A2344"/>
  </w:style>
  <w:style w:type="table" w:customStyle="1" w:styleId="1">
    <w:name w:val="1"/>
    <w:basedOn w:val="TableNormal"/>
    <w:rsid w:val="000A2344"/>
    <w:pPr>
      <w:spacing w:after="160" w:line="259" w:lineRule="auto"/>
    </w:pPr>
    <w:rPr>
      <w:rFonts w:ascii="Calibri" w:eastAsia="Calibri" w:hAnsi="Calibri" w:cs="Calibri"/>
      <w:sz w:val="22"/>
      <w:szCs w:val="22"/>
      <w:lang w:val="pt-PT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0A2344"/>
    <w:rPr>
      <w:color w:val="0000FF"/>
      <w:u w:val="single"/>
    </w:rPr>
  </w:style>
  <w:style w:type="character" w:styleId="FollowedHyperlink">
    <w:name w:val="FollowedHyperlink"/>
    <w:basedOn w:val="DefaultParagraphFont"/>
    <w:rsid w:val="00D220B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D220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20B2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efreg.ep.parl.union.eu/RegData/etudes/BRIE/2018/608853/IPOL_BRI(2018)608853_EN.pdf" TargetMode="External"/><Relationship Id="rId2" Type="http://schemas.openxmlformats.org/officeDocument/2006/relationships/hyperlink" Target="https://search.coe.int/cm/Pages/result_details.aspx?ObjectId=0900001680687bdc" TargetMode="External"/><Relationship Id="rId1" Type="http://schemas.openxmlformats.org/officeDocument/2006/relationships/hyperlink" Target="https://www.ohchr.org/sites/default/files/Documents/Issues/Women/WRGS/SexualHealth/INFO_Abortion_WEB.pdf" TargetMode="External"/><Relationship Id="rId4" Type="http://schemas.openxmlformats.org/officeDocument/2006/relationships/hyperlink" Target="https://www.roda.hr/en/news/support-for-accessible-safe-and-legal-termination-of-pregnancy-in-croat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F7F76-3400-4C01-BBE1-7CC08F000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3890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2024-04-11T16:05:00Z</dcterms:created>
  <dcterms:modified xsi:type="dcterms:W3CDTF">2024-04-11T16:05:00Z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