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A225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A2250" w:rsidRDefault="00D52B4B" w:rsidP="0010095E">
            <w:pPr>
              <w:pStyle w:val="EPName"/>
            </w:pPr>
            <w:bookmarkStart w:id="0" w:name="_GoBack"/>
            <w:bookmarkEnd w:id="0"/>
            <w:r w:rsidRPr="00EA2250">
              <w:t>Európsky parlament</w:t>
            </w:r>
          </w:p>
          <w:p w:rsidR="00751A4A" w:rsidRPr="00EA225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A225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A2250" w:rsidRDefault="00187494" w:rsidP="0010095E">
            <w:pPr>
              <w:pStyle w:val="EPLogo"/>
            </w:pPr>
            <w:r w:rsidRPr="00EA225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A2250" w:rsidRDefault="00D058B8" w:rsidP="004C5D52">
      <w:pPr>
        <w:pStyle w:val="LineTop"/>
      </w:pPr>
    </w:p>
    <w:p w:rsidR="00680577" w:rsidRPr="00EA2250" w:rsidRDefault="00D52B4B" w:rsidP="00680577">
      <w:pPr>
        <w:pStyle w:val="EPBodyTA1"/>
      </w:pPr>
      <w:r w:rsidRPr="00EA2250">
        <w:t>PRIJATÉ TEXTY</w:t>
      </w:r>
    </w:p>
    <w:p w:rsidR="00D058B8" w:rsidRPr="00EA2250" w:rsidRDefault="00D058B8" w:rsidP="00D058B8">
      <w:pPr>
        <w:pStyle w:val="LineBottom"/>
      </w:pPr>
    </w:p>
    <w:p w:rsidR="00D52B4B" w:rsidRPr="00EA2250" w:rsidRDefault="00D52B4B" w:rsidP="00D52B4B">
      <w:pPr>
        <w:pStyle w:val="ATHeading1"/>
      </w:pPr>
      <w:bookmarkStart w:id="1" w:name="TANumber"/>
      <w:r w:rsidRPr="00EA2250">
        <w:t>P9_TA(2024)0</w:t>
      </w:r>
      <w:r w:rsidR="00FA6677" w:rsidRPr="00EA2250">
        <w:t>286</w:t>
      </w:r>
      <w:bookmarkEnd w:id="1"/>
    </w:p>
    <w:p w:rsidR="00D52B4B" w:rsidRPr="00EA2250" w:rsidRDefault="00D52B4B" w:rsidP="00D52B4B">
      <w:pPr>
        <w:pStyle w:val="ATHeading2"/>
      </w:pPr>
      <w:bookmarkStart w:id="2" w:name="title"/>
      <w:r w:rsidRPr="00EA2250">
        <w:t>Začlenenie práva na umelé prerušenie tehotenstva do Charty základných práv EÚ</w:t>
      </w:r>
      <w:bookmarkEnd w:id="2"/>
    </w:p>
    <w:p w:rsidR="00D52B4B" w:rsidRPr="00EA2250" w:rsidRDefault="00D52B4B" w:rsidP="00D52B4B">
      <w:pPr>
        <w:rPr>
          <w:i/>
          <w:vanish/>
        </w:rPr>
      </w:pPr>
      <w:r w:rsidRPr="00EA2250">
        <w:rPr>
          <w:i/>
        </w:rPr>
        <w:fldChar w:fldCharType="begin"/>
      </w:r>
      <w:r w:rsidRPr="00EA2250">
        <w:rPr>
          <w:i/>
        </w:rPr>
        <w:instrText xml:space="preserve"> TC"(</w:instrText>
      </w:r>
      <w:bookmarkStart w:id="3" w:name="DocNumber"/>
      <w:r w:rsidRPr="00EA2250">
        <w:rPr>
          <w:i/>
        </w:rPr>
        <w:instrText>B9-0205/2024</w:instrText>
      </w:r>
      <w:bookmarkEnd w:id="3"/>
      <w:r w:rsidRPr="00EA2250">
        <w:rPr>
          <w:i/>
        </w:rPr>
        <w:instrText xml:space="preserve">)"\l3 \n&gt; \* MERGEFORMAT </w:instrText>
      </w:r>
      <w:r w:rsidRPr="00EA2250">
        <w:rPr>
          <w:i/>
        </w:rPr>
        <w:fldChar w:fldCharType="end"/>
      </w:r>
    </w:p>
    <w:p w:rsidR="00D52B4B" w:rsidRPr="00EA2250" w:rsidRDefault="00D52B4B" w:rsidP="00D52B4B">
      <w:pPr>
        <w:rPr>
          <w:vanish/>
        </w:rPr>
      </w:pPr>
      <w:bookmarkStart w:id="4" w:name="PE"/>
      <w:r w:rsidRPr="00EA2250">
        <w:rPr>
          <w:vanish/>
        </w:rPr>
        <w:t>PE760.611</w:t>
      </w:r>
      <w:bookmarkEnd w:id="4"/>
    </w:p>
    <w:p w:rsidR="00D52B4B" w:rsidRPr="00EA2250" w:rsidRDefault="00D52B4B" w:rsidP="00D52B4B">
      <w:pPr>
        <w:pStyle w:val="ATHeading3"/>
      </w:pPr>
      <w:bookmarkStart w:id="5" w:name="Sujet"/>
      <w:r w:rsidRPr="00EA2250">
        <w:t>Uznesenie Európskeho parlamentu z</w:t>
      </w:r>
      <w:r w:rsidR="00CF182C" w:rsidRPr="00EA2250">
        <w:t> </w:t>
      </w:r>
      <w:r w:rsidR="007000C4" w:rsidRPr="00EA2250">
        <w:t>11</w:t>
      </w:r>
      <w:r w:rsidRPr="00EA2250">
        <w:t>. apríla 2024 o začlenení práva na umelé prerušenie tehotenstva do Charty základných práv EÚ</w:t>
      </w:r>
      <w:bookmarkEnd w:id="5"/>
      <w:r w:rsidRPr="00EA2250">
        <w:t xml:space="preserve"> </w:t>
      </w:r>
      <w:bookmarkStart w:id="6" w:name="References"/>
      <w:r w:rsidRPr="00EA2250">
        <w:t>(2024/2655(RSP))</w:t>
      </w:r>
      <w:bookmarkEnd w:id="6"/>
    </w:p>
    <w:p w:rsidR="00C76A00" w:rsidRPr="00EA2250" w:rsidRDefault="00C76A00" w:rsidP="00C76A00">
      <w:pPr>
        <w:pStyle w:val="EPComma"/>
      </w:pPr>
      <w:bookmarkStart w:id="7" w:name="TextBodyBegin"/>
      <w:bookmarkEnd w:id="7"/>
      <w:r w:rsidRPr="00EA2250">
        <w:rPr>
          <w:i/>
        </w:rPr>
        <w:t>Európsky parlament</w:t>
      </w:r>
      <w:r w:rsidRPr="00EA2250">
        <w:t>,</w:t>
      </w:r>
    </w:p>
    <w:p w:rsidR="00C76A00" w:rsidRPr="00EA2250" w:rsidRDefault="00C76A00" w:rsidP="00C76A00">
      <w:pPr>
        <w:pStyle w:val="NormalHanging12a"/>
      </w:pPr>
      <w:r w:rsidRPr="00EA2250">
        <w:t>–</w:t>
      </w:r>
      <w:r w:rsidRPr="00EA2250">
        <w:tab/>
        <w:t>so zreteľom na Európsky dohovor o ľudských právach z roku 1950,</w:t>
      </w:r>
    </w:p>
    <w:p w:rsidR="00C76A00" w:rsidRPr="00EA2250" w:rsidRDefault="00C76A00" w:rsidP="00C76A00">
      <w:pPr>
        <w:pStyle w:val="NormalHanging12a"/>
      </w:pPr>
      <w:r w:rsidRPr="00EA2250">
        <w:t>–</w:t>
      </w:r>
      <w:r w:rsidRPr="00EA2250">
        <w:tab/>
        <w:t>so zreteľom na Dohovor o odstránení všetkých foriem diskriminácie žien z roku 1979,</w:t>
      </w:r>
    </w:p>
    <w:p w:rsidR="00C76A00" w:rsidRPr="00EA2250" w:rsidRDefault="00C76A00" w:rsidP="00C76A00">
      <w:pPr>
        <w:pStyle w:val="NormalHanging12a"/>
      </w:pPr>
      <w:r w:rsidRPr="00EA2250">
        <w:t>–</w:t>
      </w:r>
      <w:r w:rsidRPr="00EA2250">
        <w:tab/>
        <w:t>so zreteľom na Chartu základných práv Európskej únie (ďalej len „charta“) z roku 2000,</w:t>
      </w:r>
    </w:p>
    <w:p w:rsidR="00C76A00" w:rsidRPr="00EA2250" w:rsidRDefault="00C76A00" w:rsidP="00C76A00">
      <w:pPr>
        <w:pStyle w:val="NormalHanging12a"/>
      </w:pPr>
      <w:r w:rsidRPr="00EA2250">
        <w:t>–</w:t>
      </w:r>
      <w:r w:rsidRPr="00EA2250">
        <w:tab/>
        <w:t>so zreteľom na svoje uznesenie z 13. februára 2019 o odmietavom postoji k právam žien a rodovej rovnosti zaznamenanom v EÚ</w:t>
      </w:r>
      <w:r w:rsidRPr="00EA2250">
        <w:rPr>
          <w:rStyle w:val="FootnoteReference"/>
        </w:rPr>
        <w:footnoteReference w:id="1"/>
      </w:r>
      <w:r w:rsidRPr="00EA2250">
        <w:t>,</w:t>
      </w:r>
    </w:p>
    <w:p w:rsidR="00C76A00" w:rsidRPr="00EA2250" w:rsidRDefault="00C76A00" w:rsidP="00C76A00">
      <w:pPr>
        <w:pStyle w:val="NormalHanging12a"/>
      </w:pPr>
      <w:r w:rsidRPr="00EA2250">
        <w:t>–</w:t>
      </w:r>
      <w:r w:rsidRPr="00EA2250">
        <w:tab/>
        <w:t xml:space="preserve">so zreteľom na svoje uznesenie zo 14. novembra 2019 o </w:t>
      </w:r>
      <w:proofErr w:type="spellStart"/>
      <w:r w:rsidRPr="00EA2250">
        <w:t>kriminalizácii</w:t>
      </w:r>
      <w:proofErr w:type="spellEnd"/>
      <w:r w:rsidRPr="00EA2250">
        <w:t xml:space="preserve"> sexuálnej výchovy v Poľsku</w:t>
      </w:r>
      <w:r w:rsidRPr="00EA2250">
        <w:rPr>
          <w:rStyle w:val="FootnoteReference"/>
        </w:rPr>
        <w:footnoteReference w:id="2"/>
      </w:r>
      <w:r w:rsidRPr="00EA2250">
        <w:t>,</w:t>
      </w:r>
    </w:p>
    <w:p w:rsidR="00C76A00" w:rsidRPr="00EA2250" w:rsidRDefault="00C76A00" w:rsidP="00C76A00">
      <w:pPr>
        <w:pStyle w:val="NormalHanging12a"/>
      </w:pPr>
      <w:r w:rsidRPr="00EA2250">
        <w:t>–</w:t>
      </w:r>
      <w:r w:rsidRPr="00EA2250">
        <w:tab/>
        <w:t xml:space="preserve">so zreteľom na svoje uznesenie z 26. novembra 2020 o </w:t>
      </w:r>
      <w:r w:rsidRPr="00EA2250">
        <w:rPr>
          <w:iCs/>
        </w:rPr>
        <w:t xml:space="preserve">de </w:t>
      </w:r>
      <w:proofErr w:type="spellStart"/>
      <w:r w:rsidRPr="00EA2250">
        <w:rPr>
          <w:iCs/>
        </w:rPr>
        <w:t>facto</w:t>
      </w:r>
      <w:proofErr w:type="spellEnd"/>
      <w:r w:rsidRPr="00EA2250">
        <w:t xml:space="preserve"> zákaze práva na umelé prerušenie tehotenstva v Poľsku</w:t>
      </w:r>
      <w:r w:rsidRPr="00EA2250">
        <w:rPr>
          <w:rStyle w:val="FootnoteReference"/>
        </w:rPr>
        <w:footnoteReference w:id="3"/>
      </w:r>
      <w:r w:rsidRPr="00EA2250">
        <w:t>,</w:t>
      </w:r>
    </w:p>
    <w:p w:rsidR="00C76A00" w:rsidRPr="00EA2250" w:rsidRDefault="00C76A00" w:rsidP="00C76A00">
      <w:pPr>
        <w:pStyle w:val="NormalHanging12a"/>
      </w:pPr>
      <w:r w:rsidRPr="00EA2250">
        <w:t>–</w:t>
      </w:r>
      <w:r w:rsidRPr="00EA2250">
        <w:tab/>
        <w:t>so zreteľom na svoje uznesenie z 11. novembra 2021 k prvému výročiu faktického zákazu umelého prerušenia tehotenstva v Poľsku</w:t>
      </w:r>
      <w:r w:rsidRPr="00EA2250">
        <w:rPr>
          <w:rStyle w:val="FootnoteReference"/>
        </w:rPr>
        <w:footnoteReference w:id="4"/>
      </w:r>
      <w:r w:rsidRPr="00EA2250">
        <w:t>,</w:t>
      </w:r>
    </w:p>
    <w:p w:rsidR="00C76A00" w:rsidRPr="00EA2250" w:rsidRDefault="00C76A00" w:rsidP="00C76A00">
      <w:pPr>
        <w:pStyle w:val="NormalHanging12a"/>
      </w:pPr>
      <w:r w:rsidRPr="00EA2250">
        <w:t>–</w:t>
      </w:r>
      <w:r w:rsidRPr="00EA2250">
        <w:tab/>
        <w:t>so zreteľom na svoje uznesenie z 24. júna 2021 o situácii v oblasti sexuálneho a reprodukčného zdravia a práv v EÚ v rámci zdravia žien</w:t>
      </w:r>
      <w:r w:rsidRPr="00EA2250">
        <w:rPr>
          <w:rStyle w:val="FootnoteReference"/>
        </w:rPr>
        <w:footnoteReference w:id="5"/>
      </w:r>
      <w:r w:rsidRPr="00EA2250">
        <w:t>,</w:t>
      </w:r>
    </w:p>
    <w:p w:rsidR="00C76A00" w:rsidRPr="00EA2250" w:rsidRDefault="00C76A00" w:rsidP="00C76A00">
      <w:pPr>
        <w:pStyle w:val="NormalHanging12a"/>
      </w:pPr>
      <w:r w:rsidRPr="00EA2250">
        <w:t>–</w:t>
      </w:r>
      <w:r w:rsidRPr="00EA2250">
        <w:tab/>
        <w:t>so zreteľom na svoje uznesenie z 5. mája 2022 o vplyve vojny proti Ukrajine na ženy</w:t>
      </w:r>
      <w:r w:rsidRPr="00EA2250">
        <w:rPr>
          <w:rStyle w:val="FootnoteReference"/>
        </w:rPr>
        <w:footnoteReference w:id="6"/>
      </w:r>
      <w:r w:rsidRPr="00EA2250">
        <w:t>,</w:t>
      </w:r>
    </w:p>
    <w:p w:rsidR="00C76A00" w:rsidRPr="00EA2250" w:rsidRDefault="00C76A00" w:rsidP="00C76A00">
      <w:pPr>
        <w:pStyle w:val="NormalHanging12a"/>
      </w:pPr>
      <w:r w:rsidRPr="00EA2250">
        <w:lastRenderedPageBreak/>
        <w:t>–</w:t>
      </w:r>
      <w:r w:rsidRPr="00EA2250">
        <w:tab/>
        <w:t>so zreteľom na svoje uznesenie z 9. júna 2022 o globálnych hrozbách pre práva na umelé prerušenie tehotenstva: možné zrušenie práv na umelé prerušenie tehotenstva v USA Najvyšším súdom</w:t>
      </w:r>
      <w:r w:rsidRPr="00EA2250">
        <w:rPr>
          <w:rStyle w:val="FootnoteReference"/>
        </w:rPr>
        <w:footnoteReference w:id="7"/>
      </w:r>
      <w:r w:rsidRPr="00EA2250">
        <w:t>,</w:t>
      </w:r>
    </w:p>
    <w:p w:rsidR="00C76A00" w:rsidRPr="00EA2250" w:rsidRDefault="00C76A00" w:rsidP="00C76A00">
      <w:pPr>
        <w:pStyle w:val="NormalHanging12a"/>
      </w:pPr>
      <w:r w:rsidRPr="00EA2250">
        <w:t>–</w:t>
      </w:r>
      <w:r w:rsidRPr="00EA2250">
        <w:tab/>
        <w:t>so zreteľom na svoje uznesenie zo 7. júla 2022 o rozhodnutí Najvyššieho súdu USA zrušiť práva na umelé prerušenie tehotenstva v Spojených štátoch amerických a potrebe chrániť tieto práva a zdravie žien v EÚ</w:t>
      </w:r>
      <w:r w:rsidRPr="00EA2250">
        <w:rPr>
          <w:rStyle w:val="FootnoteReference"/>
        </w:rPr>
        <w:footnoteReference w:id="8"/>
      </w:r>
      <w:r w:rsidRPr="00EA2250">
        <w:t>,</w:t>
      </w:r>
    </w:p>
    <w:p w:rsidR="00C76A00" w:rsidRPr="00EA2250" w:rsidRDefault="00C76A00" w:rsidP="00C76A00">
      <w:pPr>
        <w:pStyle w:val="NormalHanging12a"/>
      </w:pPr>
      <w:r w:rsidRPr="00EA2250">
        <w:t>–</w:t>
      </w:r>
      <w:r w:rsidRPr="00EA2250">
        <w:tab/>
        <w:t>so zreteľom na svoje uznesenie z 22. novembra 2023 o návrhoch Európskeho parlamentu na zmenu zmlúv</w:t>
      </w:r>
      <w:r w:rsidRPr="00EA2250">
        <w:rPr>
          <w:rStyle w:val="FootnoteReference"/>
        </w:rPr>
        <w:footnoteReference w:id="9"/>
      </w:r>
      <w:r w:rsidRPr="00EA2250">
        <w:t>,</w:t>
      </w:r>
    </w:p>
    <w:p w:rsidR="00C76A00" w:rsidRPr="00EA2250" w:rsidRDefault="00C76A00" w:rsidP="00C76A00">
      <w:pPr>
        <w:pStyle w:val="NormalHanging12a"/>
      </w:pPr>
      <w:r w:rsidRPr="00EA2250">
        <w:t>–</w:t>
      </w:r>
      <w:r w:rsidRPr="00EA2250">
        <w:tab/>
        <w:t>so zreteľom na usmernenia WHO s názvom „</w:t>
      </w:r>
      <w:proofErr w:type="spellStart"/>
      <w:r w:rsidRPr="00EA2250">
        <w:t>Safe</w:t>
      </w:r>
      <w:proofErr w:type="spellEnd"/>
      <w:r w:rsidRPr="00EA2250">
        <w:t xml:space="preserve"> </w:t>
      </w:r>
      <w:proofErr w:type="spellStart"/>
      <w:r w:rsidRPr="00EA2250">
        <w:t>abortion</w:t>
      </w:r>
      <w:proofErr w:type="spellEnd"/>
      <w:r w:rsidRPr="00EA2250">
        <w:t xml:space="preserve">: </w:t>
      </w:r>
      <w:proofErr w:type="spellStart"/>
      <w:r w:rsidRPr="00EA2250">
        <w:t>technical</w:t>
      </w:r>
      <w:proofErr w:type="spellEnd"/>
      <w:r w:rsidRPr="00EA2250">
        <w:t xml:space="preserve"> and </w:t>
      </w:r>
      <w:proofErr w:type="spellStart"/>
      <w:r w:rsidRPr="00EA2250">
        <w:t>policy</w:t>
      </w:r>
      <w:proofErr w:type="spellEnd"/>
      <w:r w:rsidRPr="00EA2250">
        <w:t xml:space="preserve"> </w:t>
      </w:r>
      <w:proofErr w:type="spellStart"/>
      <w:r w:rsidRPr="00EA2250">
        <w:t>guidance</w:t>
      </w:r>
      <w:proofErr w:type="spellEnd"/>
      <w:r w:rsidRPr="00EA2250">
        <w:t xml:space="preserve"> </w:t>
      </w:r>
      <w:proofErr w:type="spellStart"/>
      <w:r w:rsidRPr="00EA2250">
        <w:t>for</w:t>
      </w:r>
      <w:proofErr w:type="spellEnd"/>
      <w:r w:rsidRPr="00EA2250">
        <w:t xml:space="preserve"> </w:t>
      </w:r>
      <w:proofErr w:type="spellStart"/>
      <w:r w:rsidRPr="00EA2250">
        <w:t>health</w:t>
      </w:r>
      <w:proofErr w:type="spellEnd"/>
      <w:r w:rsidRPr="00EA2250">
        <w:t xml:space="preserve"> </w:t>
      </w:r>
      <w:proofErr w:type="spellStart"/>
      <w:r w:rsidRPr="00EA2250">
        <w:t>systems</w:t>
      </w:r>
      <w:proofErr w:type="spellEnd"/>
      <w:r w:rsidRPr="00EA2250">
        <w:t>“ (Bezpečné umelé prerušenie tehotenstva: technické a politické usmernenia pre zdravotnícke systémy),</w:t>
      </w:r>
    </w:p>
    <w:p w:rsidR="00C76A00" w:rsidRPr="00EA2250" w:rsidRDefault="00C76A00" w:rsidP="00C76A00">
      <w:pPr>
        <w:pStyle w:val="NormalHanging12a"/>
      </w:pPr>
      <w:r w:rsidRPr="00EA2250">
        <w:t>–</w:t>
      </w:r>
      <w:r w:rsidRPr="00EA2250">
        <w:tab/>
        <w:t>so zreteľom na stratégiu WHO na roky 2017 – 2021 v oblasti zdravia a dobrých podmienok žien v Európe: nielen vyššia priemerná dĺžka života a na akčný plán pre sexuálne a reprodukčné zdravie na rok 2016: podpora plnenia Agendy 2030 pre udržateľný rozvoj v Európe – na nikoho nezabudnúť (2016),</w:t>
      </w:r>
    </w:p>
    <w:p w:rsidR="00C76A00" w:rsidRPr="00EA2250" w:rsidRDefault="00C76A00" w:rsidP="00C76A00">
      <w:pPr>
        <w:pStyle w:val="NormalHanging12a"/>
      </w:pPr>
      <w:r w:rsidRPr="00EA2250">
        <w:t>–</w:t>
      </w:r>
      <w:r w:rsidRPr="00EA2250">
        <w:tab/>
        <w:t>so zreteľom na oznámenie Komisie z 5. marca 2020 s názvom „Únia rovnosti: stratégia pre rodovú rovnosť na roky 2020 – 2025“ (COM(2020)0152),</w:t>
      </w:r>
    </w:p>
    <w:p w:rsidR="00C76A00" w:rsidRPr="00EA2250" w:rsidRDefault="00C76A00" w:rsidP="00C76A00">
      <w:pPr>
        <w:pStyle w:val="NormalHanging12a"/>
      </w:pPr>
      <w:r w:rsidRPr="00EA2250">
        <w:t>–</w:t>
      </w:r>
      <w:r w:rsidRPr="00EA2250">
        <w:tab/>
        <w:t>so zreteľom na oznámenie Komisie z 12. novembra 2020 s názvom „Únia rovnosti: stratégia pre rovnosť LGBTIQ osôb na roky 2020 – 2025“ (COM(2020)0698),</w:t>
      </w:r>
    </w:p>
    <w:p w:rsidR="00C76A00" w:rsidRPr="00EA2250" w:rsidRDefault="00C76A00" w:rsidP="00C76A00">
      <w:pPr>
        <w:pStyle w:val="NormalHanging12a"/>
      </w:pPr>
      <w:r w:rsidRPr="00EA2250">
        <w:t>–</w:t>
      </w:r>
      <w:r w:rsidRPr="00EA2250">
        <w:tab/>
        <w:t>so zreteľom na Všeobecnú deklaráciu ľudských práv,</w:t>
      </w:r>
    </w:p>
    <w:p w:rsidR="00C76A00" w:rsidRPr="00EA2250" w:rsidRDefault="00C76A00" w:rsidP="00C76A00">
      <w:pPr>
        <w:pStyle w:val="NormalHanging12a"/>
      </w:pPr>
      <w:r w:rsidRPr="00EA2250">
        <w:t>–</w:t>
      </w:r>
      <w:r w:rsidRPr="00EA2250">
        <w:tab/>
        <w:t>so zreteľom na Európsky dohovor o ľudských právach (EDĽP) a judikatúru Európskeho súdu pre ľudské práva,</w:t>
      </w:r>
    </w:p>
    <w:p w:rsidR="00C76A00" w:rsidRPr="00EA2250" w:rsidRDefault="00C76A00" w:rsidP="00C76A00">
      <w:pPr>
        <w:pStyle w:val="NormalHanging12a"/>
      </w:pPr>
      <w:r w:rsidRPr="00EA2250">
        <w:t>–</w:t>
      </w:r>
      <w:r w:rsidRPr="00EA2250">
        <w:tab/>
        <w:t>so zreteľom na Dohovor Rady Európy o predchádzaní násiliu na ženách a domácemu násiliu a o boji proti nemu, ktorý bol otvorený na podpis 11. mája 2011 v Istanbule („Istanbulský dohovor“) a ktorý EÚ ratifikovala 28. júna 2023,</w:t>
      </w:r>
    </w:p>
    <w:p w:rsidR="00C76A00" w:rsidRPr="00EA2250" w:rsidRDefault="00C76A00" w:rsidP="00C76A00">
      <w:pPr>
        <w:pStyle w:val="NormalHanging12a"/>
      </w:pPr>
      <w:r w:rsidRPr="00EA2250">
        <w:t>–</w:t>
      </w:r>
      <w:r w:rsidRPr="00EA2250">
        <w:tab/>
        <w:t>so zreteľom na všeobecnú pripomienku č. 36 Výboru OSN pre ľudské práva (2018) k článku 6 Medzinárodného paktu o občianskych a politických právach o práve na život,</w:t>
      </w:r>
    </w:p>
    <w:p w:rsidR="00C76A00" w:rsidRPr="00EA2250" w:rsidRDefault="00C76A00" w:rsidP="00C76A00">
      <w:pPr>
        <w:pStyle w:val="NormalHanging12a"/>
      </w:pPr>
      <w:r w:rsidRPr="00EA2250">
        <w:t>–</w:t>
      </w:r>
      <w:r w:rsidRPr="00EA2250">
        <w:tab/>
        <w:t>so zreteľom na svoje uznesenie z 18. januára 2024 o situácii v oblasti základných práv v Európskej únii – výročná správa za roky 2022 a 2023</w:t>
      </w:r>
      <w:r w:rsidRPr="00EA2250">
        <w:rPr>
          <w:rStyle w:val="FootnoteReference"/>
        </w:rPr>
        <w:footnoteReference w:id="10"/>
      </w:r>
      <w:r w:rsidRPr="00EA2250">
        <w:t>,</w:t>
      </w:r>
    </w:p>
    <w:p w:rsidR="00C76A00" w:rsidRPr="00EA2250" w:rsidRDefault="00C76A00" w:rsidP="00C76A00">
      <w:pPr>
        <w:pStyle w:val="NormalHanging12a"/>
      </w:pPr>
      <w:r w:rsidRPr="00EA2250">
        <w:t>–</w:t>
      </w:r>
      <w:r w:rsidRPr="00EA2250">
        <w:tab/>
        <w:t>so zreteľom na svoje uznesenie z 28. februára 2024 s názvom „Správa o správe Komisie o právnom štáte za rok 2023“</w:t>
      </w:r>
      <w:r w:rsidRPr="00EA2250">
        <w:rPr>
          <w:rStyle w:val="FootnoteReference"/>
        </w:rPr>
        <w:footnoteReference w:id="11"/>
      </w:r>
      <w:r w:rsidRPr="00EA2250">
        <w:t>,</w:t>
      </w:r>
    </w:p>
    <w:p w:rsidR="00C76A00" w:rsidRPr="00EA2250" w:rsidRDefault="00C76A00" w:rsidP="00C76A00">
      <w:pPr>
        <w:pStyle w:val="NormalHanging12a"/>
      </w:pPr>
      <w:r w:rsidRPr="00EA2250">
        <w:lastRenderedPageBreak/>
        <w:t>–</w:t>
      </w:r>
      <w:r w:rsidRPr="00EA2250">
        <w:tab/>
        <w:t>so zreteľom na článok 132 ods. 2 rokovacieho poriadku,</w:t>
      </w:r>
    </w:p>
    <w:p w:rsidR="00C76A00" w:rsidRPr="00EA2250" w:rsidRDefault="00C76A00" w:rsidP="00C76A00">
      <w:pPr>
        <w:pStyle w:val="NormalHanging12a"/>
        <w:rPr>
          <w:szCs w:val="24"/>
        </w:rPr>
      </w:pPr>
      <w:r w:rsidRPr="00EA2250">
        <w:t>A.</w:t>
      </w:r>
      <w:r w:rsidRPr="00EA2250">
        <w:tab/>
        <w:t>keďže sexuálne a reprodukčné zdravie a práva (</w:t>
      </w:r>
      <w:r w:rsidR="00CF182C" w:rsidRPr="00EA2250">
        <w:t>ďalej len „</w:t>
      </w:r>
      <w:r w:rsidRPr="00EA2250">
        <w:t>SRZP</w:t>
      </w:r>
      <w:r w:rsidR="00CF182C" w:rsidRPr="00EA2250">
        <w:t>“</w:t>
      </w:r>
      <w:r w:rsidRPr="00EA2250">
        <w:t>) vrátane bezpečného a legálneho umelého prerušenia tehotenstva predstavujú základné právo. keďže napĺňanie SRZP je nevyhnutné na zachovanie ľudskej dôstojnosti a je neoddeliteľne spojené s bojom proti sexuálnemu a rodovo motivovanému násiliu a s dosiahnutím rodovej rovnosti a širokej škály ďalších ľudských práv, ako je právo osoby na život, zdravie, súkromie, osobnú bezpečnosť, nediskrimináciu, rovnosť pred zákonom a slobodu pred mučením a iným krutým, neľudským alebo ponižujúcim zaobchádzaním alebo trestaním;</w:t>
      </w:r>
    </w:p>
    <w:p w:rsidR="00C76A00" w:rsidRPr="00EA2250" w:rsidRDefault="00C76A00" w:rsidP="00C76A00">
      <w:pPr>
        <w:pStyle w:val="NormalHanging12a"/>
        <w:rPr>
          <w:szCs w:val="24"/>
        </w:rPr>
      </w:pPr>
      <w:r w:rsidRPr="00EA2250">
        <w:t>B.</w:t>
      </w:r>
      <w:r w:rsidRPr="00EA2250">
        <w:tab/>
        <w:t>keďže možnosť ľudí uplatňovať svoju reprodukčnú autonómiu, kontrolovať svoj reprodukčný život a rozhodovať o tom, či, kedy a ako mať deti, je nevyhnutná v záujme úplného uplatňovania ľudských práv žien, dievčat a všetkých osôb, ktoré môžu byť tehotné; keďže sa musí zaručiť možnosť voľby, a tým úplná autonómia osoby, keďže je to jej telo;</w:t>
      </w:r>
    </w:p>
    <w:p w:rsidR="00C76A00" w:rsidRPr="00EA2250" w:rsidRDefault="00C76A00" w:rsidP="00C76A00">
      <w:pPr>
        <w:pStyle w:val="NormalHanging12a"/>
        <w:rPr>
          <w:szCs w:val="24"/>
        </w:rPr>
      </w:pPr>
      <w:r w:rsidRPr="00EA2250">
        <w:t>C.</w:t>
      </w:r>
      <w:r w:rsidRPr="00EA2250">
        <w:tab/>
        <w:t>keďže v charte sú zakotvené hlavné základné práva a slobody ľudí žijúcich v EÚ; keďže ochrana starostlivosti pri bezpečnom a legálnom umelom prerušení tehotenstva má priamy vplyv na účinné uplatňovanie práv uznaných v charte, ako je ľudská dôstojnosť, osobná autonómia, rovnosť, zdravie a fyzická a duševná integrita; keďže odopretie prístupu k starostlivosti pri umelom prerušení tehotenstva predstavuje porušenie týchto základných práv;</w:t>
      </w:r>
    </w:p>
    <w:p w:rsidR="00C76A00" w:rsidRPr="00EA2250" w:rsidRDefault="00C76A00" w:rsidP="00C76A00">
      <w:pPr>
        <w:pStyle w:val="NormalHanging12a"/>
        <w:rPr>
          <w:szCs w:val="24"/>
        </w:rPr>
      </w:pPr>
      <w:r w:rsidRPr="00EA2250">
        <w:t>D.</w:t>
      </w:r>
      <w:r w:rsidRPr="00EA2250">
        <w:tab/>
        <w:t>keďže Výbor OSN pre ľudské práva výslovne uznal, že rozhodnutie jednotlivca dobrovoľne ukončiť tehotenstvo patrí do rozsahu práva na súkromie; keďže Výbor OSN pre ľudské práva ďalej konštatoval, že nekonanie v súlade s rozhodnutím ženy podstúpiť zákonné umelé prerušenie tehotenstva je porušením práva na súkromie, a to aj vtedy, keď do takéhoto rozhodnutia zasahuje súdna moc;</w:t>
      </w:r>
    </w:p>
    <w:p w:rsidR="00C76A00" w:rsidRPr="00EA2250" w:rsidRDefault="00C76A00" w:rsidP="00C76A00">
      <w:pPr>
        <w:pStyle w:val="NormalHanging12a"/>
        <w:rPr>
          <w:szCs w:val="24"/>
        </w:rPr>
      </w:pPr>
      <w:r w:rsidRPr="00EA2250">
        <w:t>E.</w:t>
      </w:r>
      <w:r w:rsidRPr="00EA2250">
        <w:tab/>
        <w:t xml:space="preserve">keďže Výbor OSN pre odstránenie diskriminácie žien (CEDAW) vo svojom všeobecnom odporúčaní č. 35 výslovne uviedol, že </w:t>
      </w:r>
      <w:proofErr w:type="spellStart"/>
      <w:r w:rsidRPr="00EA2250">
        <w:t>kriminalizácia</w:t>
      </w:r>
      <w:proofErr w:type="spellEnd"/>
      <w:r w:rsidRPr="00EA2250">
        <w:t xml:space="preserve"> umelého prerušenia tehotenstva je porušením SRZP žien a formou rodovo motivovaného násilia, a vyzval štáty, aby zrušili všetky právne predpisy, ktoré kriminalizujú umelé prerušenie tehotenstva;</w:t>
      </w:r>
    </w:p>
    <w:p w:rsidR="00C76A00" w:rsidRPr="00EA2250" w:rsidRDefault="00C76A00" w:rsidP="00C76A00">
      <w:pPr>
        <w:pStyle w:val="NormalHanging12a"/>
        <w:rPr>
          <w:szCs w:val="24"/>
        </w:rPr>
      </w:pPr>
      <w:r w:rsidRPr="00EA2250">
        <w:t>F.</w:t>
      </w:r>
      <w:r w:rsidRPr="00EA2250">
        <w:tab/>
        <w:t>keďže SRZP patrí medzi ciele OSN v oblasti udržateľného rozvoja , najmä cieľ 3.7, v ktorom sa požaduje univerzálny prístup k zdravotnej starostlivosti v oblasti sexuálneho a reprodukčného zdravia, a to aj pre plánovanie rodiny, poskytovanie informácií a vzdelania rodinám, a integráciu reprodukčného zdravia do národných stratégií a programov, a cieľ 5.6, v ktorom sa poukazuje na potrebu zabezpečiť univerzálny prístup k zdravotnej starostlivosti v oblasti sexuálneho a reprodukčného zdravia a reprodukčným právam, tak ako sa dohodlo v súlade s Akčným programom medzinárodnej konferencie o populácii a rozvoji a Akčnou platformou z Pekingu a záverečnými dokumentmi konferencií o ich zhodnotení;</w:t>
      </w:r>
    </w:p>
    <w:p w:rsidR="00C76A00" w:rsidRPr="00EA2250" w:rsidRDefault="00C76A00" w:rsidP="00C76A00">
      <w:pPr>
        <w:pStyle w:val="NormalHanging12a"/>
        <w:rPr>
          <w:rStyle w:val="doceo-font-family-base"/>
          <w:color w:val="000000"/>
          <w:szCs w:val="24"/>
        </w:rPr>
      </w:pPr>
      <w:r w:rsidRPr="00EA2250">
        <w:rPr>
          <w:rStyle w:val="doceo-font-family-base"/>
          <w:color w:val="000000"/>
        </w:rPr>
        <w:t>G.</w:t>
      </w:r>
      <w:r w:rsidRPr="00EA2250">
        <w:rPr>
          <w:rStyle w:val="doceo-font-family-base"/>
          <w:color w:val="000000"/>
        </w:rPr>
        <w:tab/>
      </w:r>
      <w:r w:rsidRPr="00EA2250">
        <w:t xml:space="preserve">keďže krajiny s menej reštriktívnymi zákonmi o umelom prerušení tehotenstva majú vo všeobecnosti nižšiu mieru umelého prerušenia tehotenstva ako krajiny s veľmi </w:t>
      </w:r>
      <w:r w:rsidRPr="00EA2250">
        <w:lastRenderedPageBreak/>
        <w:t>reštriktívnymi zákonmi o umelom prerušení tehotenstva</w:t>
      </w:r>
      <w:r w:rsidRPr="00EA2250">
        <w:rPr>
          <w:rStyle w:val="FootnoteReference"/>
          <w:color w:val="000000"/>
          <w:szCs w:val="24"/>
        </w:rPr>
        <w:footnoteReference w:id="12"/>
      </w:r>
      <w:r w:rsidRPr="00EA2250">
        <w:t xml:space="preserve">; keďže vzhľadom na zabezpečenie úplnej telesnej autonómie vrátane zníženia počtu neplánovaných tehotenstiev a umožnenia ľuďom prijímať informované rozhodnutia o svojom živote a tele je kľúčový prístup ku komplexnej sexuálnej a vzťahovej výchove primeranej veku a založenej na dôkazoch pre všetkých, ako aj ku kvalitnej, k dostupnej, bezpečnej a bezplatnej antikoncepcii a poradenstvu v oblasti plánovania rodiny; </w:t>
      </w:r>
      <w:r w:rsidRPr="00EA2250">
        <w:rPr>
          <w:rStyle w:val="doceo-font-family-base"/>
          <w:color w:val="000000"/>
        </w:rPr>
        <w:t>keďže veku primeraná, komplexná sexuálna výchova má zásadný význam pre budovanie zručností detí a mladých ľudí pri formovaní zdravých, rovnocenných a bezpečných vzťahov, najmä tým, že sa zameriava na rodové normy, rodovú rovnosť, dynamiku moci vo vzťahoch, rešpektovanie hraníc a súhlas; keďže zároveň prispieva k dosiahnutiu rodovej rovnosti;</w:t>
      </w:r>
    </w:p>
    <w:p w:rsidR="00C76A00" w:rsidRPr="00EA2250" w:rsidRDefault="00C76A00" w:rsidP="00C76A00">
      <w:pPr>
        <w:pStyle w:val="NormalHanging12a"/>
        <w:rPr>
          <w:szCs w:val="24"/>
        </w:rPr>
      </w:pPr>
      <w:r w:rsidRPr="00EA2250">
        <w:t>H.</w:t>
      </w:r>
      <w:r w:rsidRPr="00EA2250">
        <w:tab/>
        <w:t>keďže v prelomovom hlasovaní 4. marca 2024 francúzski zákonodarcovia zakotvili do francúzskej ústavy zaručenú slobodu podstúpiť umelé prerušenie tehotenstva; keďže Francúzsko je prvou krajinou na svete, ktorá výslovne stanovila umelé prerušenie tehotenstva ako ústavné právo; keďže cieľom tejto revízie ústavy je vytvoriť záruku v kontexte ústupu od práva na umelé prerušenie tehotenstva v EÚ a vo svete vrátane USA, Poľska, Maďarska a Malty; keďže práca a angažovanosť feministických organizácií a poslancov vo Francúzsku bola kľúčová pri zabezpečení väčšinovej podpory ústavnej ochrany práva na umelé prerušenie tehotenstva;</w:t>
      </w:r>
    </w:p>
    <w:p w:rsidR="00C76A00" w:rsidRPr="00EA2250" w:rsidRDefault="00C76A00" w:rsidP="00C76A00">
      <w:pPr>
        <w:pStyle w:val="NormalHanging12a"/>
        <w:rPr>
          <w:szCs w:val="24"/>
        </w:rPr>
      </w:pPr>
      <w:r w:rsidRPr="00EA2250">
        <w:rPr>
          <w:snapToGrid w:val="0"/>
        </w:rPr>
        <w:t>I.</w:t>
      </w:r>
      <w:r w:rsidRPr="00EA2250">
        <w:rPr>
          <w:snapToGrid w:val="0"/>
        </w:rPr>
        <w:tab/>
      </w:r>
      <w:r w:rsidRPr="00EA2250">
        <w:t>keďže od začlenenia práva na umelé prerušenie tehotenstva do francúzskej ústavy sa už o podobných iniciatívach uvažuje aj v iných krajinách, napríklad v Španielsku a vo Švédsku, čo poukazuje na potrebu európskej reakcie na tlak na rodovú rovnosť a SRZP a na ústavnú ochranu napadnutých práv;</w:t>
      </w:r>
    </w:p>
    <w:p w:rsidR="00C76A00" w:rsidRPr="00EA2250" w:rsidRDefault="00C76A00" w:rsidP="00C76A00">
      <w:pPr>
        <w:pStyle w:val="NormalHanging12a"/>
        <w:rPr>
          <w:szCs w:val="24"/>
        </w:rPr>
      </w:pPr>
      <w:r w:rsidRPr="00EA2250">
        <w:t>J.</w:t>
      </w:r>
      <w:r w:rsidRPr="00EA2250">
        <w:tab/>
        <w:t>keďže finančnú podporu musia sprevádzať pozitívne legislatívne zmeny, aby sa právo na prístup k starostlivosti pri umelom prerušení tehotenstva stalo skutočnosťou;</w:t>
      </w:r>
    </w:p>
    <w:p w:rsidR="00C76A00" w:rsidRPr="00EA2250" w:rsidRDefault="00C76A00" w:rsidP="00C76A00">
      <w:pPr>
        <w:pStyle w:val="NormalHanging12a"/>
        <w:rPr>
          <w:szCs w:val="24"/>
        </w:rPr>
      </w:pPr>
      <w:r w:rsidRPr="00EA2250">
        <w:t>K.</w:t>
      </w:r>
      <w:r w:rsidRPr="00EA2250">
        <w:tab/>
        <w:t>keďže napriek tomu, že EÚ má jedny z najvyšších štandardov SRZP na svete, ženy a členovia komunity LGBTIQ+ stále čelia prekážkam pri využívaní svojej telesnej autonómie; keďže tieto prekážky môžu mať právny, politický, finančný, kultúrny alebo informačný charakter;</w:t>
      </w:r>
    </w:p>
    <w:p w:rsidR="00C76A00" w:rsidRPr="00EA2250" w:rsidRDefault="00C76A00" w:rsidP="00C76A00">
      <w:pPr>
        <w:pStyle w:val="NormalHanging12a"/>
        <w:rPr>
          <w:szCs w:val="24"/>
        </w:rPr>
      </w:pPr>
      <w:r w:rsidRPr="00EA2250">
        <w:t>L.</w:t>
      </w:r>
      <w:r w:rsidRPr="00EA2250">
        <w:tab/>
        <w:t>keďže v niektorých členských štátoch stále platia veľmi reštriktívne zákony, ktoré zakazujú umelé prerušenie tehotenstva s výnimkou prísne vymedzených okolností, v dôsledku čoho musia ženy vyhľadávať nebezpečné a život ohrozujúce zákroky, cestovať do iných krajín alebo donosiť dieťa proti svojej vôli, čo je porušením ich ľudských práv a formou rodovo motivovaného násilia; keďže niektoré členské štáty, ktoré legalizovali umelé prerušenie tehotenstva na základe žiadosti alebo z rozsiahlych sociálnych dôvodov, naďalej zachovávajú osobitné trestné sankcie za umelé prerušenie tehotenstva vykonané mimo rozsahu pôsobnosti uplatniteľných právnych ustanovení;</w:t>
      </w:r>
    </w:p>
    <w:p w:rsidR="00C76A00" w:rsidRPr="00EA2250" w:rsidRDefault="00C76A00" w:rsidP="00C76A00">
      <w:pPr>
        <w:pStyle w:val="NormalHanging12a"/>
        <w:rPr>
          <w:szCs w:val="24"/>
        </w:rPr>
      </w:pPr>
      <w:r w:rsidRPr="00EA2250">
        <w:t>M.</w:t>
      </w:r>
      <w:r w:rsidRPr="00EA2250">
        <w:tab/>
        <w:t xml:space="preserve">keďže niekoľko členských štátov sa v súčasnosti snaží ešte viac obmedziť prístup k SRZP prostredníctvom veľmi reštriktívnych zákonov, čo vedie k obmedzenému prístupu k zdravotnej starostlivosti a k rodovo motivovanej diskriminácii a násiliu; keďže tieto iniciatívy a tento krok späť bránia uplatňovaniu ľudských práv, rozvoju </w:t>
      </w:r>
      <w:r w:rsidRPr="00EA2250">
        <w:lastRenderedPageBreak/>
        <w:t>krajín a podkopávajú demokraciu, európske hodnoty a základné práva;</w:t>
      </w:r>
    </w:p>
    <w:p w:rsidR="00C76A00" w:rsidRPr="00EA2250" w:rsidRDefault="00C76A00" w:rsidP="00C76A00">
      <w:pPr>
        <w:pStyle w:val="NormalHanging12a"/>
        <w:rPr>
          <w:szCs w:val="24"/>
        </w:rPr>
      </w:pPr>
      <w:bookmarkStart w:id="8" w:name="_Hlk161903494"/>
      <w:r w:rsidRPr="00EA2250">
        <w:t>N.</w:t>
      </w:r>
      <w:r w:rsidRPr="00EA2250">
        <w:tab/>
        <w:t xml:space="preserve">keďže na celom svete sa formuje koordinovaný a dobre financovaný ústup od rodovej rovnosti, rozmanitosti LGBTIQ+ a feminizmu; keďže na celom svete sa regresívne sily a </w:t>
      </w:r>
      <w:proofErr w:type="spellStart"/>
      <w:r w:rsidRPr="00EA2250">
        <w:t>ultrakonzervatívni</w:t>
      </w:r>
      <w:proofErr w:type="spellEnd"/>
      <w:r w:rsidRPr="00EA2250">
        <w:t xml:space="preserve"> náboženskí a krajne pravicoví aktéri snažia zrušiť desaťročia pokroku v oblasti ľudských práv a zaviesť škodlivý svetonázor na rodové úlohy v rodinách a vo verejnom živote; keďže tieto hnutia a útoky úzko súvisia s trendom autoritárskeho ústupu od globálnej demokracie; keďže to predstavuje jasné ohrozenie právneho štátu v Európe;</w:t>
      </w:r>
    </w:p>
    <w:p w:rsidR="00C76A00" w:rsidRPr="00EA2250" w:rsidRDefault="00C76A00" w:rsidP="00C76A00">
      <w:pPr>
        <w:pStyle w:val="NormalHanging12a"/>
        <w:rPr>
          <w:szCs w:val="24"/>
        </w:rPr>
      </w:pPr>
      <w:r w:rsidRPr="00EA2250">
        <w:t>O.</w:t>
      </w:r>
      <w:r w:rsidRPr="00EA2250">
        <w:tab/>
        <w:t xml:space="preserve">keďže tieto hnutia odmietajúce rodovú rovnosť a práva útočia najmä na sexuálne a reprodukčné práva a autonómiu žien a ovplyvňujú právne predpisy a politiku, čo vedie k </w:t>
      </w:r>
      <w:proofErr w:type="spellStart"/>
      <w:r w:rsidRPr="00EA2250">
        <w:t>retrogresívnym</w:t>
      </w:r>
      <w:proofErr w:type="spellEnd"/>
      <w:r w:rsidRPr="00EA2250">
        <w:t xml:space="preserve"> iniciatívam, ktoré sa realizujú vo viacerých členských štátoch s cieľom podkopať SRZP;</w:t>
      </w:r>
      <w:bookmarkEnd w:id="8"/>
    </w:p>
    <w:p w:rsidR="00C76A00" w:rsidRPr="00EA2250" w:rsidRDefault="00C76A00" w:rsidP="00C76A00">
      <w:pPr>
        <w:pStyle w:val="NormalHanging12a"/>
        <w:rPr>
          <w:szCs w:val="24"/>
        </w:rPr>
      </w:pPr>
      <w:r w:rsidRPr="00EA2250">
        <w:t>P.</w:t>
      </w:r>
      <w:r w:rsidRPr="00EA2250">
        <w:tab/>
        <w:t>keďže Poľsko ešte viac obmedzilo prístup k legálnej starostlivosti pri umelom prerušení tehotenstva po nelegitímnom rozhodnutí ústavného súdu z 22. októbra 2020</w:t>
      </w:r>
      <w:r w:rsidRPr="00EA2250">
        <w:rPr>
          <w:rStyle w:val="FootnoteReference"/>
          <w:color w:val="000000"/>
          <w:szCs w:val="24"/>
        </w:rPr>
        <w:footnoteReference w:id="13"/>
      </w:r>
      <w:r w:rsidRPr="00EA2250">
        <w:rPr>
          <w:i/>
        </w:rPr>
        <w:t xml:space="preserve"> </w:t>
      </w:r>
      <w:r w:rsidRPr="00EA2250">
        <w:t xml:space="preserve">, ktoré </w:t>
      </w:r>
      <w:r w:rsidRPr="00EA2250">
        <w:rPr>
          <w:i/>
          <w:iCs/>
        </w:rPr>
        <w:t xml:space="preserve">de </w:t>
      </w:r>
      <w:proofErr w:type="spellStart"/>
      <w:r w:rsidRPr="00EA2250">
        <w:rPr>
          <w:i/>
          <w:iCs/>
        </w:rPr>
        <w:t>facto</w:t>
      </w:r>
      <w:proofErr w:type="spellEnd"/>
      <w:r w:rsidRPr="00EA2250">
        <w:t xml:space="preserve"> znamená zákaz umelého prerušenia tehotenstva a viedlo k smrti najmenej šiestich žien; keďže ženy boli vyšetrované za to, že údajne podstúpili umelé prerušenie tehotenstva, a obhajkyne ľudských a reprodukčných práv boli stíhané za to, že pomáhali ženám pri prístupe k starostlivosti pri umelom prerušení tehotenstva alebo za protesty za právo na umelé prerušenie tehotenstva; keďže v nedávnom rozsudku ESĽP vo veci M.L./Poľsko sa uviedlo, že došlo k porušeniu článku 8 Európskeho dohovoru o ľudských právach o práve na rešpektovanie súkromného a rodinného života v prípade ženy, ktorá bola nútená vycestovať do zahraničia na umelé prerušenie tehotenstva so značnými osobnými nákladmi a mimo svojej rodinnej podpornej siete, čo malo významný psychický dopad;</w:t>
      </w:r>
    </w:p>
    <w:p w:rsidR="00C76A00" w:rsidRPr="00EA2250" w:rsidRDefault="00C76A00" w:rsidP="00C76A00">
      <w:pPr>
        <w:pStyle w:val="NormalHanging12a"/>
        <w:rPr>
          <w:szCs w:val="24"/>
        </w:rPr>
      </w:pPr>
      <w:r w:rsidRPr="00EA2250">
        <w:t>Q.</w:t>
      </w:r>
      <w:r w:rsidRPr="00EA2250">
        <w:tab/>
        <w:t xml:space="preserve">keďže novozvolená poľská vláda sa zaviazala navrhnúť nové zákony na zabezpečenie práv žien a prístupu k SRZP vrátane starostlivosti pri umelom prerušení tehotenstva; keďže hlasovanie o návrhoch zákonov na </w:t>
      </w:r>
      <w:proofErr w:type="spellStart"/>
      <w:r w:rsidRPr="00EA2250">
        <w:t>dekriminalizáciu</w:t>
      </w:r>
      <w:proofErr w:type="spellEnd"/>
      <w:r w:rsidRPr="00EA2250">
        <w:t xml:space="preserve"> a zabezpečenie prístupu k starostlivosti pri umelom prerušení tehotenstva bolo v poľskom Sejme bohužiaľ odložené;</w:t>
      </w:r>
    </w:p>
    <w:p w:rsidR="00C76A00" w:rsidRPr="00EA2250" w:rsidRDefault="00C76A00" w:rsidP="00C76A00">
      <w:pPr>
        <w:pStyle w:val="NormalHanging12a"/>
        <w:rPr>
          <w:szCs w:val="24"/>
        </w:rPr>
      </w:pPr>
      <w:r w:rsidRPr="00EA2250">
        <w:t>R.</w:t>
      </w:r>
      <w:r w:rsidRPr="00EA2250">
        <w:tab/>
        <w:t xml:space="preserve">keďže na Malte je umelé prerušenie tehotenstva </w:t>
      </w:r>
      <w:r w:rsidRPr="00EA2250">
        <w:rPr>
          <w:i/>
          <w:iCs/>
        </w:rPr>
        <w:t xml:space="preserve">de </w:t>
      </w:r>
      <w:proofErr w:type="spellStart"/>
      <w:r w:rsidRPr="00EA2250">
        <w:rPr>
          <w:i/>
          <w:iCs/>
        </w:rPr>
        <w:t>facto</w:t>
      </w:r>
      <w:proofErr w:type="spellEnd"/>
      <w:r w:rsidRPr="00EA2250">
        <w:t xml:space="preserve"> zakázané a trestné; keďže pri reforme v júli 2023 došlo v maltskom parlamente k znepokojujúcej zmene, keď sa zrušili práva a pridalo ešte viac rizík a prekážok v prístupe k starostlivosti pri umelom prerušení tehotenstva ako predtým; keďže medzi tieto prekážky patrí aj to, že lekári môžu ukončiť tehotenstvo len vtedy, ak je bezprostredne ohrozený život osoby a pred „životaschopnosťou plodu“, a sú povinní poslať umierajúcu tehotnú osobu pred lekársku komisiu zloženú z troch konzultantov; keďže prípady vážneho ohrozenia zdravia sú zo zákona vylúčené; keďže tehotná osoba s rakovinou na Malte nemôže byť zodpovedajúcim spôsobom liečená a musí počkať na narodenie dieťaťa, aby sa dostala k liečbe rakoviny, čo vedie k nižším šanciam na úspešnú liečbu;</w:t>
      </w:r>
    </w:p>
    <w:p w:rsidR="00C76A00" w:rsidRPr="00EA2250" w:rsidRDefault="00C76A00" w:rsidP="00C76A00">
      <w:pPr>
        <w:pStyle w:val="NormalHanging12a"/>
        <w:rPr>
          <w:szCs w:val="24"/>
        </w:rPr>
      </w:pPr>
      <w:r w:rsidRPr="00EA2250">
        <w:t>S.</w:t>
      </w:r>
      <w:r w:rsidRPr="00EA2250">
        <w:tab/>
        <w:t xml:space="preserve">keďže na Slovensku a v Maďarsku nie je legálne umelé prerušenie tehotenstva zo zdravotných dôvodov; keďže v septembri 2022 Maďarsko prijalo nariadenie, ktoré ukladá ženám žiadajúcim o umelé prerušenie tehotenstva povinnosť vypočuť si </w:t>
      </w:r>
      <w:r w:rsidRPr="00EA2250">
        <w:lastRenderedPageBreak/>
        <w:t xml:space="preserve">„srdcový tep plodu“; keďže na Slovensku boli zaznamenané opakované pokusy obmedziť prístup k starostlivosti pri umelom prerušení tehotenstva prostredníctvom </w:t>
      </w:r>
      <w:proofErr w:type="spellStart"/>
      <w:r w:rsidRPr="00EA2250">
        <w:t>retrogresívnych</w:t>
      </w:r>
      <w:proofErr w:type="spellEnd"/>
      <w:r w:rsidRPr="00EA2250">
        <w:t xml:space="preserve"> návrhov zákonov v parlamente;</w:t>
      </w:r>
    </w:p>
    <w:p w:rsidR="00C76A00" w:rsidRPr="00EA2250" w:rsidRDefault="00C76A00" w:rsidP="00C76A00">
      <w:pPr>
        <w:pStyle w:val="NormalHanging12a"/>
        <w:rPr>
          <w:szCs w:val="24"/>
        </w:rPr>
      </w:pPr>
      <w:r w:rsidRPr="00EA2250">
        <w:t>T.</w:t>
      </w:r>
      <w:r w:rsidRPr="00EA2250">
        <w:tab/>
        <w:t>keďže prístup k starostlivosti pri umelom prerušení tehotenstva je obmedzovaný aj v Taliansku</w:t>
      </w:r>
      <w:r w:rsidRPr="00EA2250">
        <w:rPr>
          <w:szCs w:val="24"/>
          <w:vertAlign w:val="superscript"/>
        </w:rPr>
        <w:footnoteReference w:id="14"/>
      </w:r>
      <w:r w:rsidRPr="00EA2250">
        <w:t xml:space="preserve">; keďže v krajinách ako Taliansko, Slovensko a Rumunsko sa veľká väčšina lekárov hlási k výhrade vo svedomí, čo </w:t>
      </w:r>
      <w:r w:rsidRPr="00EA2250">
        <w:rPr>
          <w:iCs/>
        </w:rPr>
        <w:t xml:space="preserve">de </w:t>
      </w:r>
      <w:proofErr w:type="spellStart"/>
      <w:r w:rsidRPr="00EA2250">
        <w:rPr>
          <w:iCs/>
        </w:rPr>
        <w:t>facto</w:t>
      </w:r>
      <w:proofErr w:type="spellEnd"/>
      <w:r w:rsidRPr="00EA2250">
        <w:t xml:space="preserve"> spôsobuje, že prístup k starostlivosti pri umelom prerušení tehotenstva je v niektorých regiónoch veľmi náročný; keďže v iných členských štátoch je prístup k včasnej a primeranej starostlivosti pri umelom prerušení tehotenstva znemožnený v dôsledku praktických prekážok, napríklad v Chorvátsku</w:t>
      </w:r>
      <w:r w:rsidRPr="00EA2250">
        <w:rPr>
          <w:szCs w:val="24"/>
          <w:vertAlign w:val="superscript"/>
        </w:rPr>
        <w:footnoteReference w:id="15"/>
      </w:r>
      <w:r w:rsidRPr="00EA2250">
        <w:t>;</w:t>
      </w:r>
    </w:p>
    <w:p w:rsidR="00C76A00" w:rsidRPr="00EA2250" w:rsidRDefault="00C76A00" w:rsidP="00C76A00">
      <w:pPr>
        <w:pStyle w:val="NormalHanging12a"/>
        <w:rPr>
          <w:szCs w:val="24"/>
        </w:rPr>
      </w:pPr>
      <w:r w:rsidRPr="00EA2250">
        <w:rPr>
          <w:snapToGrid w:val="0"/>
        </w:rPr>
        <w:t>U.</w:t>
      </w:r>
      <w:r w:rsidRPr="00EA2250">
        <w:rPr>
          <w:snapToGrid w:val="0"/>
        </w:rPr>
        <w:tab/>
      </w:r>
      <w:r w:rsidRPr="00EA2250">
        <w:t xml:space="preserve">keďže v belgickom federálnom parlamente bolo odložených niekoľko pokusov o úplnú </w:t>
      </w:r>
      <w:proofErr w:type="spellStart"/>
      <w:r w:rsidRPr="00EA2250">
        <w:t>dekriminalizáciu</w:t>
      </w:r>
      <w:proofErr w:type="spellEnd"/>
      <w:r w:rsidRPr="00EA2250">
        <w:t xml:space="preserve"> umelého prerušenia tehotenstva v Belgicku;</w:t>
      </w:r>
    </w:p>
    <w:p w:rsidR="00C76A00" w:rsidRPr="00EA2250" w:rsidRDefault="00C76A00" w:rsidP="00C76A00">
      <w:pPr>
        <w:pStyle w:val="NormalHanging12a"/>
        <w:rPr>
          <w:szCs w:val="24"/>
        </w:rPr>
      </w:pPr>
      <w:r w:rsidRPr="00EA2250">
        <w:rPr>
          <w:snapToGrid w:val="0"/>
        </w:rPr>
        <w:t>V.</w:t>
      </w:r>
      <w:r w:rsidRPr="00EA2250">
        <w:rPr>
          <w:snapToGrid w:val="0"/>
        </w:rPr>
        <w:tab/>
      </w:r>
      <w:r w:rsidRPr="00EA2250">
        <w:t>keďže v niektorých krajinách sú postupy pri umelom prerušení tehotenstva a nezaujaté poradenstvo naďalej tabu a zriedkavo sú súčasťou povinnej lekárskej prípravy, čo vedie k nedostatočným vedomostiam a praxi lekárov, čo poškodzuje fyzické a duševné zdravie pacientov;</w:t>
      </w:r>
    </w:p>
    <w:p w:rsidR="00C76A00" w:rsidRPr="00EA2250" w:rsidRDefault="00C76A00" w:rsidP="00C76A00">
      <w:pPr>
        <w:pStyle w:val="NormalHanging12a"/>
        <w:rPr>
          <w:szCs w:val="24"/>
        </w:rPr>
      </w:pPr>
      <w:r w:rsidRPr="00EA2250">
        <w:rPr>
          <w:snapToGrid w:val="0"/>
        </w:rPr>
        <w:t>W.</w:t>
      </w:r>
      <w:r w:rsidRPr="00EA2250">
        <w:rPr>
          <w:snapToGrid w:val="0"/>
        </w:rPr>
        <w:tab/>
      </w:r>
      <w:r w:rsidRPr="00EA2250">
        <w:t>keďže dezinformácie o umelom prerušení tehotenstva, a to aj na internete, predstavujú skutočnú prekážku pre autonómiu žien; keďže v Nemecku sa poskytovanie informácií o metódach umelého prerušenia tehotenstva na webových sídlach lekárov donedávna považovalo za propagáciu umelého prerušenia tehotenstva a bolo trestané; keďže „zákaz reklamy na umelé prerušenie tehotenstva“ bol zrušený až v júli 2022;</w:t>
      </w:r>
    </w:p>
    <w:p w:rsidR="00C76A00" w:rsidRPr="00EA2250" w:rsidRDefault="00C76A00" w:rsidP="00C76A00">
      <w:pPr>
        <w:pStyle w:val="NormalHanging12a"/>
        <w:rPr>
          <w:szCs w:val="24"/>
        </w:rPr>
      </w:pPr>
      <w:r w:rsidRPr="00EA2250">
        <w:t>X.</w:t>
      </w:r>
      <w:r w:rsidRPr="00EA2250">
        <w:tab/>
        <w:t xml:space="preserve">keďže ukrajinské </w:t>
      </w:r>
      <w:proofErr w:type="spellStart"/>
      <w:r w:rsidRPr="00EA2250">
        <w:t>utečenkyne</w:t>
      </w:r>
      <w:proofErr w:type="spellEnd"/>
      <w:r w:rsidRPr="00EA2250">
        <w:t xml:space="preserve"> nemali v niektorých členských štátoch prístup k starostlivosti pri umelom prerušení tehotenstva, a to ani v prípadoch sexuálneho násilia, čo predstavuje závažné porušenie ich ľudských práv a znamená mučenie a neľudské alebo ponižujúce zaobchádzanie;</w:t>
      </w:r>
    </w:p>
    <w:p w:rsidR="00C76A00" w:rsidRPr="00EA2250" w:rsidRDefault="00C76A00" w:rsidP="00C76A00">
      <w:pPr>
        <w:pStyle w:val="NormalHanging12a"/>
        <w:rPr>
          <w:szCs w:val="24"/>
        </w:rPr>
      </w:pPr>
      <w:r w:rsidRPr="00EA2250">
        <w:t>Y.</w:t>
      </w:r>
      <w:r w:rsidRPr="00EA2250">
        <w:tab/>
        <w:t xml:space="preserve">keďže </w:t>
      </w:r>
      <w:proofErr w:type="spellStart"/>
      <w:r w:rsidRPr="00EA2250">
        <w:t>kriminalizácia</w:t>
      </w:r>
      <w:proofErr w:type="spellEnd"/>
      <w:r w:rsidRPr="00EA2250">
        <w:t>, odkladanie a zamedzenie prístupu k SRZP, konkrétne k starostlivosti pri umelom prerušení tehotenstva, predstavuje formu rodovo motivovaného násilia; keďže tieto obmedzenia a zákazy neznižujú počet prípadov umelého prerušenia tehotenstva, ale len nútia ľudí cestovať na veľké vzdialenosti alebo sa uchýliť k nebezpečným spôsobom umelého prerušenia tehotenstva, a tým sa stávajú zraniteľnými voči trestnému vyšetrovaniu a stíhaniu; keďže ovplyvňujú tých, ktorí majú najväčší nedostatok zdrojov a informácií; keďže takmer všetky úmrtia v dôsledku neodborne vykonaného prerušenia tehotenstva sa vyskytujú v krajinách, kde je umelé prerušenie tehotenstva prísne obmedzené; keďže týmto úmrtiam sa dá predísť; keďže nebezpečné umelé prerušenie tehotenstva je hlavnou príčinou materskej chorobnosti, ktorej sa však dá predchádzať;</w:t>
      </w:r>
    </w:p>
    <w:p w:rsidR="00C76A00" w:rsidRPr="00EA2250" w:rsidRDefault="00C76A00" w:rsidP="00C76A00">
      <w:pPr>
        <w:pStyle w:val="NormalHanging12a"/>
        <w:rPr>
          <w:szCs w:val="24"/>
        </w:rPr>
      </w:pPr>
      <w:r w:rsidRPr="00EA2250">
        <w:t>Z.</w:t>
      </w:r>
      <w:r w:rsidRPr="00EA2250">
        <w:tab/>
        <w:t xml:space="preserve">keďže marginalizované osoby a skupiny vrátane rasových, etnických a náboženských menšín, migrantov, ľudí zo znevýhodneného sociálno-ekonomického prostredia, ľudí </w:t>
      </w:r>
      <w:r w:rsidRPr="00EA2250">
        <w:lastRenderedPageBreak/>
        <w:t>žijúcich vo vidieckych oblastiach, osôb so zdravotným postihnutím, členov komunity LGBTIQ+ a obetí násilia často čelia ďalším prekážkam, prierezovej diskriminácii a násiliu v prístupe k zdravotnej starostlivosti; keďže je to dôsledok zákonov a politík, ktoré umožňujú donucovacie postupy v oblasti sexuálnej a reprodukčnej zdravotnej starostlivosti a nezabezpečujú primerané opatrenia v prístupe ku kvalitnej starostlivosti a informáciám;</w:t>
      </w:r>
    </w:p>
    <w:p w:rsidR="00C76A00" w:rsidRPr="00EA2250" w:rsidRDefault="00C76A00" w:rsidP="00C76A00">
      <w:pPr>
        <w:pStyle w:val="NormalHanging12a"/>
        <w:rPr>
          <w:szCs w:val="24"/>
        </w:rPr>
      </w:pPr>
      <w:r w:rsidRPr="00EA2250">
        <w:t>1.</w:t>
      </w:r>
      <w:r w:rsidRPr="00EA2250">
        <w:tab/>
        <w:t>opakovane pripomína, že sexuálne a reprodukčné zdravie a práva sú základnými ľudskými právami, ktoré sa musia chrániť a posilniť a v nijakom prípade ich nemožno oslabiť ani zrušiť;</w:t>
      </w:r>
    </w:p>
    <w:p w:rsidR="00C76A00" w:rsidRPr="00EA2250" w:rsidRDefault="00C76A00" w:rsidP="00C76A00">
      <w:pPr>
        <w:pStyle w:val="NormalHanging12a"/>
        <w:rPr>
          <w:szCs w:val="24"/>
        </w:rPr>
      </w:pPr>
      <w:r w:rsidRPr="00EA2250">
        <w:t>2.</w:t>
      </w:r>
      <w:r w:rsidRPr="00EA2250">
        <w:tab/>
        <w:t>pripomína záväzok EÚ podporovať, chrániť a napĺňať právo každého jednotlivca a najmä každej ženy a dievčaťa na telesnú autonómiu a úplnú kontrolu nad otázkami súvisiacimi s ich sexualitou a sexuálnymi a reprodukčnými právami a slobodné rozhodovanie sa v týchto otázkach bez diskriminácie, donucovania a násilia;</w:t>
      </w:r>
    </w:p>
    <w:p w:rsidR="00C76A00" w:rsidRPr="00EA2250" w:rsidRDefault="00C76A00" w:rsidP="00C76A00">
      <w:pPr>
        <w:pStyle w:val="NormalHanging12a"/>
        <w:rPr>
          <w:szCs w:val="24"/>
        </w:rPr>
      </w:pPr>
      <w:r w:rsidRPr="00EA2250">
        <w:t>3.</w:t>
      </w:r>
      <w:r w:rsidRPr="00EA2250">
        <w:tab/>
        <w:t xml:space="preserve">naliehavo vyzýva Európsku radu, aby iniciovala konvent na účely revízie zmlúv, ako to požaduje vo svojich uzneseniach z 9. júna 2022 a 22. novembra 2023, a aby prijala jeho návrh obsiahnutý v </w:t>
      </w:r>
      <w:r w:rsidRPr="00EA2250">
        <w:rPr>
          <w:shd w:val="clear" w:color="auto" w:fill="FEFEFE"/>
        </w:rPr>
        <w:t>uznesení z 22. novembra 2023</w:t>
      </w:r>
      <w:r w:rsidRPr="00EA2250">
        <w:t xml:space="preserve"> na doplnenie charty o sexuálnu a reprodukčnú zdravotnú starostlivosť a právo na bezpečné a legálne umelé prerušenie tehotenstva a zmenila ju takto:</w:t>
      </w:r>
    </w:p>
    <w:tbl>
      <w:tblPr>
        <w:tblStyle w:val="1"/>
        <w:tblW w:w="9752" w:type="dxa"/>
        <w:jc w:val="center"/>
        <w:tblLayout w:type="fixed"/>
        <w:tblLook w:val="0000" w:firstRow="0" w:lastRow="0" w:firstColumn="0" w:lastColumn="0" w:noHBand="0" w:noVBand="0"/>
      </w:tblPr>
      <w:tblGrid>
        <w:gridCol w:w="9752"/>
      </w:tblGrid>
      <w:tr w:rsidR="00C76A00" w:rsidRPr="00EA2250" w:rsidTr="00423E71">
        <w:trPr>
          <w:jc w:val="center"/>
        </w:trPr>
        <w:tc>
          <w:tcPr>
            <w:tcW w:w="9752" w:type="dxa"/>
          </w:tcPr>
          <w:p w:rsidR="00C76A00" w:rsidRPr="00EA2250" w:rsidRDefault="00C76A00" w:rsidP="00423E71">
            <w:pPr>
              <w:ind w:left="144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EA2250">
              <w:rPr>
                <w:rFonts w:ascii="Times New Roman" w:hAnsi="Times New Roman"/>
              </w:rPr>
              <w:t>Článok 3</w:t>
            </w:r>
          </w:p>
          <w:p w:rsidR="00C76A00" w:rsidRPr="00EA2250" w:rsidRDefault="00C76A00" w:rsidP="00423E71">
            <w:pPr>
              <w:ind w:left="144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EA2250">
              <w:rPr>
                <w:rFonts w:ascii="Times New Roman" w:hAnsi="Times New Roman"/>
              </w:rPr>
              <w:t xml:space="preserve">Právo na nedotknuteľnosť osoby </w:t>
            </w:r>
            <w:r w:rsidRPr="00EA2250">
              <w:rPr>
                <w:rFonts w:ascii="Times New Roman" w:hAnsi="Times New Roman"/>
                <w:b/>
              </w:rPr>
              <w:t>a telesnú autonómiu</w:t>
            </w:r>
          </w:p>
          <w:p w:rsidR="00C76A00" w:rsidRPr="00EA2250" w:rsidRDefault="00C76A00" w:rsidP="00423E71">
            <w:pPr>
              <w:ind w:left="144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EA2250">
              <w:rPr>
                <w:rFonts w:ascii="Times New Roman" w:hAnsi="Times New Roman"/>
                <w:b/>
              </w:rPr>
              <w:t>2a. Každý má právo na telesnú autonómiu a na slobodný, informovaný, plný a všeobecný prístup k sexuálnemu a reprodukčnému zdraviu a právam a ku všetkým súvisiacim službám zdravotnej starostlivosti bez diskriminácie, a to i pokiaľ ide o prístup k bezpečnému a legálnemu umelému prerušeniu tehotenstva</w:t>
            </w:r>
            <w:r w:rsidRPr="00EA2250">
              <w:rPr>
                <w:rFonts w:ascii="Times New Roman" w:hAnsi="Times New Roman"/>
              </w:rPr>
              <w:t>;</w:t>
            </w:r>
          </w:p>
        </w:tc>
      </w:tr>
    </w:tbl>
    <w:p w:rsidR="00C76A00" w:rsidRPr="00EA2250" w:rsidRDefault="00C76A00" w:rsidP="00C76A00">
      <w:pPr>
        <w:pStyle w:val="NormalHanging12a"/>
      </w:pPr>
      <w:r w:rsidRPr="00EA2250">
        <w:t>4.</w:t>
      </w:r>
      <w:r w:rsidRPr="00EA2250">
        <w:tab/>
        <w:t>čo najdôraznejšie odsudzuje ústup od práv žien a všetky regresívne pokusy o obmedzenie alebo odstránenie existujúcej ochrany SRZP a rodovej rovnosti, ku ktorým dochádza na celom svete vrátane členských štátov EÚ, ako aj všetky formy hrozieb, zastrašovania a obťažovania namierené proti obhajcom ľudských práv a organizáciám občianskej spoločnosti, ktoré sa usilujú o presadzovanie týchto práv;</w:t>
      </w:r>
    </w:p>
    <w:p w:rsidR="00C76A00" w:rsidRPr="00EA2250" w:rsidRDefault="00C76A00" w:rsidP="00C76A00">
      <w:pPr>
        <w:pStyle w:val="NormalHanging12a"/>
      </w:pPr>
      <w:r w:rsidRPr="00EA2250">
        <w:t>5.</w:t>
      </w:r>
      <w:r w:rsidRPr="00EA2250">
        <w:tab/>
        <w:t>vyjadruje znepokojenie nad značným prudkým nárastom financovania skupín odmietajúcich rodovú rovnosť a možnosť voľby, vo svete, a to aj v EÚ; vyzýva Komisiu, aby využila všetky dostupné nástroje na zabezpečenie toho, aby organizácie pôsobiace proti rodovej rovnosti a právam žien vrátane reprodukčných práv nedostávali finančné prostriedky EÚ;</w:t>
      </w:r>
    </w:p>
    <w:p w:rsidR="00C76A00" w:rsidRPr="00EA2250" w:rsidRDefault="00C76A00" w:rsidP="00C76A00">
      <w:pPr>
        <w:pStyle w:val="NormalHanging12a"/>
      </w:pPr>
      <w:r w:rsidRPr="00EA2250">
        <w:t>6.</w:t>
      </w:r>
      <w:r w:rsidRPr="00EA2250">
        <w:tab/>
      </w:r>
      <w:r w:rsidRPr="00EA2250">
        <w:rPr>
          <w:shd w:val="clear" w:color="auto" w:fill="FEFEFE"/>
        </w:rPr>
        <w:t xml:space="preserve">naliehavo vyzýva členské štáty, aby v súlade s usmerneniami WHO z roku 2022 úplne </w:t>
      </w:r>
      <w:proofErr w:type="spellStart"/>
      <w:r w:rsidRPr="00EA2250">
        <w:rPr>
          <w:shd w:val="clear" w:color="auto" w:fill="FEFEFE"/>
        </w:rPr>
        <w:t>dekriminalizovali</w:t>
      </w:r>
      <w:proofErr w:type="spellEnd"/>
      <w:r w:rsidRPr="00EA2250">
        <w:rPr>
          <w:shd w:val="clear" w:color="auto" w:fill="FEFEFE"/>
        </w:rPr>
        <w:t xml:space="preserve"> umelé prerušenie tehotenstva a odstránili prekážky a bojovali proti prekážkam bezpečného a legálneho umelého prerušenia tehotenstva a prístupu k SRZP; </w:t>
      </w:r>
      <w:r w:rsidRPr="00EA2250">
        <w:t xml:space="preserve">vyzýva Poľsko a Maltu, aby zrušili svoje zákony a iné opatrenia týkajúce sa zákazu a obmedzenia umelého prerušenia tehotenstva; naliehavo vyzýva poľské orgány, aby čo najskôr uprednostnili legislatívne úsilie na zabezpečenie úplného prístupu k bezpečnému a legálnemu umelému prerušeniu tehotenstva; vyzýva maltské orgány, aby okamžite </w:t>
      </w:r>
      <w:proofErr w:type="spellStart"/>
      <w:r w:rsidRPr="00EA2250">
        <w:t>dekriminalizovali</w:t>
      </w:r>
      <w:proofErr w:type="spellEnd"/>
      <w:r w:rsidRPr="00EA2250">
        <w:t xml:space="preserve"> umelé prerušenie tehotenstva a zabezpečili prístup </w:t>
      </w:r>
      <w:r w:rsidRPr="00EA2250">
        <w:lastRenderedPageBreak/>
        <w:t>k bezpečnému a legálnemu umelému prerušeniu tehotenstva v súlade s usmerneniami WHO z roku 2022;</w:t>
      </w:r>
    </w:p>
    <w:p w:rsidR="00C76A00" w:rsidRPr="00EA2250" w:rsidRDefault="00C76A00" w:rsidP="00C76A00">
      <w:pPr>
        <w:pStyle w:val="NormalHanging12a"/>
      </w:pPr>
      <w:r w:rsidRPr="00EA2250">
        <w:t>7.</w:t>
      </w:r>
      <w:r w:rsidRPr="00EA2250">
        <w:tab/>
        <w:t xml:space="preserve">vyzýva vlády všetkých členských štátov, aby zaručili </w:t>
      </w:r>
      <w:r w:rsidRPr="00EA2250">
        <w:rPr>
          <w:shd w:val="clear" w:color="auto" w:fill="FEFEFE"/>
        </w:rPr>
        <w:t>nediskriminačný prístup k bezpečnej, legálnej a bezplatnej starostlivosti pri umelom prerušení tehotenstva, k službám a materiálom predpôrodnej a materskej zdravotnej starostlivosti, dobrovoľnému plánovaniu rodiny, antikoncepcii a službám pre mladých a k prevencii a liečbe HIV a súvisiacej starostlivosti a podpore;</w:t>
      </w:r>
    </w:p>
    <w:p w:rsidR="00C76A00" w:rsidRPr="00EA2250" w:rsidRDefault="00C76A00" w:rsidP="00C76A00">
      <w:pPr>
        <w:pStyle w:val="NormalHanging12a"/>
        <w:rPr>
          <w:shd w:val="clear" w:color="auto" w:fill="FEFEFE"/>
        </w:rPr>
      </w:pPr>
      <w:r w:rsidRPr="00EA2250">
        <w:t>8.</w:t>
      </w:r>
      <w:r w:rsidRPr="00EA2250">
        <w:tab/>
      </w:r>
      <w:r w:rsidRPr="00EA2250">
        <w:rPr>
          <w:shd w:val="clear" w:color="auto" w:fill="FEFEFE"/>
        </w:rPr>
        <w:t xml:space="preserve">odsudzuje skutočnosť, že v niektorých členských štátoch lekári a v niektorých prípadoch celé zdravotnícke </w:t>
      </w:r>
      <w:proofErr w:type="spellStart"/>
      <w:r w:rsidRPr="00EA2250">
        <w:rPr>
          <w:shd w:val="clear" w:color="auto" w:fill="FEFEFE"/>
        </w:rPr>
        <w:t>zariadeniaodmietajú</w:t>
      </w:r>
      <w:proofErr w:type="spellEnd"/>
      <w:r w:rsidRPr="00EA2250">
        <w:rPr>
          <w:shd w:val="clear" w:color="auto" w:fill="FEFEFE"/>
        </w:rPr>
        <w:t xml:space="preserve"> vykonávať umelé prerušenie tehotenstva na základe výhrady svedomia</w:t>
      </w:r>
      <w:r w:rsidRPr="00EA2250">
        <w:t>;</w:t>
      </w:r>
      <w:r w:rsidRPr="00EA2250">
        <w:rPr>
          <w:shd w:val="clear" w:color="auto" w:fill="FEFEFE"/>
        </w:rPr>
        <w:t xml:space="preserve"> odsudzuje skutočnosť, že táto doložka sa často používa aj v situáciách, keď akékoľvek zdržanie ohrozuje život alebo zdravie pacienta;</w:t>
      </w:r>
    </w:p>
    <w:p w:rsidR="00C76A00" w:rsidRPr="00EA2250" w:rsidRDefault="00C76A00" w:rsidP="00C76A00">
      <w:pPr>
        <w:pStyle w:val="NormalHanging12a"/>
      </w:pPr>
      <w:r w:rsidRPr="00EA2250">
        <w:t>9.</w:t>
      </w:r>
      <w:r w:rsidRPr="00EA2250">
        <w:tab/>
        <w:t>vyzýva členské štáty, aby zabezpečili prístup k celej škále služieb SRZP vrátane komplexnej sexuálnej a vzťahovej výchovy primeranej veku a založenej na dôkazoch pre všetkých, vysokokvalitných, dostupných, bezpečných a bezplatných antikoncepčných metód a pomôcok a poradenstva v oblasti plánovania rodiny, pričom by mali venovať osobitnú pozornosť ženám inej farby pleti, rómskym ženám, starším ženám, ženám s nižšou úrovňou vzdelania, LGBTIQ+ osobám, ženám so zdravotným postihnutím, dospievajúcim, migrantkám vrátane neregulárnych migrantiek a osamelým ženám;</w:t>
      </w:r>
    </w:p>
    <w:p w:rsidR="00C76A00" w:rsidRPr="00EA2250" w:rsidRDefault="00C76A00" w:rsidP="00C76A00">
      <w:pPr>
        <w:pStyle w:val="NormalHanging12a"/>
      </w:pPr>
      <w:r w:rsidRPr="00EA2250">
        <w:t>10.</w:t>
      </w:r>
      <w:r w:rsidRPr="00EA2250">
        <w:tab/>
        <w:t>vyzýva členské štáty a miestne samosprávy, aby zvýšili svoje výdavky na programy a priame dotácie pre štruktúry vrátane služieb zdravotnej starostlivosti a plánovania rodiny a iných organizácií pôsobiacich v tejto oblasti;</w:t>
      </w:r>
    </w:p>
    <w:p w:rsidR="00C76A00" w:rsidRPr="00EA2250" w:rsidRDefault="00C76A00" w:rsidP="00C76A00">
      <w:pPr>
        <w:pStyle w:val="NormalHanging12a"/>
      </w:pPr>
      <w:r w:rsidRPr="00EA2250">
        <w:t>11.</w:t>
      </w:r>
      <w:r w:rsidRPr="00EA2250">
        <w:tab/>
        <w:t>naliehavo vyzýva vlády členských štátov, aby zaradili metódy a postupy umelého prerušenia tehotenstva do povinných učebných osnov pre lekárov a študentov medicíny, najmä študentov gynekológie;</w:t>
      </w:r>
    </w:p>
    <w:p w:rsidR="00C76A00" w:rsidRPr="00EA2250" w:rsidRDefault="00C76A00" w:rsidP="00C76A00">
      <w:pPr>
        <w:pStyle w:val="NormalHanging12a"/>
      </w:pPr>
      <w:r w:rsidRPr="00EA2250">
        <w:t>12.</w:t>
      </w:r>
      <w:r w:rsidRPr="00EA2250">
        <w:tab/>
        <w:t>vyzýva všetky členské štáty, aby odstránili právne, finančné, sociálne a praktické prekážky a obmedzenia umelého prerušenia tehotenstva vrátane tých, ktoré neúmerne postihujú ženy v chudobe, najmä ženy iných rás vrátane černošiek a žien z etnických menšín a žien z neúplných rodín;</w:t>
      </w:r>
    </w:p>
    <w:p w:rsidR="00C76A00" w:rsidRPr="00EA2250" w:rsidRDefault="00C76A00" w:rsidP="00C76A00">
      <w:pPr>
        <w:pStyle w:val="NormalHanging12a"/>
      </w:pPr>
      <w:r w:rsidRPr="00EA2250">
        <w:t>13.</w:t>
      </w:r>
      <w:r w:rsidRPr="00EA2250">
        <w:tab/>
        <w:t>uznáva dôležitú úlohu organizácií občianskej spoločnosti a obhajcov ľudských práv v oblasti SRZP ako poskytovateľov služieb a obhajcov SRZP a nabáda ich, aby pokračovali vo svojej práci; vyzýva EÚ a členské štáty, aby prostredníctvom stratégie občianskej spoločnosti zabezpečili a politicky podporovali priaznivý občiansky priestor v EÚ, zabezpečili ochranu žien a obhajcov ľudských práv v oblasti SRZP prostredníctvom mechanizmu ochrany obhajcov ľudských práv a finančne ich podporovali, najmä prostredníctvom programu Občania, rovnosť, práva a hodnoty (CERV); vyzýva členské štáty, aby prostredníctvom programu EÚ4Health zlepšili prístup k službám sexuálnej a reprodukčnej zdravotnej starostlivosti vrátane umelého prerušenia tehotenstva;</w:t>
      </w:r>
    </w:p>
    <w:p w:rsidR="00C76A00" w:rsidRPr="00EA2250" w:rsidRDefault="00C76A00" w:rsidP="00C76A00">
      <w:pPr>
        <w:pStyle w:val="NormalHanging12a"/>
      </w:pPr>
      <w:r w:rsidRPr="00EA2250">
        <w:t>14.</w:t>
      </w:r>
      <w:r w:rsidRPr="00EA2250">
        <w:tab/>
        <w:t xml:space="preserve">ďalej vyzýva EÚ, aby vystupovala ako obhajca a aby uznanie tohto práva bolo kľúčovou prioritou pri rokovaniach v rámci medzinárodných inštitúcií a na iných multilaterálnych fórach, ako je Rada Európy a OSN; vyzýva EÚ, aby ratifikovala </w:t>
      </w:r>
      <w:r w:rsidRPr="00EA2250">
        <w:lastRenderedPageBreak/>
        <w:t>Európsky dohovor o ľudských právach;</w:t>
      </w:r>
    </w:p>
    <w:p w:rsidR="00C76A00" w:rsidRPr="00EA2250" w:rsidRDefault="00C76A00" w:rsidP="00C76A00">
      <w:r w:rsidRPr="00EA2250">
        <w:t>15.</w:t>
      </w:r>
      <w:r w:rsidRPr="00EA2250">
        <w:tab/>
      </w:r>
      <w:r w:rsidRPr="00EA2250">
        <w:rPr>
          <w:shd w:val="clear" w:color="auto" w:fill="FEFEFE"/>
        </w:rPr>
        <w:t xml:space="preserve">poveruje svoju predsedníčku, aby postúpila toto uznesenie </w:t>
      </w:r>
      <w:r w:rsidR="00555549" w:rsidRPr="00EA2250">
        <w:rPr>
          <w:shd w:val="clear" w:color="auto" w:fill="FEFEFE"/>
        </w:rPr>
        <w:t>Rade a Komisii.</w:t>
      </w:r>
    </w:p>
    <w:p w:rsidR="00E365E1" w:rsidRPr="00EA2250" w:rsidRDefault="00E365E1" w:rsidP="00D52B4B">
      <w:bookmarkStart w:id="9" w:name="TextBodyEnd"/>
      <w:bookmarkEnd w:id="9"/>
    </w:p>
    <w:sectPr w:rsidR="00E365E1" w:rsidRPr="00EA2250" w:rsidSect="005555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B4B" w:rsidRPr="00555549" w:rsidRDefault="00D52B4B">
      <w:r w:rsidRPr="00555549">
        <w:separator/>
      </w:r>
    </w:p>
  </w:endnote>
  <w:endnote w:type="continuationSeparator" w:id="0">
    <w:p w:rsidR="00D52B4B" w:rsidRPr="00555549" w:rsidRDefault="00D52B4B">
      <w:r w:rsidRPr="0055554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554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554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554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B4B" w:rsidRPr="00555549" w:rsidRDefault="00D52B4B">
      <w:r w:rsidRPr="00555549">
        <w:separator/>
      </w:r>
    </w:p>
  </w:footnote>
  <w:footnote w:type="continuationSeparator" w:id="0">
    <w:p w:rsidR="00D52B4B" w:rsidRPr="00555549" w:rsidRDefault="00D52B4B">
      <w:r w:rsidRPr="00555549">
        <w:continuationSeparator/>
      </w:r>
    </w:p>
  </w:footnote>
  <w:footnote w:id="1">
    <w:p w:rsidR="00C76A00" w:rsidRPr="00555549" w:rsidRDefault="00C76A00" w:rsidP="00555549">
      <w:pPr>
        <w:pStyle w:val="FootnoteText"/>
        <w:ind w:left="567" w:hanging="567"/>
        <w:rPr>
          <w:sz w:val="24"/>
          <w:lang w:val="sk-SK"/>
        </w:rPr>
      </w:pPr>
      <w:r w:rsidRPr="00555549">
        <w:rPr>
          <w:rStyle w:val="FootnoteReference"/>
          <w:sz w:val="24"/>
          <w:lang w:val="sk-SK"/>
        </w:rPr>
        <w:footnoteRef/>
      </w:r>
      <w:r w:rsidR="00555549" w:rsidRPr="00555549">
        <w:rPr>
          <w:sz w:val="24"/>
          <w:lang w:val="sk-SK"/>
        </w:rPr>
        <w:t xml:space="preserve"> </w:t>
      </w:r>
      <w:r w:rsidR="00555549" w:rsidRPr="00555549">
        <w:rPr>
          <w:sz w:val="24"/>
          <w:lang w:val="sk-SK"/>
        </w:rPr>
        <w:tab/>
      </w:r>
      <w:r w:rsidRPr="00555549">
        <w:rPr>
          <w:sz w:val="24"/>
          <w:lang w:val="sk-SK"/>
        </w:rPr>
        <w:t>Ú. v. EÚ C 449, 23.12.2020, s. 102.</w:t>
      </w:r>
    </w:p>
  </w:footnote>
  <w:footnote w:id="2">
    <w:p w:rsidR="00C76A00" w:rsidRPr="00555549" w:rsidRDefault="00C76A00" w:rsidP="00555549">
      <w:pPr>
        <w:pStyle w:val="FootnoteText"/>
        <w:ind w:left="567" w:hanging="567"/>
        <w:rPr>
          <w:sz w:val="24"/>
          <w:lang w:val="sk-SK"/>
        </w:rPr>
      </w:pPr>
      <w:r w:rsidRPr="00555549">
        <w:rPr>
          <w:rStyle w:val="FootnoteReference"/>
          <w:sz w:val="24"/>
          <w:lang w:val="sk-SK"/>
        </w:rPr>
        <w:footnoteRef/>
      </w:r>
      <w:r w:rsidR="00555549" w:rsidRPr="00555549">
        <w:rPr>
          <w:sz w:val="24"/>
          <w:lang w:val="sk-SK"/>
        </w:rPr>
        <w:t xml:space="preserve"> </w:t>
      </w:r>
      <w:r w:rsidR="00555549" w:rsidRPr="00555549">
        <w:rPr>
          <w:sz w:val="24"/>
          <w:lang w:val="sk-SK"/>
        </w:rPr>
        <w:tab/>
      </w:r>
      <w:r w:rsidRPr="00555549">
        <w:rPr>
          <w:sz w:val="24"/>
          <w:lang w:val="sk-SK"/>
        </w:rPr>
        <w:t>Ú. v. EÚ C 208, 1.6.2021, s. 24.</w:t>
      </w:r>
    </w:p>
  </w:footnote>
  <w:footnote w:id="3">
    <w:p w:rsidR="00C76A00" w:rsidRPr="00555549" w:rsidRDefault="00C76A00" w:rsidP="00555549">
      <w:pPr>
        <w:pStyle w:val="FootnoteText"/>
        <w:ind w:left="567" w:hanging="567"/>
        <w:rPr>
          <w:sz w:val="24"/>
          <w:lang w:val="sk-SK"/>
        </w:rPr>
      </w:pPr>
      <w:r w:rsidRPr="00555549">
        <w:rPr>
          <w:rStyle w:val="FootnoteReference"/>
          <w:sz w:val="24"/>
          <w:lang w:val="sk-SK"/>
        </w:rPr>
        <w:footnoteRef/>
      </w:r>
      <w:r w:rsidR="00555549" w:rsidRPr="00555549">
        <w:rPr>
          <w:sz w:val="24"/>
          <w:lang w:val="sk-SK"/>
        </w:rPr>
        <w:t xml:space="preserve"> </w:t>
      </w:r>
      <w:r w:rsidR="00555549" w:rsidRPr="00555549">
        <w:rPr>
          <w:sz w:val="24"/>
          <w:lang w:val="sk-SK"/>
        </w:rPr>
        <w:tab/>
      </w:r>
      <w:r w:rsidRPr="00555549">
        <w:rPr>
          <w:sz w:val="24"/>
          <w:lang w:val="sk-SK"/>
        </w:rPr>
        <w:t>Ú. v. EÚ C 425, 20.10.2021, s. 147.</w:t>
      </w:r>
    </w:p>
  </w:footnote>
  <w:footnote w:id="4">
    <w:p w:rsidR="00C76A00" w:rsidRPr="00555549" w:rsidRDefault="00C76A00" w:rsidP="00555549">
      <w:pPr>
        <w:pStyle w:val="FootnoteText"/>
        <w:ind w:left="567" w:hanging="567"/>
        <w:rPr>
          <w:sz w:val="24"/>
          <w:lang w:val="sk-SK"/>
        </w:rPr>
      </w:pPr>
      <w:r w:rsidRPr="00555549">
        <w:rPr>
          <w:rStyle w:val="FootnoteReference"/>
          <w:sz w:val="24"/>
          <w:lang w:val="sk-SK"/>
        </w:rPr>
        <w:footnoteRef/>
      </w:r>
      <w:r w:rsidR="00555549" w:rsidRPr="00555549">
        <w:rPr>
          <w:sz w:val="24"/>
          <w:lang w:val="sk-SK"/>
        </w:rPr>
        <w:t xml:space="preserve"> </w:t>
      </w:r>
      <w:r w:rsidR="00555549" w:rsidRPr="00555549">
        <w:rPr>
          <w:sz w:val="24"/>
          <w:lang w:val="sk-SK"/>
        </w:rPr>
        <w:tab/>
      </w:r>
      <w:r w:rsidRPr="00555549">
        <w:rPr>
          <w:sz w:val="24"/>
          <w:lang w:val="sk-SK"/>
        </w:rPr>
        <w:t>Ú. v. EÚ C 205, 20.5.2022, s. 44.</w:t>
      </w:r>
    </w:p>
  </w:footnote>
  <w:footnote w:id="5">
    <w:p w:rsidR="00C76A00" w:rsidRPr="00555549" w:rsidRDefault="00C76A00" w:rsidP="00555549">
      <w:pPr>
        <w:pStyle w:val="FootnoteText"/>
        <w:ind w:left="567" w:hanging="567"/>
        <w:rPr>
          <w:sz w:val="24"/>
          <w:lang w:val="sk-SK"/>
        </w:rPr>
      </w:pPr>
      <w:r w:rsidRPr="00555549">
        <w:rPr>
          <w:rStyle w:val="FootnoteReference"/>
          <w:sz w:val="24"/>
          <w:lang w:val="sk-SK"/>
        </w:rPr>
        <w:footnoteRef/>
      </w:r>
      <w:r w:rsidR="00555549" w:rsidRPr="00555549">
        <w:rPr>
          <w:sz w:val="24"/>
          <w:lang w:val="sk-SK"/>
        </w:rPr>
        <w:t xml:space="preserve"> </w:t>
      </w:r>
      <w:r w:rsidR="00555549" w:rsidRPr="00555549">
        <w:rPr>
          <w:sz w:val="24"/>
          <w:lang w:val="sk-SK"/>
        </w:rPr>
        <w:tab/>
      </w:r>
      <w:r w:rsidRPr="00555549">
        <w:rPr>
          <w:sz w:val="24"/>
          <w:lang w:val="sk-SK"/>
        </w:rPr>
        <w:t>Ú. v. EÚ C 81, 18.2.2022, s. 43.</w:t>
      </w:r>
    </w:p>
  </w:footnote>
  <w:footnote w:id="6">
    <w:p w:rsidR="00C76A00" w:rsidRPr="00555549" w:rsidRDefault="00C76A00" w:rsidP="00555549">
      <w:pPr>
        <w:pStyle w:val="FootnoteText"/>
        <w:ind w:left="567" w:hanging="567"/>
        <w:rPr>
          <w:sz w:val="24"/>
          <w:lang w:val="sk-SK"/>
        </w:rPr>
      </w:pPr>
      <w:r w:rsidRPr="00555549">
        <w:rPr>
          <w:rStyle w:val="FootnoteReference"/>
          <w:sz w:val="24"/>
          <w:lang w:val="sk-SK"/>
        </w:rPr>
        <w:footnoteRef/>
      </w:r>
      <w:r w:rsidR="00555549" w:rsidRPr="00555549">
        <w:rPr>
          <w:sz w:val="24"/>
          <w:lang w:val="sk-SK"/>
        </w:rPr>
        <w:t xml:space="preserve"> </w:t>
      </w:r>
      <w:r w:rsidR="00555549" w:rsidRPr="00555549">
        <w:rPr>
          <w:sz w:val="24"/>
          <w:lang w:val="sk-SK"/>
        </w:rPr>
        <w:tab/>
      </w:r>
      <w:r w:rsidRPr="00555549">
        <w:rPr>
          <w:sz w:val="24"/>
          <w:lang w:val="sk-SK"/>
        </w:rPr>
        <w:t>Ú. v. EÚ C 465, 6.12.2022, s. 155.</w:t>
      </w:r>
    </w:p>
  </w:footnote>
  <w:footnote w:id="7">
    <w:p w:rsidR="00C76A00" w:rsidRPr="00555549" w:rsidRDefault="00C76A00" w:rsidP="00555549">
      <w:pPr>
        <w:pStyle w:val="FootnoteText"/>
        <w:ind w:left="567" w:hanging="567"/>
        <w:rPr>
          <w:sz w:val="24"/>
          <w:lang w:val="sk-SK"/>
        </w:rPr>
      </w:pPr>
      <w:r w:rsidRPr="00555549">
        <w:rPr>
          <w:rStyle w:val="FootnoteReference"/>
          <w:sz w:val="24"/>
          <w:lang w:val="sk-SK"/>
        </w:rPr>
        <w:footnoteRef/>
      </w:r>
      <w:r w:rsidR="00555549" w:rsidRPr="00555549">
        <w:rPr>
          <w:sz w:val="24"/>
          <w:lang w:val="sk-SK"/>
        </w:rPr>
        <w:t xml:space="preserve"> </w:t>
      </w:r>
      <w:r w:rsidR="00555549" w:rsidRPr="00555549">
        <w:rPr>
          <w:sz w:val="24"/>
          <w:lang w:val="sk-SK"/>
        </w:rPr>
        <w:tab/>
      </w:r>
      <w:r w:rsidRPr="00555549">
        <w:rPr>
          <w:sz w:val="24"/>
          <w:lang w:val="sk-SK"/>
        </w:rPr>
        <w:t>Ú. v. EÚ C 493, 27.12.2022, s. 120.</w:t>
      </w:r>
    </w:p>
  </w:footnote>
  <w:footnote w:id="8">
    <w:p w:rsidR="00C76A00" w:rsidRPr="00555549" w:rsidRDefault="00C76A00" w:rsidP="00555549">
      <w:pPr>
        <w:pStyle w:val="FootnoteText"/>
        <w:ind w:left="567" w:hanging="567"/>
        <w:rPr>
          <w:sz w:val="24"/>
          <w:lang w:val="sk-SK"/>
        </w:rPr>
      </w:pPr>
      <w:r w:rsidRPr="00555549">
        <w:rPr>
          <w:rStyle w:val="FootnoteReference"/>
          <w:sz w:val="24"/>
          <w:lang w:val="sk-SK"/>
        </w:rPr>
        <w:footnoteRef/>
      </w:r>
      <w:r w:rsidR="00555549" w:rsidRPr="00555549">
        <w:rPr>
          <w:sz w:val="24"/>
          <w:lang w:val="sk-SK"/>
        </w:rPr>
        <w:t xml:space="preserve"> </w:t>
      </w:r>
      <w:r w:rsidR="00555549" w:rsidRPr="00555549">
        <w:rPr>
          <w:sz w:val="24"/>
          <w:lang w:val="sk-SK"/>
        </w:rPr>
        <w:tab/>
      </w:r>
      <w:r w:rsidRPr="00555549">
        <w:rPr>
          <w:sz w:val="24"/>
          <w:lang w:val="sk-SK"/>
        </w:rPr>
        <w:t>Ú. v. EÚ C 47, 7.2.2023, s. 268.</w:t>
      </w:r>
    </w:p>
  </w:footnote>
  <w:footnote w:id="9">
    <w:p w:rsidR="00C76A00" w:rsidRPr="00555549" w:rsidRDefault="00C76A00" w:rsidP="00555549">
      <w:pPr>
        <w:pStyle w:val="FootnoteText"/>
        <w:ind w:left="567" w:hanging="567"/>
        <w:rPr>
          <w:sz w:val="24"/>
          <w:lang w:val="sk-SK"/>
        </w:rPr>
      </w:pPr>
      <w:r w:rsidRPr="00555549">
        <w:rPr>
          <w:rStyle w:val="FootnoteReference"/>
          <w:sz w:val="24"/>
          <w:lang w:val="sk-SK"/>
        </w:rPr>
        <w:footnoteRef/>
      </w:r>
      <w:r w:rsidR="00555549" w:rsidRPr="00555549">
        <w:rPr>
          <w:sz w:val="24"/>
          <w:lang w:val="sk-SK"/>
        </w:rPr>
        <w:t xml:space="preserve"> </w:t>
      </w:r>
      <w:r w:rsidR="00555549" w:rsidRPr="00555549">
        <w:rPr>
          <w:sz w:val="24"/>
          <w:lang w:val="sk-SK"/>
        </w:rPr>
        <w:tab/>
      </w:r>
      <w:r w:rsidRPr="00555549">
        <w:rPr>
          <w:sz w:val="24"/>
          <w:lang w:val="sk-SK"/>
        </w:rPr>
        <w:t>Prijaté texty, P9_TA(2023)0427.</w:t>
      </w:r>
    </w:p>
  </w:footnote>
  <w:footnote w:id="10">
    <w:p w:rsidR="00C76A00" w:rsidRPr="00555549" w:rsidRDefault="00C76A00" w:rsidP="00555549">
      <w:pPr>
        <w:pStyle w:val="FootnoteText"/>
        <w:ind w:left="567" w:hanging="567"/>
        <w:rPr>
          <w:sz w:val="24"/>
          <w:lang w:val="sk-SK"/>
        </w:rPr>
      </w:pPr>
      <w:r w:rsidRPr="00555549">
        <w:rPr>
          <w:rStyle w:val="FootnoteReference"/>
          <w:sz w:val="24"/>
          <w:lang w:val="sk-SK"/>
        </w:rPr>
        <w:footnoteRef/>
      </w:r>
      <w:r w:rsidR="00555549" w:rsidRPr="00555549">
        <w:rPr>
          <w:sz w:val="24"/>
          <w:lang w:val="sk-SK"/>
        </w:rPr>
        <w:t xml:space="preserve"> </w:t>
      </w:r>
      <w:r w:rsidR="00555549" w:rsidRPr="00555549">
        <w:rPr>
          <w:sz w:val="24"/>
          <w:lang w:val="sk-SK"/>
        </w:rPr>
        <w:tab/>
      </w:r>
      <w:r w:rsidRPr="00555549">
        <w:rPr>
          <w:sz w:val="24"/>
          <w:lang w:val="sk-SK"/>
        </w:rPr>
        <w:t>Prijaté texty, P9_TA(2024)0050.</w:t>
      </w:r>
    </w:p>
  </w:footnote>
  <w:footnote w:id="11">
    <w:p w:rsidR="00C76A00" w:rsidRPr="00555549" w:rsidRDefault="00C76A00" w:rsidP="00555549">
      <w:pPr>
        <w:pStyle w:val="FootnoteText"/>
        <w:ind w:left="567" w:hanging="567"/>
        <w:rPr>
          <w:sz w:val="24"/>
          <w:lang w:val="sk-SK"/>
        </w:rPr>
      </w:pPr>
      <w:r w:rsidRPr="00555549">
        <w:rPr>
          <w:rStyle w:val="FootnoteReference"/>
          <w:sz w:val="24"/>
          <w:lang w:val="sk-SK"/>
        </w:rPr>
        <w:footnoteRef/>
      </w:r>
      <w:r w:rsidR="00555549" w:rsidRPr="00555549">
        <w:rPr>
          <w:sz w:val="24"/>
          <w:lang w:val="sk-SK"/>
        </w:rPr>
        <w:t xml:space="preserve"> </w:t>
      </w:r>
      <w:r w:rsidR="00555549" w:rsidRPr="00555549">
        <w:rPr>
          <w:sz w:val="24"/>
          <w:lang w:val="sk-SK"/>
        </w:rPr>
        <w:tab/>
      </w:r>
      <w:r w:rsidRPr="00555549">
        <w:rPr>
          <w:sz w:val="24"/>
          <w:lang w:val="sk-SK"/>
        </w:rPr>
        <w:t>Prijaté texty, P9_TA(2024)0108.</w:t>
      </w:r>
    </w:p>
  </w:footnote>
  <w:footnote w:id="12">
    <w:p w:rsidR="00C76A00" w:rsidRPr="00555549" w:rsidRDefault="00C76A00" w:rsidP="00555549">
      <w:pPr>
        <w:pStyle w:val="FootnoteText"/>
        <w:ind w:left="567" w:hanging="567"/>
        <w:rPr>
          <w:sz w:val="24"/>
          <w:lang w:val="sk-SK"/>
        </w:rPr>
      </w:pPr>
      <w:r w:rsidRPr="00555549">
        <w:rPr>
          <w:rStyle w:val="FootnoteReference"/>
          <w:sz w:val="24"/>
          <w:lang w:val="sk-SK"/>
        </w:rPr>
        <w:footnoteRef/>
      </w:r>
      <w:r w:rsidR="00555549" w:rsidRPr="00555549">
        <w:rPr>
          <w:sz w:val="24"/>
          <w:lang w:val="sk-SK"/>
        </w:rPr>
        <w:t xml:space="preserve"> </w:t>
      </w:r>
      <w:r w:rsidR="00555549" w:rsidRPr="00555549">
        <w:rPr>
          <w:sz w:val="24"/>
          <w:lang w:val="sk-SK"/>
        </w:rPr>
        <w:tab/>
      </w:r>
      <w:r w:rsidRPr="00555549">
        <w:rPr>
          <w:sz w:val="24"/>
          <w:lang w:val="sk-SK"/>
        </w:rPr>
        <w:t>Úrad vysokého komisára OSN pre ľudské práva, „</w:t>
      </w:r>
      <w:proofErr w:type="spellStart"/>
      <w:r w:rsidRPr="00555549">
        <w:fldChar w:fldCharType="begin"/>
      </w:r>
      <w:r w:rsidRPr="00555549">
        <w:rPr>
          <w:sz w:val="24"/>
          <w:lang w:val="sk-SK"/>
        </w:rPr>
        <w:instrText xml:space="preserve"> HYPERLINK "https://www.ohchr.org/sites/default/files/Documents/Issues/Women/WRGS/SexualHealth/INFO_Abortion_WEB.pdf" </w:instrText>
      </w:r>
      <w:r w:rsidRPr="00555549">
        <w:fldChar w:fldCharType="separate"/>
      </w:r>
      <w:r w:rsidRPr="00555549">
        <w:rPr>
          <w:rStyle w:val="Hyperlink"/>
          <w:sz w:val="24"/>
          <w:lang w:val="sk-SK"/>
        </w:rPr>
        <w:t>Information</w:t>
      </w:r>
      <w:proofErr w:type="spellEnd"/>
      <w:r w:rsidRPr="00555549">
        <w:rPr>
          <w:rStyle w:val="Hyperlink"/>
          <w:sz w:val="24"/>
          <w:lang w:val="sk-SK"/>
        </w:rPr>
        <w:t xml:space="preserve"> </w:t>
      </w:r>
      <w:proofErr w:type="spellStart"/>
      <w:r w:rsidRPr="00555549">
        <w:rPr>
          <w:rStyle w:val="Hyperlink"/>
          <w:sz w:val="24"/>
          <w:lang w:val="sk-SK"/>
        </w:rPr>
        <w:t>series</w:t>
      </w:r>
      <w:proofErr w:type="spellEnd"/>
      <w:r w:rsidRPr="00555549">
        <w:rPr>
          <w:rStyle w:val="Hyperlink"/>
          <w:sz w:val="24"/>
          <w:lang w:val="sk-SK"/>
        </w:rPr>
        <w:t xml:space="preserve"> on </w:t>
      </w:r>
      <w:proofErr w:type="spellStart"/>
      <w:r w:rsidRPr="00555549">
        <w:rPr>
          <w:rStyle w:val="Hyperlink"/>
          <w:sz w:val="24"/>
          <w:lang w:val="sk-SK"/>
        </w:rPr>
        <w:t>sexual</w:t>
      </w:r>
      <w:proofErr w:type="spellEnd"/>
      <w:r w:rsidRPr="00555549">
        <w:rPr>
          <w:rStyle w:val="Hyperlink"/>
          <w:sz w:val="24"/>
          <w:lang w:val="sk-SK"/>
        </w:rPr>
        <w:t xml:space="preserve"> and </w:t>
      </w:r>
      <w:proofErr w:type="spellStart"/>
      <w:r w:rsidRPr="00555549">
        <w:rPr>
          <w:rStyle w:val="Hyperlink"/>
          <w:sz w:val="24"/>
          <w:lang w:val="sk-SK"/>
        </w:rPr>
        <w:t>reproductive</w:t>
      </w:r>
      <w:proofErr w:type="spellEnd"/>
      <w:r w:rsidRPr="00555549">
        <w:rPr>
          <w:rStyle w:val="Hyperlink"/>
          <w:sz w:val="24"/>
          <w:lang w:val="sk-SK"/>
        </w:rPr>
        <w:t xml:space="preserve"> </w:t>
      </w:r>
      <w:proofErr w:type="spellStart"/>
      <w:r w:rsidRPr="00555549">
        <w:rPr>
          <w:rStyle w:val="Hyperlink"/>
          <w:sz w:val="24"/>
          <w:lang w:val="sk-SK"/>
        </w:rPr>
        <w:t>health</w:t>
      </w:r>
      <w:proofErr w:type="spellEnd"/>
      <w:r w:rsidRPr="00555549">
        <w:rPr>
          <w:rStyle w:val="Hyperlink"/>
          <w:sz w:val="24"/>
          <w:lang w:val="sk-SK"/>
        </w:rPr>
        <w:t xml:space="preserve"> and </w:t>
      </w:r>
      <w:proofErr w:type="spellStart"/>
      <w:r w:rsidRPr="00555549">
        <w:rPr>
          <w:rStyle w:val="Hyperlink"/>
          <w:sz w:val="24"/>
          <w:lang w:val="sk-SK"/>
        </w:rPr>
        <w:t>rights</w:t>
      </w:r>
      <w:proofErr w:type="spellEnd"/>
      <w:r w:rsidRPr="00555549">
        <w:rPr>
          <w:rStyle w:val="Hyperlink"/>
          <w:sz w:val="24"/>
          <w:lang w:val="sk-SK"/>
        </w:rPr>
        <w:t xml:space="preserve"> – </w:t>
      </w:r>
      <w:proofErr w:type="spellStart"/>
      <w:r w:rsidRPr="00555549">
        <w:rPr>
          <w:rStyle w:val="Hyperlink"/>
          <w:sz w:val="24"/>
          <w:lang w:val="sk-SK"/>
        </w:rPr>
        <w:t>abortion</w:t>
      </w:r>
      <w:proofErr w:type="spellEnd"/>
      <w:r w:rsidRPr="00555549">
        <w:rPr>
          <w:rStyle w:val="Hyperlink"/>
          <w:sz w:val="24"/>
          <w:lang w:val="sk-SK"/>
        </w:rPr>
        <w:fldChar w:fldCharType="end"/>
      </w:r>
      <w:r w:rsidRPr="00555549">
        <w:rPr>
          <w:sz w:val="24"/>
          <w:lang w:val="sk-SK"/>
        </w:rPr>
        <w:t>“ (Informačná séria o sexuálnom a reprodukčnom zdraví a právach – umelé prerušenie tehotenstva), 2020.</w:t>
      </w:r>
    </w:p>
  </w:footnote>
  <w:footnote w:id="13">
    <w:p w:rsidR="00C76A00" w:rsidRPr="00555549" w:rsidRDefault="00C76A00" w:rsidP="00555549">
      <w:pPr>
        <w:pStyle w:val="FootnoteText"/>
        <w:ind w:left="567" w:hanging="567"/>
        <w:rPr>
          <w:sz w:val="24"/>
          <w:lang w:val="sk-SK"/>
        </w:rPr>
      </w:pPr>
      <w:r w:rsidRPr="00555549">
        <w:rPr>
          <w:rStyle w:val="FootnoteReference"/>
          <w:sz w:val="24"/>
          <w:lang w:val="sk-SK"/>
        </w:rPr>
        <w:footnoteRef/>
      </w:r>
      <w:r w:rsidR="00555549" w:rsidRPr="00555549">
        <w:rPr>
          <w:sz w:val="24"/>
          <w:lang w:val="sk-SK"/>
        </w:rPr>
        <w:t xml:space="preserve"> </w:t>
      </w:r>
      <w:r w:rsidR="00555549" w:rsidRPr="00555549">
        <w:rPr>
          <w:sz w:val="24"/>
          <w:lang w:val="sk-SK"/>
        </w:rPr>
        <w:tab/>
      </w:r>
      <w:r w:rsidRPr="00555549">
        <w:rPr>
          <w:sz w:val="24"/>
          <w:lang w:val="sk-SK"/>
        </w:rPr>
        <w:t>Rozsudok ESĽP o Ústavnom súde, vec </w:t>
      </w:r>
      <w:proofErr w:type="spellStart"/>
      <w:r w:rsidRPr="00555549">
        <w:rPr>
          <w:sz w:val="24"/>
          <w:lang w:val="sk-SK"/>
        </w:rPr>
        <w:t>Xero</w:t>
      </w:r>
      <w:proofErr w:type="spellEnd"/>
      <w:r w:rsidRPr="00555549">
        <w:rPr>
          <w:sz w:val="24"/>
          <w:lang w:val="sk-SK"/>
        </w:rPr>
        <w:t xml:space="preserve"> </w:t>
      </w:r>
      <w:proofErr w:type="spellStart"/>
      <w:r w:rsidRPr="00555549">
        <w:rPr>
          <w:sz w:val="24"/>
          <w:lang w:val="sk-SK"/>
        </w:rPr>
        <w:t>Flor</w:t>
      </w:r>
      <w:proofErr w:type="spellEnd"/>
      <w:r w:rsidRPr="00555549">
        <w:rPr>
          <w:sz w:val="24"/>
          <w:lang w:val="sk-SK"/>
        </w:rPr>
        <w:t xml:space="preserve"> w </w:t>
      </w:r>
      <w:proofErr w:type="spellStart"/>
      <w:r w:rsidRPr="00555549">
        <w:rPr>
          <w:sz w:val="24"/>
          <w:lang w:val="sk-SK"/>
        </w:rPr>
        <w:t>Polsce</w:t>
      </w:r>
      <w:proofErr w:type="spellEnd"/>
      <w:r w:rsidRPr="00555549">
        <w:rPr>
          <w:sz w:val="24"/>
          <w:lang w:val="sk-SK"/>
        </w:rPr>
        <w:t xml:space="preserve"> </w:t>
      </w:r>
      <w:proofErr w:type="spellStart"/>
      <w:r w:rsidRPr="00555549">
        <w:rPr>
          <w:sz w:val="24"/>
          <w:lang w:val="sk-SK"/>
        </w:rPr>
        <w:t>sp</w:t>
      </w:r>
      <w:proofErr w:type="spellEnd"/>
      <w:r w:rsidRPr="00555549">
        <w:rPr>
          <w:sz w:val="24"/>
          <w:lang w:val="sk-SK"/>
        </w:rPr>
        <w:t xml:space="preserve">. z </w:t>
      </w:r>
      <w:proofErr w:type="spellStart"/>
      <w:r w:rsidRPr="00555549">
        <w:rPr>
          <w:sz w:val="24"/>
          <w:lang w:val="sk-SK"/>
        </w:rPr>
        <w:t>o.o</w:t>
      </w:r>
      <w:proofErr w:type="spellEnd"/>
      <w:r w:rsidRPr="00555549">
        <w:rPr>
          <w:sz w:val="24"/>
          <w:lang w:val="sk-SK"/>
        </w:rPr>
        <w:t>./Poľsko</w:t>
      </w:r>
      <w:r w:rsidR="00CF182C">
        <w:rPr>
          <w:i/>
          <w:sz w:val="24"/>
          <w:lang w:val="sk-SK"/>
        </w:rPr>
        <w:t xml:space="preserve"> </w:t>
      </w:r>
      <w:r w:rsidRPr="00555549">
        <w:rPr>
          <w:i/>
          <w:sz w:val="24"/>
          <w:lang w:val="sk-SK"/>
        </w:rPr>
        <w:t>(žiadosť č. </w:t>
      </w:r>
      <w:r w:rsidR="00CF182C" w:rsidRPr="00FA6677">
        <w:rPr>
          <w:lang w:val="sk-SK"/>
        </w:rPr>
        <w:t>4907/18</w:t>
      </w:r>
      <w:r w:rsidRPr="00555549">
        <w:rPr>
          <w:i/>
          <w:sz w:val="24"/>
          <w:lang w:val="sk-SK"/>
        </w:rPr>
        <w:t>)</w:t>
      </w:r>
      <w:r w:rsidRPr="00555549">
        <w:rPr>
          <w:sz w:val="24"/>
          <w:lang w:val="sk-SK"/>
        </w:rPr>
        <w:t>,</w:t>
      </w:r>
      <w:r w:rsidRPr="00555549">
        <w:rPr>
          <w:i/>
          <w:sz w:val="24"/>
          <w:lang w:val="sk-SK"/>
        </w:rPr>
        <w:t xml:space="preserve"> </w:t>
      </w:r>
      <w:r w:rsidRPr="00555549">
        <w:rPr>
          <w:sz w:val="24"/>
          <w:lang w:val="sk-SK"/>
        </w:rPr>
        <w:t>pozri bod 289.</w:t>
      </w:r>
    </w:p>
  </w:footnote>
  <w:footnote w:id="14">
    <w:p w:rsidR="00C76A00" w:rsidRPr="00555549" w:rsidRDefault="00C76A00">
      <w:pPr>
        <w:pStyle w:val="FootnoteText"/>
        <w:ind w:left="567" w:hanging="567"/>
        <w:rPr>
          <w:sz w:val="24"/>
          <w:lang w:val="sk-SK"/>
        </w:rPr>
      </w:pPr>
      <w:r w:rsidRPr="00555549">
        <w:rPr>
          <w:rStyle w:val="FootnoteReference"/>
          <w:sz w:val="24"/>
          <w:lang w:val="sk-SK"/>
        </w:rPr>
        <w:footnoteRef/>
      </w:r>
      <w:r w:rsidR="00555549" w:rsidRPr="00555549">
        <w:rPr>
          <w:sz w:val="24"/>
          <w:lang w:val="sk-SK"/>
        </w:rPr>
        <w:t xml:space="preserve"> </w:t>
      </w:r>
      <w:r w:rsidR="00555549" w:rsidRPr="00555549">
        <w:rPr>
          <w:sz w:val="24"/>
          <w:lang w:val="sk-SK"/>
        </w:rPr>
        <w:tab/>
      </w:r>
      <w:r w:rsidRPr="00555549">
        <w:rPr>
          <w:sz w:val="24"/>
          <w:lang w:val="sk-SK"/>
        </w:rPr>
        <w:t>Rada Európy, „</w:t>
      </w:r>
      <w:hyperlink r:id="rId1" w:history="1">
        <w:r w:rsidRPr="00555549">
          <w:rPr>
            <w:rStyle w:val="Hyperlink"/>
            <w:sz w:val="24"/>
            <w:lang w:val="sk-SK"/>
          </w:rPr>
          <w:t>Rezolúcia CM/</w:t>
        </w:r>
        <w:proofErr w:type="spellStart"/>
        <w:r w:rsidRPr="00555549">
          <w:rPr>
            <w:rStyle w:val="Hyperlink"/>
            <w:sz w:val="24"/>
            <w:lang w:val="sk-SK"/>
          </w:rPr>
          <w:t>ResChS</w:t>
        </w:r>
        <w:proofErr w:type="spellEnd"/>
        <w:r w:rsidRPr="00555549">
          <w:rPr>
            <w:rStyle w:val="Hyperlink"/>
            <w:sz w:val="24"/>
            <w:lang w:val="sk-SK"/>
          </w:rPr>
          <w:t xml:space="preserve">(2016)3 </w:t>
        </w:r>
        <w:proofErr w:type="spellStart"/>
        <w:r w:rsidRPr="00555549">
          <w:rPr>
            <w:rStyle w:val="Hyperlink"/>
            <w:sz w:val="24"/>
            <w:lang w:val="sk-SK"/>
          </w:rPr>
          <w:t>Confederazione</w:t>
        </w:r>
        <w:proofErr w:type="spellEnd"/>
        <w:r w:rsidRPr="00555549">
          <w:rPr>
            <w:rStyle w:val="Hyperlink"/>
            <w:sz w:val="24"/>
            <w:lang w:val="sk-SK"/>
          </w:rPr>
          <w:t xml:space="preserve"> </w:t>
        </w:r>
        <w:proofErr w:type="spellStart"/>
        <w:r w:rsidRPr="00555549">
          <w:rPr>
            <w:rStyle w:val="Hyperlink"/>
            <w:sz w:val="24"/>
            <w:lang w:val="sk-SK"/>
          </w:rPr>
          <w:t>Generale</w:t>
        </w:r>
        <w:proofErr w:type="spellEnd"/>
        <w:r w:rsidRPr="00555549">
          <w:rPr>
            <w:rStyle w:val="Hyperlink"/>
            <w:sz w:val="24"/>
            <w:lang w:val="sk-SK"/>
          </w:rPr>
          <w:t xml:space="preserve"> </w:t>
        </w:r>
        <w:proofErr w:type="spellStart"/>
        <w:r w:rsidRPr="00555549">
          <w:rPr>
            <w:rStyle w:val="Hyperlink"/>
            <w:sz w:val="24"/>
            <w:lang w:val="sk-SK"/>
          </w:rPr>
          <w:t>Italiana</w:t>
        </w:r>
        <w:proofErr w:type="spellEnd"/>
        <w:r w:rsidRPr="00555549">
          <w:rPr>
            <w:rStyle w:val="Hyperlink"/>
            <w:sz w:val="24"/>
            <w:lang w:val="sk-SK"/>
          </w:rPr>
          <w:t xml:space="preserve"> del </w:t>
        </w:r>
        <w:proofErr w:type="spellStart"/>
        <w:r w:rsidRPr="00555549">
          <w:rPr>
            <w:rStyle w:val="Hyperlink"/>
            <w:sz w:val="24"/>
            <w:lang w:val="sk-SK"/>
          </w:rPr>
          <w:t>Lavoro</w:t>
        </w:r>
        <w:proofErr w:type="spellEnd"/>
        <w:r w:rsidRPr="00555549">
          <w:rPr>
            <w:rStyle w:val="Hyperlink"/>
            <w:sz w:val="24"/>
            <w:lang w:val="sk-SK"/>
          </w:rPr>
          <w:t xml:space="preserve"> (CGIL)/Taliansko, sťažnosť č. 91/2013</w:t>
        </w:r>
      </w:hyperlink>
      <w:r w:rsidRPr="00555549">
        <w:rPr>
          <w:sz w:val="24"/>
          <w:lang w:val="sk-SK"/>
        </w:rPr>
        <w:t>“, 2016; Európsky parlament, „</w:t>
      </w:r>
      <w:proofErr w:type="spellStart"/>
      <w:r w:rsidRPr="00555549">
        <w:rPr>
          <w:sz w:val="24"/>
          <w:lang w:val="sk-SK"/>
        </w:rPr>
        <w:fldChar w:fldCharType="begin"/>
      </w:r>
      <w:r w:rsidRPr="00555549">
        <w:rPr>
          <w:sz w:val="24"/>
          <w:lang w:val="sk-SK"/>
        </w:rPr>
        <w:instrText xml:space="preserve"> HYPERLINK "http://www.refreg.ep.parl.union.eu/RegData/etudes/BRIE/2018/608853/IPOL_BRI(2018)608853_PL.pdf" </w:instrText>
      </w:r>
      <w:r w:rsidRPr="00555549">
        <w:rPr>
          <w:sz w:val="24"/>
          <w:lang w:val="sk-SK"/>
        </w:rPr>
        <w:fldChar w:fldCharType="separate"/>
      </w:r>
      <w:r w:rsidRPr="00555549">
        <w:rPr>
          <w:rStyle w:val="Hyperlink"/>
          <w:sz w:val="24"/>
          <w:lang w:val="sk-SK"/>
        </w:rPr>
        <w:t>Briefing</w:t>
      </w:r>
      <w:proofErr w:type="spellEnd"/>
      <w:r w:rsidRPr="00555549">
        <w:rPr>
          <w:rStyle w:val="Hyperlink"/>
          <w:sz w:val="24"/>
          <w:lang w:val="sk-SK"/>
        </w:rPr>
        <w:t>: Služobná cesta FEMM do Talianska</w:t>
      </w:r>
      <w:r w:rsidR="006F5CC5">
        <w:rPr>
          <w:rStyle w:val="Hyperlink"/>
          <w:sz w:val="24"/>
          <w:lang w:val="sk-SK"/>
        </w:rPr>
        <w:t xml:space="preserve"> </w:t>
      </w:r>
      <w:r w:rsidRPr="00555549">
        <w:rPr>
          <w:rStyle w:val="Hyperlink"/>
          <w:sz w:val="24"/>
          <w:lang w:val="sk-SK"/>
        </w:rPr>
        <w:t>17. – 19. decembra 2018</w:t>
      </w:r>
      <w:r w:rsidRPr="00555549">
        <w:rPr>
          <w:sz w:val="24"/>
          <w:lang w:val="sk-SK"/>
        </w:rPr>
        <w:fldChar w:fldCharType="end"/>
      </w:r>
      <w:r w:rsidRPr="00555549">
        <w:rPr>
          <w:sz w:val="24"/>
          <w:lang w:val="sk-SK"/>
        </w:rPr>
        <w:t>“, december 2018.</w:t>
      </w:r>
    </w:p>
  </w:footnote>
  <w:footnote w:id="15">
    <w:p w:rsidR="00C76A00" w:rsidRPr="00555549" w:rsidRDefault="00C76A00" w:rsidP="00555549">
      <w:pPr>
        <w:pStyle w:val="FootnoteText"/>
        <w:ind w:left="567" w:hanging="567"/>
        <w:rPr>
          <w:color w:val="000000"/>
          <w:sz w:val="24"/>
          <w:lang w:val="sk-SK"/>
        </w:rPr>
      </w:pPr>
      <w:r w:rsidRPr="00555549">
        <w:rPr>
          <w:rStyle w:val="FootnoteReference"/>
          <w:sz w:val="24"/>
          <w:lang w:val="sk-SK"/>
        </w:rPr>
        <w:footnoteRef/>
      </w:r>
      <w:r w:rsidR="00555549" w:rsidRPr="00555549">
        <w:rPr>
          <w:sz w:val="24"/>
          <w:lang w:val="sk-SK"/>
        </w:rPr>
        <w:t xml:space="preserve"> </w:t>
      </w:r>
      <w:r w:rsidR="00555549" w:rsidRPr="00555549">
        <w:rPr>
          <w:sz w:val="24"/>
          <w:lang w:val="sk-SK"/>
        </w:rPr>
        <w:tab/>
      </w:r>
      <w:r w:rsidRPr="00555549">
        <w:rPr>
          <w:sz w:val="24"/>
          <w:lang w:val="sk-SK"/>
        </w:rPr>
        <w:t>RODA, „</w:t>
      </w:r>
      <w:hyperlink r:id="rId2" w:history="1">
        <w:r w:rsidRPr="00555549">
          <w:rPr>
            <w:rStyle w:val="Hyperlink"/>
            <w:sz w:val="24"/>
            <w:lang w:val="sk-SK"/>
          </w:rPr>
          <w:t>Podpora dostupného, bezpečného a legálneho ukončenia tehotenstva v Chorvátsku</w:t>
        </w:r>
      </w:hyperlink>
      <w:r w:rsidRPr="00555549">
        <w:rPr>
          <w:sz w:val="24"/>
          <w:lang w:val="sk-SK"/>
        </w:rPr>
        <w:t>“, 6. mája 2022.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554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554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554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05/2024"/>
    <w:docVar w:name="dvlangue" w:val="SK"/>
    <w:docVar w:name="dvnumam" w:val="0"/>
    <w:docVar w:name="dvpe" w:val="760.611"/>
    <w:docVar w:name="dvtitre" w:val="Uznesenie Európskeho parlamentu z xx. apríla 2024 o začlenení práva na umelé prerušenie tehotenstva do Charty základných práv EÚ(2024/2655(RSP))"/>
  </w:docVars>
  <w:rsids>
    <w:rsidRoot w:val="00D52B4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0E6"/>
    <w:rsid w:val="00395FA1"/>
    <w:rsid w:val="003E15D4"/>
    <w:rsid w:val="00411CCE"/>
    <w:rsid w:val="0041666E"/>
    <w:rsid w:val="00421060"/>
    <w:rsid w:val="004611E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5549"/>
    <w:rsid w:val="00560270"/>
    <w:rsid w:val="005C2568"/>
    <w:rsid w:val="006037C0"/>
    <w:rsid w:val="006631B6"/>
    <w:rsid w:val="00680577"/>
    <w:rsid w:val="006F5CC5"/>
    <w:rsid w:val="006F74FA"/>
    <w:rsid w:val="007000C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3EF2"/>
    <w:rsid w:val="00B558F0"/>
    <w:rsid w:val="00B9595F"/>
    <w:rsid w:val="00BD48FE"/>
    <w:rsid w:val="00BD7BD8"/>
    <w:rsid w:val="00BE6ADC"/>
    <w:rsid w:val="00C05BFE"/>
    <w:rsid w:val="00C23CD4"/>
    <w:rsid w:val="00C52362"/>
    <w:rsid w:val="00C61C0C"/>
    <w:rsid w:val="00C76A00"/>
    <w:rsid w:val="00C941CB"/>
    <w:rsid w:val="00CC2357"/>
    <w:rsid w:val="00CF071A"/>
    <w:rsid w:val="00CF182C"/>
    <w:rsid w:val="00D058B8"/>
    <w:rsid w:val="00D52B4B"/>
    <w:rsid w:val="00D56C11"/>
    <w:rsid w:val="00D834A0"/>
    <w:rsid w:val="00D872DF"/>
    <w:rsid w:val="00D91E21"/>
    <w:rsid w:val="00DA7FCD"/>
    <w:rsid w:val="00E365E1"/>
    <w:rsid w:val="00E820A4"/>
    <w:rsid w:val="00EA2250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667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9C0CF3-5824-4945-83CC-2B4DB26EF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76A00"/>
    <w:pPr>
      <w:spacing w:before="480" w:after="240"/>
    </w:pPr>
  </w:style>
  <w:style w:type="paragraph" w:customStyle="1" w:styleId="NormalHanging12a">
    <w:name w:val="NormalHanging12a"/>
    <w:basedOn w:val="Normal"/>
    <w:rsid w:val="00C76A00"/>
    <w:pPr>
      <w:spacing w:after="240"/>
      <w:ind w:left="567" w:hanging="567"/>
    </w:pPr>
  </w:style>
  <w:style w:type="character" w:customStyle="1" w:styleId="doceo-font-family-base">
    <w:name w:val="doceo-font-family-base"/>
    <w:basedOn w:val="DefaultParagraphFont"/>
    <w:rsid w:val="00C76A00"/>
  </w:style>
  <w:style w:type="table" w:customStyle="1" w:styleId="1">
    <w:name w:val="1"/>
    <w:basedOn w:val="TableNormal"/>
    <w:rsid w:val="00C76A00"/>
    <w:pPr>
      <w:spacing w:after="160" w:line="259" w:lineRule="auto"/>
    </w:pPr>
    <w:rPr>
      <w:rFonts w:ascii="Calibri" w:eastAsia="Calibri" w:hAnsi="Calibri" w:cs="Calibri"/>
      <w:sz w:val="22"/>
      <w:szCs w:val="22"/>
      <w:lang w:val="sk-SK"/>
    </w:rPr>
    <w:tblPr>
      <w:tblStyleRowBandSize w:val="1"/>
      <w:tblStyleColBandSize w:val="1"/>
      <w:tblCellMar>
        <w:left w:w="340" w:type="dxa"/>
        <w:right w:w="340" w:type="dxa"/>
      </w:tblCellMar>
    </w:tblPr>
  </w:style>
  <w:style w:type="character" w:styleId="Hyperlink">
    <w:name w:val="Hyperlink"/>
    <w:basedOn w:val="DefaultParagraphFont"/>
    <w:uiPriority w:val="99"/>
    <w:unhideWhenUsed/>
    <w:rsid w:val="00C76A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roda.hr/en/news/support-for-accessible-safe-and-legal-termination-of-pregnancy-in-croatia.html" TargetMode="External"/><Relationship Id="rId1" Type="http://schemas.openxmlformats.org/officeDocument/2006/relationships/hyperlink" Target="https://search.coe.int/cm/Pages/result_details.aspx?ObjectId=0900001680687bd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A0779-AA58-43E6-8524-ECCF4A06F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3262</Words>
  <Characters>18598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2024-04-11T14:24:00Z</dcterms:created>
  <dcterms:modified xsi:type="dcterms:W3CDTF">2024-04-11T14:24:00Z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B9-0205/2024</vt:lpwstr>
  </property>
  <property fmtid="{D5CDD505-2E9C-101B-9397-08002B2CF9AE}" pid="4" name="&lt;Type&gt;">
    <vt:lpwstr>RR</vt:lpwstr>
  </property>
</Properties>
</file>