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0AC6" w:rsidTr="0010095E">
        <w:trPr>
          <w:trHeight w:hRule="exact" w:val="1418"/>
        </w:trPr>
        <w:tc>
          <w:tcPr>
            <w:tcW w:w="6804" w:type="dxa"/>
            <w:shd w:val="clear" w:color="auto" w:fill="auto"/>
            <w:vAlign w:val="center"/>
          </w:tcPr>
          <w:p w:rsidR="00751A4A" w:rsidRPr="006F0AC6" w:rsidRDefault="005D5514" w:rsidP="0010095E">
            <w:pPr>
              <w:pStyle w:val="EPName"/>
            </w:pPr>
            <w:bookmarkStart w:id="0" w:name="_GoBack"/>
            <w:bookmarkEnd w:id="0"/>
            <w:r w:rsidRPr="006F0AC6">
              <w:t>Evropski parlament</w:t>
            </w:r>
          </w:p>
          <w:p w:rsidR="00751A4A" w:rsidRPr="006F0AC6" w:rsidRDefault="00817416" w:rsidP="00756632">
            <w:pPr>
              <w:pStyle w:val="EPTerm"/>
              <w:rPr>
                <w:rStyle w:val="HideTWBExt"/>
                <w:noProof w:val="0"/>
                <w:vanish w:val="0"/>
                <w:color w:val="auto"/>
              </w:rPr>
            </w:pPr>
            <w:r w:rsidRPr="006F0AC6">
              <w:t>2019-2024</w:t>
            </w:r>
          </w:p>
        </w:tc>
        <w:tc>
          <w:tcPr>
            <w:tcW w:w="2268" w:type="dxa"/>
            <w:shd w:val="clear" w:color="auto" w:fill="auto"/>
          </w:tcPr>
          <w:p w:rsidR="00751A4A" w:rsidRPr="006F0AC6" w:rsidRDefault="00187494" w:rsidP="0010095E">
            <w:pPr>
              <w:pStyle w:val="EPLogo"/>
            </w:pPr>
            <w:r w:rsidRPr="006F0A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0AC6" w:rsidRDefault="00D058B8" w:rsidP="004C5D52">
      <w:pPr>
        <w:pStyle w:val="LineTop"/>
      </w:pPr>
    </w:p>
    <w:p w:rsidR="00680577" w:rsidRPr="006F0AC6" w:rsidRDefault="005D5514" w:rsidP="00680577">
      <w:pPr>
        <w:pStyle w:val="EPBodyTA1"/>
      </w:pPr>
      <w:r w:rsidRPr="006F0AC6">
        <w:t>SPREJETA BESEDILA</w:t>
      </w:r>
    </w:p>
    <w:p w:rsidR="00D058B8" w:rsidRPr="006F0AC6" w:rsidRDefault="00D058B8" w:rsidP="00D058B8">
      <w:pPr>
        <w:pStyle w:val="LineBottom"/>
      </w:pPr>
    </w:p>
    <w:p w:rsidR="005D5514" w:rsidRPr="006F0AC6" w:rsidRDefault="005D5514" w:rsidP="00A8170A">
      <w:pPr>
        <w:pStyle w:val="ATHeading1"/>
      </w:pPr>
      <w:bookmarkStart w:id="1" w:name="TANumber"/>
      <w:r w:rsidRPr="006F0AC6">
        <w:t>P9_TA(2024)0</w:t>
      </w:r>
      <w:r w:rsidR="00A8170A">
        <w:t>286</w:t>
      </w:r>
      <w:bookmarkEnd w:id="1"/>
    </w:p>
    <w:p w:rsidR="005D5514" w:rsidRPr="006F0AC6" w:rsidRDefault="005D5514" w:rsidP="005D5514">
      <w:pPr>
        <w:pStyle w:val="ATHeading2"/>
      </w:pPr>
      <w:bookmarkStart w:id="2" w:name="title"/>
      <w:r w:rsidRPr="006F0AC6">
        <w:t>Vključitev pravice do splava v Listino EU o temeljnih pravicah</w:t>
      </w:r>
      <w:bookmarkEnd w:id="2"/>
    </w:p>
    <w:p w:rsidR="005D5514" w:rsidRPr="006F0AC6" w:rsidRDefault="005D5514" w:rsidP="005D5514">
      <w:pPr>
        <w:rPr>
          <w:i/>
          <w:vanish/>
        </w:rPr>
      </w:pPr>
      <w:r w:rsidRPr="006F0AC6">
        <w:rPr>
          <w:i/>
        </w:rPr>
        <w:fldChar w:fldCharType="begin"/>
      </w:r>
      <w:r w:rsidRPr="006F0AC6">
        <w:rPr>
          <w:i/>
        </w:rPr>
        <w:instrText xml:space="preserve"> TC"(</w:instrText>
      </w:r>
      <w:bookmarkStart w:id="3" w:name="DocNumber"/>
      <w:r w:rsidRPr="006F0AC6">
        <w:rPr>
          <w:i/>
        </w:rPr>
        <w:instrText>B9-0205/2024</w:instrText>
      </w:r>
      <w:bookmarkEnd w:id="3"/>
      <w:r w:rsidRPr="006F0AC6">
        <w:rPr>
          <w:i/>
        </w:rPr>
        <w:instrText xml:space="preserve">)"\l3 \n&gt; \* MERGEFORMAT </w:instrText>
      </w:r>
      <w:r w:rsidRPr="006F0AC6">
        <w:rPr>
          <w:i/>
        </w:rPr>
        <w:fldChar w:fldCharType="end"/>
      </w:r>
    </w:p>
    <w:p w:rsidR="005D5514" w:rsidRPr="006F0AC6" w:rsidRDefault="005D5514" w:rsidP="005D5514">
      <w:pPr>
        <w:rPr>
          <w:vanish/>
        </w:rPr>
      </w:pPr>
      <w:bookmarkStart w:id="4" w:name="PE"/>
      <w:r w:rsidRPr="006F0AC6">
        <w:rPr>
          <w:vanish/>
        </w:rPr>
        <w:t>PE760.611</w:t>
      </w:r>
      <w:bookmarkEnd w:id="4"/>
    </w:p>
    <w:p w:rsidR="005D5514" w:rsidRPr="006F0AC6" w:rsidRDefault="005D5514" w:rsidP="005D5514">
      <w:pPr>
        <w:pStyle w:val="ATHeading3"/>
      </w:pPr>
      <w:bookmarkStart w:id="5" w:name="Sujet"/>
      <w:r w:rsidRPr="006F0AC6">
        <w:t>Resolucija Evropskega parlamenta z dne 11. aprila 2024 o vključitvi pravice do splava v Listino EU o temeljnih pravicah</w:t>
      </w:r>
      <w:bookmarkEnd w:id="5"/>
      <w:r w:rsidRPr="006F0AC6">
        <w:t xml:space="preserve"> </w:t>
      </w:r>
      <w:bookmarkStart w:id="6" w:name="References"/>
      <w:r w:rsidRPr="006F0AC6">
        <w:t>(2024/2655(RSP))</w:t>
      </w:r>
      <w:bookmarkEnd w:id="6"/>
    </w:p>
    <w:p w:rsidR="00E33CE7" w:rsidRPr="006F0AC6" w:rsidRDefault="00E33CE7" w:rsidP="00E33CE7">
      <w:pPr>
        <w:pStyle w:val="EPComma"/>
      </w:pPr>
      <w:bookmarkStart w:id="7" w:name="TextBodyBegin"/>
      <w:bookmarkEnd w:id="7"/>
      <w:r w:rsidRPr="006F0AC6">
        <w:rPr>
          <w:i/>
          <w:iCs/>
        </w:rPr>
        <w:t>Evropski parlament</w:t>
      </w:r>
      <w:r w:rsidRPr="006F0AC6">
        <w:t>,</w:t>
      </w:r>
    </w:p>
    <w:p w:rsidR="00E33CE7" w:rsidRPr="006F0AC6" w:rsidRDefault="00E33CE7" w:rsidP="00E33CE7">
      <w:pPr>
        <w:pStyle w:val="NormalHanging12a"/>
      </w:pPr>
      <w:r w:rsidRPr="006F0AC6">
        <w:t>–</w:t>
      </w:r>
      <w:r w:rsidRPr="006F0AC6">
        <w:tab/>
        <w:t>ob upoštevanju Evropske konvencije o človekovih pravicah iz leta 1950,</w:t>
      </w:r>
    </w:p>
    <w:p w:rsidR="00E33CE7" w:rsidRPr="006F0AC6" w:rsidRDefault="00E33CE7" w:rsidP="00E33CE7">
      <w:pPr>
        <w:pStyle w:val="NormalHanging12a"/>
      </w:pPr>
      <w:r w:rsidRPr="006F0AC6">
        <w:t>–</w:t>
      </w:r>
      <w:r w:rsidRPr="006F0AC6">
        <w:tab/>
        <w:t>ob upoštevanju Konvencije o odpravi vseh oblik diskriminacije žensk iz leta 1979,</w:t>
      </w:r>
    </w:p>
    <w:p w:rsidR="00E33CE7" w:rsidRPr="006F0AC6" w:rsidRDefault="00E33CE7" w:rsidP="00E33CE7">
      <w:pPr>
        <w:pStyle w:val="NormalHanging12a"/>
      </w:pPr>
      <w:r w:rsidRPr="006F0AC6">
        <w:t>–</w:t>
      </w:r>
      <w:r w:rsidRPr="006F0AC6">
        <w:tab/>
        <w:t>ob upoštevanju Listine Evropske unije o temeljnih pravicah (v nadaljnjem besedilu: listina) iz leta 2000,</w:t>
      </w:r>
    </w:p>
    <w:p w:rsidR="00E33CE7" w:rsidRPr="006F0AC6" w:rsidRDefault="00E33CE7" w:rsidP="00E33CE7">
      <w:pPr>
        <w:pStyle w:val="NormalHanging12a"/>
      </w:pPr>
      <w:r w:rsidRPr="006F0AC6">
        <w:t>–</w:t>
      </w:r>
      <w:r w:rsidRPr="006F0AC6">
        <w:tab/>
        <w:t>ob upoštevanju svoje resolucije z dne 13. februarja 2019 o nazadovanju na področju pravic žensk in enakosti spolov v EU</w:t>
      </w:r>
      <w:r w:rsidRPr="006F0AC6">
        <w:rPr>
          <w:rStyle w:val="FootnoteReference"/>
        </w:rPr>
        <w:footnoteReference w:id="1"/>
      </w:r>
      <w:r w:rsidRPr="006F0AC6">
        <w:t>,</w:t>
      </w:r>
    </w:p>
    <w:p w:rsidR="00E33CE7" w:rsidRPr="006F0AC6" w:rsidRDefault="00E33CE7" w:rsidP="00E33CE7">
      <w:pPr>
        <w:pStyle w:val="NormalHanging12a"/>
      </w:pPr>
      <w:r w:rsidRPr="006F0AC6">
        <w:t>–</w:t>
      </w:r>
      <w:r w:rsidRPr="006F0AC6">
        <w:tab/>
        <w:t>ob upoštevanju svoje resolucije z dne 14. novembra 2019 o kriminalizaciji spolne vzgoje na Poljskem</w:t>
      </w:r>
      <w:r w:rsidRPr="006F0AC6">
        <w:rPr>
          <w:rStyle w:val="FootnoteReference"/>
        </w:rPr>
        <w:footnoteReference w:id="2"/>
      </w:r>
      <w:r w:rsidRPr="006F0AC6">
        <w:t>,</w:t>
      </w:r>
    </w:p>
    <w:p w:rsidR="00E33CE7" w:rsidRPr="006F0AC6" w:rsidRDefault="00E33CE7" w:rsidP="00E33CE7">
      <w:pPr>
        <w:pStyle w:val="NormalHanging12a"/>
      </w:pPr>
      <w:r w:rsidRPr="006F0AC6">
        <w:t>–</w:t>
      </w:r>
      <w:r w:rsidRPr="006F0AC6">
        <w:tab/>
        <w:t>ob upoštevanju svoje resolucije z dne 26. novembra 2020 o dejanski prepovedi pravice do splava na Poljskem</w:t>
      </w:r>
      <w:r w:rsidRPr="006F0AC6">
        <w:rPr>
          <w:rStyle w:val="FootnoteReference"/>
        </w:rPr>
        <w:footnoteReference w:id="3"/>
      </w:r>
      <w:r w:rsidRPr="006F0AC6">
        <w:t>,</w:t>
      </w:r>
    </w:p>
    <w:p w:rsidR="00E33CE7" w:rsidRPr="006F0AC6" w:rsidRDefault="00E33CE7" w:rsidP="00E33CE7">
      <w:pPr>
        <w:pStyle w:val="NormalHanging12a"/>
      </w:pPr>
      <w:r w:rsidRPr="006F0AC6">
        <w:t>–</w:t>
      </w:r>
      <w:r w:rsidRPr="006F0AC6">
        <w:tab/>
        <w:t>ob upoštevanju svoje resolucije z dne 11. novembra 2021 o prvi obletnici dejanske prepovedi pravice do splava na Poljskem</w:t>
      </w:r>
      <w:r w:rsidRPr="006F0AC6">
        <w:rPr>
          <w:rStyle w:val="FootnoteReference"/>
        </w:rPr>
        <w:footnoteReference w:id="4"/>
      </w:r>
      <w:r w:rsidRPr="006F0AC6">
        <w:t>,</w:t>
      </w:r>
    </w:p>
    <w:p w:rsidR="00E33CE7" w:rsidRPr="006F0AC6" w:rsidRDefault="00E33CE7" w:rsidP="00E33CE7">
      <w:pPr>
        <w:pStyle w:val="NormalHanging12a"/>
      </w:pPr>
      <w:r w:rsidRPr="006F0AC6">
        <w:t>–</w:t>
      </w:r>
      <w:r w:rsidRPr="006F0AC6">
        <w:tab/>
        <w:t>ob upoštevanju svoje resolucije z dne 24. junija 2021 o stanju spolnega in reproduktivnega zdravja in pravic v EU v povezavi z zdravjem žensk</w:t>
      </w:r>
      <w:r w:rsidRPr="006F0AC6">
        <w:rPr>
          <w:rStyle w:val="FootnoteReference"/>
        </w:rPr>
        <w:footnoteReference w:id="5"/>
      </w:r>
      <w:r w:rsidRPr="006F0AC6">
        <w:t>,</w:t>
      </w:r>
    </w:p>
    <w:p w:rsidR="00E33CE7" w:rsidRPr="006F0AC6" w:rsidRDefault="00E33CE7" w:rsidP="00E33CE7">
      <w:pPr>
        <w:pStyle w:val="NormalHanging12a"/>
      </w:pPr>
      <w:r w:rsidRPr="006F0AC6">
        <w:t>–</w:t>
      </w:r>
      <w:r w:rsidRPr="006F0AC6">
        <w:tab/>
        <w:t xml:space="preserve">ob upoštevanju svoje resolucije z dne 5. maja 2022 o posledicah vojne v Ukrajini za </w:t>
      </w:r>
      <w:r w:rsidRPr="006F0AC6">
        <w:lastRenderedPageBreak/>
        <w:t>ženske</w:t>
      </w:r>
      <w:r w:rsidRPr="006F0AC6">
        <w:rPr>
          <w:rStyle w:val="FootnoteReference"/>
        </w:rPr>
        <w:footnoteReference w:id="6"/>
      </w:r>
      <w:r w:rsidRPr="006F0AC6">
        <w:t>,</w:t>
      </w:r>
    </w:p>
    <w:p w:rsidR="00E33CE7" w:rsidRPr="006F0AC6" w:rsidRDefault="00E33CE7" w:rsidP="00E33CE7">
      <w:pPr>
        <w:pStyle w:val="NormalHanging12a"/>
      </w:pPr>
      <w:r w:rsidRPr="006F0AC6">
        <w:t>–</w:t>
      </w:r>
      <w:r w:rsidRPr="006F0AC6">
        <w:tab/>
        <w:t>ob upoštevanju svoje resolucije z dne 9. junija 2022 o grožnjah za pravico do splava po svetu: morebitna razveljavitev pravice do splava v ZDA s strani vrhovnega sodišča</w:t>
      </w:r>
      <w:r w:rsidRPr="006F0AC6">
        <w:rPr>
          <w:rStyle w:val="FootnoteReference"/>
        </w:rPr>
        <w:footnoteReference w:id="7"/>
      </w:r>
      <w:r w:rsidRPr="006F0AC6">
        <w:t>,</w:t>
      </w:r>
    </w:p>
    <w:p w:rsidR="00E33CE7" w:rsidRPr="006F0AC6" w:rsidRDefault="00E33CE7" w:rsidP="00E33CE7">
      <w:pPr>
        <w:pStyle w:val="NormalHanging12a"/>
      </w:pPr>
      <w:r w:rsidRPr="006F0AC6">
        <w:t>–</w:t>
      </w:r>
      <w:r w:rsidRPr="006F0AC6">
        <w:tab/>
        <w:t>ob upoštevanju svoje resolucije z dne 7. julija 2022 o odločitvi vrhovnega sodišča ZDA o odpravi pravice do splava v Združenih državah in potrebi po zaščiti pravice do splava in zdravja žensk, tudi v EU</w:t>
      </w:r>
      <w:r w:rsidRPr="006F0AC6">
        <w:rPr>
          <w:rStyle w:val="FootnoteReference"/>
        </w:rPr>
        <w:footnoteReference w:id="8"/>
      </w:r>
      <w:r w:rsidRPr="006F0AC6">
        <w:t>,</w:t>
      </w:r>
    </w:p>
    <w:p w:rsidR="00E33CE7" w:rsidRPr="006F0AC6" w:rsidRDefault="00E33CE7" w:rsidP="00E33CE7">
      <w:pPr>
        <w:pStyle w:val="NormalHanging12a"/>
      </w:pPr>
      <w:r w:rsidRPr="006F0AC6">
        <w:t>–</w:t>
      </w:r>
      <w:r w:rsidRPr="006F0AC6">
        <w:tab/>
        <w:t>ob upoštevanju svoje resolucije z dne 22. novembra 2023 o predlogih Evropskega parlamenta za spremembo Pogodb</w:t>
      </w:r>
      <w:r w:rsidRPr="006F0AC6">
        <w:rPr>
          <w:rStyle w:val="FootnoteReference"/>
        </w:rPr>
        <w:footnoteReference w:id="9"/>
      </w:r>
      <w:r w:rsidRPr="006F0AC6">
        <w:t>,</w:t>
      </w:r>
    </w:p>
    <w:p w:rsidR="00E33CE7" w:rsidRPr="006F0AC6" w:rsidRDefault="00E33CE7" w:rsidP="00E33CE7">
      <w:pPr>
        <w:pStyle w:val="NormalHanging12a"/>
      </w:pPr>
      <w:r w:rsidRPr="006F0AC6">
        <w:t>–</w:t>
      </w:r>
      <w:r w:rsidRPr="006F0AC6">
        <w:tab/>
        <w:t>ob upoštevanju smernic Svetovne zdravstvene organizacije o varnem splavu: tehnične in politične smernice za zdravstvene sisteme,</w:t>
      </w:r>
    </w:p>
    <w:p w:rsidR="00E33CE7" w:rsidRPr="006F0AC6" w:rsidRDefault="00E33CE7" w:rsidP="00E33CE7">
      <w:pPr>
        <w:pStyle w:val="NormalHanging12a"/>
      </w:pPr>
      <w:r w:rsidRPr="006F0AC6">
        <w:t>–</w:t>
      </w:r>
      <w:r w:rsidRPr="006F0AC6">
        <w:tab/>
        <w:t>ob upoštevanju strategije Svetovne zdravstvene organizacije za obdobje 2017–2021 o zdravju in dobrem počutju žensk v Evropi: ne samo daljša pričakovana življenjska doba ter akcijskega načrta za leto 2016 za spolno in reproduktivno zdravje: doseganje agende za trajnostni razvoj do leta 2030 v Evropi – nihče ne sme biti zapostavljen,</w:t>
      </w:r>
    </w:p>
    <w:p w:rsidR="00E33CE7" w:rsidRPr="006F0AC6" w:rsidRDefault="00E33CE7" w:rsidP="00E33CE7">
      <w:pPr>
        <w:pStyle w:val="NormalHanging12a"/>
      </w:pPr>
      <w:r w:rsidRPr="006F0AC6">
        <w:t>–</w:t>
      </w:r>
      <w:r w:rsidRPr="006F0AC6">
        <w:tab/>
        <w:t>ob upoštevanju sporočila Komisije z dne 5. marca 2020 z naslovom Unija enakosti: strategija za enakost spolov za obdobje 2020–2025 (COM(2020)0152),</w:t>
      </w:r>
    </w:p>
    <w:p w:rsidR="00E33CE7" w:rsidRPr="006F0AC6" w:rsidRDefault="00E33CE7" w:rsidP="00E33CE7">
      <w:pPr>
        <w:pStyle w:val="NormalHanging12a"/>
      </w:pPr>
      <w:r w:rsidRPr="006F0AC6">
        <w:t>–</w:t>
      </w:r>
      <w:r w:rsidRPr="006F0AC6">
        <w:tab/>
        <w:t>ob upoštevanju sporočila Komisije z dne 12. novembra 2020 z naslovom Unija enakosti: strategija za enakost LGBTIQ za obdobje 2020–2025 (COM(2020)0698),</w:t>
      </w:r>
    </w:p>
    <w:p w:rsidR="00E33CE7" w:rsidRPr="006F0AC6" w:rsidRDefault="00E33CE7" w:rsidP="00E33CE7">
      <w:pPr>
        <w:pStyle w:val="NormalHanging12a"/>
      </w:pPr>
      <w:r w:rsidRPr="006F0AC6">
        <w:t>–</w:t>
      </w:r>
      <w:r w:rsidRPr="006F0AC6">
        <w:tab/>
        <w:t>ob upoštevanju Splošne deklaracije o človekovih pravicah,</w:t>
      </w:r>
    </w:p>
    <w:p w:rsidR="00E33CE7" w:rsidRPr="006F0AC6" w:rsidRDefault="00E33CE7" w:rsidP="00E33CE7">
      <w:pPr>
        <w:pStyle w:val="NormalHanging12a"/>
      </w:pPr>
      <w:r w:rsidRPr="006F0AC6">
        <w:t>–</w:t>
      </w:r>
      <w:r w:rsidRPr="006F0AC6">
        <w:tab/>
        <w:t>ob upoštevanju Evropske konvencije o človekovih pravicah in sodne prakse Evropskega sodišča za človekove pravice,</w:t>
      </w:r>
    </w:p>
    <w:p w:rsidR="00E33CE7" w:rsidRPr="006F0AC6" w:rsidRDefault="00E33CE7" w:rsidP="00E33CE7">
      <w:pPr>
        <w:pStyle w:val="NormalHanging12a"/>
      </w:pPr>
      <w:r w:rsidRPr="006F0AC6">
        <w:t>–</w:t>
      </w:r>
      <w:r w:rsidRPr="006F0AC6">
        <w:tab/>
        <w:t>ob upoštevanju Konvencije Sveta Evrope o preprečevanju nasilja nad ženskami in nasilja v družini ter o boju proti njima, ki je bila dana na voljo za podpis od 11. maja 2011 v Istanbulu (v nadaljnjem besedilu: Istanbulska konvencija) in jo je EU ratificirala 28. junija 2023,</w:t>
      </w:r>
    </w:p>
    <w:p w:rsidR="00E33CE7" w:rsidRPr="006F0AC6" w:rsidRDefault="00E33CE7" w:rsidP="00E33CE7">
      <w:pPr>
        <w:pStyle w:val="NormalHanging12a"/>
      </w:pPr>
      <w:r w:rsidRPr="006F0AC6">
        <w:t>–</w:t>
      </w:r>
      <w:r w:rsidRPr="006F0AC6">
        <w:tab/>
        <w:t>ob upoštevanju splošne opombe št. 36 (2018) Odbora OZN za človekove pravice o 6. členu Mednarodnega pakta o državljanskih in političnih pravicah o pravici do življenja,</w:t>
      </w:r>
    </w:p>
    <w:p w:rsidR="00E33CE7" w:rsidRPr="006F0AC6" w:rsidRDefault="00E33CE7" w:rsidP="00E33CE7">
      <w:pPr>
        <w:pStyle w:val="NormalHanging12a"/>
      </w:pPr>
      <w:r w:rsidRPr="006F0AC6">
        <w:t>–</w:t>
      </w:r>
      <w:r w:rsidRPr="006F0AC6">
        <w:tab/>
        <w:t>ob upoštevanju svoje resolucije z dne 18. januarja 2024 o razmerah na področju temeljnih pravic v Evropski uniji – letno poročilo za leti 2022 in 2023</w:t>
      </w:r>
      <w:r w:rsidRPr="006F0AC6">
        <w:rPr>
          <w:rStyle w:val="FootnoteReference"/>
        </w:rPr>
        <w:footnoteReference w:id="10"/>
      </w:r>
      <w:r w:rsidRPr="006F0AC6">
        <w:t>,</w:t>
      </w:r>
    </w:p>
    <w:p w:rsidR="00E33CE7" w:rsidRPr="006F0AC6" w:rsidRDefault="00E33CE7" w:rsidP="00E33CE7">
      <w:pPr>
        <w:pStyle w:val="NormalHanging12a"/>
      </w:pPr>
      <w:r w:rsidRPr="006F0AC6">
        <w:t>–</w:t>
      </w:r>
      <w:r w:rsidRPr="006F0AC6">
        <w:tab/>
        <w:t xml:space="preserve">ob upoštevanju svoje resolucije z dne 28. februarja 2024 o poročilu Komisije o stanju </w:t>
      </w:r>
      <w:r w:rsidRPr="006F0AC6">
        <w:lastRenderedPageBreak/>
        <w:t>pravne države za leto 2023</w:t>
      </w:r>
      <w:r w:rsidRPr="006F0AC6">
        <w:rPr>
          <w:rStyle w:val="FootnoteReference"/>
        </w:rPr>
        <w:footnoteReference w:id="11"/>
      </w:r>
      <w:r w:rsidRPr="006F0AC6">
        <w:t>,</w:t>
      </w:r>
    </w:p>
    <w:p w:rsidR="00E33CE7" w:rsidRPr="006F0AC6" w:rsidRDefault="00E33CE7" w:rsidP="00E33CE7">
      <w:pPr>
        <w:pStyle w:val="NormalHanging12a"/>
      </w:pPr>
      <w:r w:rsidRPr="006F0AC6">
        <w:t>–</w:t>
      </w:r>
      <w:r w:rsidRPr="006F0AC6">
        <w:tab/>
        <w:t>ob upoštevanju člena 132(2) Poslovnika,</w:t>
      </w:r>
    </w:p>
    <w:p w:rsidR="00E33CE7" w:rsidRPr="006F0AC6" w:rsidRDefault="00E33CE7" w:rsidP="00E33CE7">
      <w:pPr>
        <w:pStyle w:val="NormalHanging12a"/>
        <w:rPr>
          <w:szCs w:val="24"/>
        </w:rPr>
      </w:pPr>
      <w:r w:rsidRPr="006F0AC6">
        <w:t>A.</w:t>
      </w:r>
      <w:r w:rsidRPr="006F0AC6">
        <w:tab/>
        <w:t>ker so spolno in reproduktivno zdravje in pravice, vključno z varnim in zakonitim splavom, temeljna pravica; ker je zagotavljanje spolnega in reproduktivnega zdravja in pravic bistveno za varstvo človekovega dostojanstva in je neločljivo povezano z bojem proti spolnemu nasilju in nasilju na podlagi spola ter uresničevanjem enakosti spolov in številnih drugih človekovih pravic, kot so pravice do življenja, zdravja, zasebnosti, osebne varnosti, nediskriminacije, enakosti pred zakonom ter prepovedi mučenja in drugega krutega, nečloveškega ali ponižujočega ravnanja ali kaznovanja;</w:t>
      </w:r>
    </w:p>
    <w:p w:rsidR="00E33CE7" w:rsidRPr="006F0AC6" w:rsidRDefault="00E33CE7" w:rsidP="00E33CE7">
      <w:pPr>
        <w:pStyle w:val="NormalHanging12a"/>
        <w:rPr>
          <w:szCs w:val="24"/>
        </w:rPr>
      </w:pPr>
      <w:r w:rsidRPr="006F0AC6">
        <w:t>B.</w:t>
      </w:r>
      <w:r w:rsidRPr="006F0AC6">
        <w:tab/>
        <w:t>ker je zmožnost ljudi, da uveljavljajo svojo reproduktivno avtonomijo, obvladujejo svoje reproduktivno življenje ter sami odločajo, ali, kdaj in kako bodo imeli otroke, bistvena za polno uresničevanje človekovih pravic žensk, deklet in vseh oseb, ki lahko zanosijo; ker je treba vsem ljudem omogočiti, da sami odločajo o svojem telesu, in jim s tem zagotoviti popolno avtonomijo;</w:t>
      </w:r>
    </w:p>
    <w:p w:rsidR="00E33CE7" w:rsidRPr="006F0AC6" w:rsidRDefault="00E33CE7" w:rsidP="00E33CE7">
      <w:pPr>
        <w:pStyle w:val="NormalHanging12a"/>
        <w:rPr>
          <w:szCs w:val="24"/>
        </w:rPr>
      </w:pPr>
      <w:r w:rsidRPr="006F0AC6">
        <w:t>C.</w:t>
      </w:r>
      <w:r w:rsidRPr="006F0AC6">
        <w:tab/>
        <w:t>ker so v listini določene glavne temeljne pravice in svoboščine ljudi, ki živijo v EU; ker zaščita varnega in zakonitega splava neposredno vpliva na učinkovito uveljavljanje pravic, priznanih v listini, kot so človekovo dostojanstvo, osebna avtonomija, enakost, zdravje ter telesna in duševna celovitost; ker onemogočanje dostopa do splava pomeni kršitev teh temeljnih pravic;</w:t>
      </w:r>
    </w:p>
    <w:p w:rsidR="00E33CE7" w:rsidRPr="006F0AC6" w:rsidRDefault="00E33CE7" w:rsidP="00E33CE7">
      <w:pPr>
        <w:pStyle w:val="NormalHanging12a"/>
        <w:rPr>
          <w:szCs w:val="24"/>
        </w:rPr>
      </w:pPr>
      <w:r w:rsidRPr="006F0AC6">
        <w:t>D.</w:t>
      </w:r>
      <w:r w:rsidRPr="006F0AC6">
        <w:tab/>
        <w:t>ker je Odbor OZN za človekove pravice izrecno priznal, da posameznikova odločitev o prostovoljni prekinitvi nosečnosti spada na področje pravice do zasebnosti; ker je nadalje ugotovil, da neukrepanje v skladu z odločitvijo ženske, da opravi zakonit splav, pomeni kršitev pravice do zasebnosti, tudi kadar v to odločitev poseže sodstvo;</w:t>
      </w:r>
    </w:p>
    <w:p w:rsidR="00E33CE7" w:rsidRPr="006F0AC6" w:rsidRDefault="00E33CE7" w:rsidP="00E33CE7">
      <w:pPr>
        <w:pStyle w:val="NormalHanging12a"/>
        <w:rPr>
          <w:szCs w:val="24"/>
        </w:rPr>
      </w:pPr>
      <w:r w:rsidRPr="006F0AC6">
        <w:t>E.</w:t>
      </w:r>
      <w:r w:rsidRPr="006F0AC6">
        <w:tab/>
        <w:t>ker je Odbor OZN za odpravo diskriminacije žensk v svojem splošnem priporočilu št. 35 izrecno navedel, da kriminalizacija splava pomeni kršitev spolnega in reproduktivnega zdravja in pravic žensk ter obliko nasilja na podlagi spola, in pozval države, naj razveljavijo vso zakonodajo, ki kriminalizira splav;</w:t>
      </w:r>
    </w:p>
    <w:p w:rsidR="00E33CE7" w:rsidRPr="006F0AC6" w:rsidRDefault="00E33CE7" w:rsidP="00E33CE7">
      <w:pPr>
        <w:pStyle w:val="NormalHanging12a"/>
        <w:rPr>
          <w:szCs w:val="24"/>
        </w:rPr>
      </w:pPr>
      <w:r w:rsidRPr="006F0AC6">
        <w:t>F.</w:t>
      </w:r>
      <w:r w:rsidRPr="006F0AC6">
        <w:tab/>
        <w:t>ker so spolno in reproduktivno zdravje in pravice vključeni v cilje trajnostnega razvoja, zlasti cilj 3.7 o splošnem dostopu do zdravstvene oskrbe na področju spolnega in reproduktivnega zdravja, tudi za načrtovanje družine, ozaveščanje in izobraževanje, ter vključitvi reproduktivnega zdravja v nacionalne strategije in programe ter cilj 5.6 o splošnem dostopu do spolnega in reproduktivnega zdravja in pravic v skladu z akcijskim programom mednarodne konference o prebivalstvu in razvoju, pekinškimi izhodišči za ukrepanje ter sklepnimi dokumenti s preglednih konferenc;</w:t>
      </w:r>
    </w:p>
    <w:p w:rsidR="00E33CE7" w:rsidRPr="006F0AC6" w:rsidRDefault="00E33CE7" w:rsidP="00E33CE7">
      <w:pPr>
        <w:pStyle w:val="NormalHanging12a"/>
        <w:rPr>
          <w:rStyle w:val="doceo-font-family-base"/>
          <w:color w:val="000000"/>
          <w:szCs w:val="24"/>
        </w:rPr>
      </w:pPr>
      <w:r w:rsidRPr="006F0AC6">
        <w:rPr>
          <w:rStyle w:val="doceo-font-family-base"/>
          <w:color w:val="000000"/>
        </w:rPr>
        <w:t>G.</w:t>
      </w:r>
      <w:r w:rsidRPr="006F0AC6">
        <w:rPr>
          <w:rStyle w:val="doceo-font-family-base"/>
          <w:color w:val="000000"/>
        </w:rPr>
        <w:tab/>
      </w:r>
      <w:r w:rsidRPr="006F0AC6">
        <w:t>ker je v državah z manj omejevalnimi zakoni o splavu število splavov na splošno manjše kot v državah z zelo omejevalnimi zakoni na tem področju</w:t>
      </w:r>
      <w:r w:rsidRPr="006F0AC6">
        <w:rPr>
          <w:rStyle w:val="FootnoteReference"/>
          <w:color w:val="000000"/>
          <w:szCs w:val="24"/>
        </w:rPr>
        <w:footnoteReference w:id="12"/>
      </w:r>
      <w:r w:rsidRPr="006F0AC6">
        <w:t xml:space="preserve">; ker so za popolno telesno avtonomijo, vključno s tem, da se zmanjša število nenamernih nosečnosti in omogoči ozaveščeno odločanje o lastnem življenju in telesu, ključni celovita, starosti primerna in z dokazi podprta spolna vzgoja in izobraževanje o odnosih za vse ter </w:t>
      </w:r>
      <w:r w:rsidRPr="006F0AC6">
        <w:lastRenderedPageBreak/>
        <w:t xml:space="preserve">kakovostna, dostopna, varna in brezplačna kontracepcija in svetovanje pri načrtovanju družine; </w:t>
      </w:r>
      <w:r w:rsidRPr="006F0AC6">
        <w:rPr>
          <w:rStyle w:val="doceo-font-family-base"/>
          <w:color w:val="000000"/>
        </w:rPr>
        <w:t>ker je starosti primerna celovita spolna vzgoja bistvena za to, da otroci in mladi pridobijo spretnosti za vzpostavljanje zdravih, enakopravnih in varnih odnosov, zlasti če se pri tej vzgoji obravnavajo norme o spolih, enakost spolov, dinamika moči v odnosih ter privolitev in spoštovanje meja; ker to prispeva tudi k doseganju enakosti spolov;</w:t>
      </w:r>
    </w:p>
    <w:p w:rsidR="00E33CE7" w:rsidRPr="006F0AC6" w:rsidRDefault="00E33CE7" w:rsidP="00E33CE7">
      <w:pPr>
        <w:pStyle w:val="NormalHanging12a"/>
        <w:rPr>
          <w:szCs w:val="24"/>
        </w:rPr>
      </w:pPr>
      <w:r w:rsidRPr="006F0AC6">
        <w:t>H.</w:t>
      </w:r>
      <w:r w:rsidRPr="006F0AC6">
        <w:tab/>
        <w:t>ker so francoski zakonodajalci na prelomnem glasovanju 4. marca 2024 odločili, da se pravica do splava zagotovi z vključitvijo v francosko ustavo; ker je Francija prva država na svetu, ki je splav izrecno določila za ustavno pravico; ker je cilj te ustavne revizije, da se vzpostavi zaščita zaradi nazadovanja na področju pravice do splava v EU in po svetu, vključno z ZDA, Poljsko, Madžarsko in Malto; ker sta bila delo in predanost feminističnih organizacij in poslancev parlamenta v Franciji ključna, da so dosegli večinsko podporo za ustavno zaščito pravice do splava;</w:t>
      </w:r>
    </w:p>
    <w:p w:rsidR="00E33CE7" w:rsidRPr="006F0AC6" w:rsidRDefault="00E33CE7" w:rsidP="00E33CE7">
      <w:pPr>
        <w:pStyle w:val="NormalHanging12a"/>
        <w:rPr>
          <w:szCs w:val="24"/>
        </w:rPr>
      </w:pPr>
      <w:r w:rsidRPr="006F0AC6">
        <w:rPr>
          <w:snapToGrid w:val="0"/>
        </w:rPr>
        <w:t>I.</w:t>
      </w:r>
      <w:r w:rsidRPr="006F0AC6">
        <w:rPr>
          <w:snapToGrid w:val="0"/>
        </w:rPr>
        <w:tab/>
      </w:r>
      <w:r w:rsidRPr="006F0AC6">
        <w:t>ker po vključitvi pravice do splava v francosko ustavo o podobnih pobudah že razmišljajo v drugih državah, kot sta Španija in Švedska, kar kaže, da se je treba na zavračanje enakosti spolov ter nazadovanje na področju spolnega in reproduktivnega zdravja in pravic odzvati na evropski ravni in zagotoviti ustavno zaščito napadenih pravic;</w:t>
      </w:r>
    </w:p>
    <w:p w:rsidR="00E33CE7" w:rsidRPr="006F0AC6" w:rsidRDefault="00E33CE7" w:rsidP="00E33CE7">
      <w:pPr>
        <w:pStyle w:val="NormalHanging12a"/>
        <w:rPr>
          <w:szCs w:val="24"/>
        </w:rPr>
      </w:pPr>
      <w:r w:rsidRPr="006F0AC6">
        <w:t>J.</w:t>
      </w:r>
      <w:r w:rsidRPr="006F0AC6">
        <w:tab/>
        <w:t>ker mora pozitivne zakonodajne spremembe spremljati finančna podpora, da bo pravico do splava mogoče uresničiti;</w:t>
      </w:r>
    </w:p>
    <w:p w:rsidR="00E33CE7" w:rsidRPr="006F0AC6" w:rsidRDefault="00E33CE7" w:rsidP="00E33CE7">
      <w:pPr>
        <w:pStyle w:val="NormalHanging12a"/>
        <w:rPr>
          <w:szCs w:val="24"/>
        </w:rPr>
      </w:pPr>
      <w:r w:rsidRPr="006F0AC6">
        <w:t>K.</w:t>
      </w:r>
      <w:r w:rsidRPr="006F0AC6">
        <w:tab/>
        <w:t>ker se ženske in pripadniki skupnosti LGBTIQ+ še vedno soočajo z ovirami pri uživanju telesne avtonomije, čeprav so standardi na področju spolnega in reproduktivnega zdravja in pravic v EU med najvišjimi na svetu; ker so te ovire lahko pravne, politične, finančne, kulturne ali informacijske;</w:t>
      </w:r>
    </w:p>
    <w:p w:rsidR="00E33CE7" w:rsidRPr="006F0AC6" w:rsidRDefault="00E33CE7" w:rsidP="00E33CE7">
      <w:pPr>
        <w:pStyle w:val="NormalHanging12a"/>
        <w:rPr>
          <w:szCs w:val="24"/>
        </w:rPr>
      </w:pPr>
      <w:r w:rsidRPr="006F0AC6">
        <w:t>L.</w:t>
      </w:r>
      <w:r w:rsidRPr="006F0AC6">
        <w:tab/>
        <w:t>ker je v nekaterih državah članicah, ki imajo še vedno zelo omejevalne zakone, splav prepovedan, razen v strogo opredeljenih okoliščinah, zato se morajo ženske odločati za tvegane in smrtno nevarne postopke, potovati v druge države ali plod proti svoji volji donositi, kar je kršitev njihovih človekovih pravic in oblika nasilja na podlagi spola; ker so v nekaterih državah članicah, ki so legalizirale splav na zahtevo ali splav iz različnih socialnih razlogov, kljub temu še vedno obstajajo posebne kazenske sankcije za opravljanje splava v nasprotju z veljavnimi pravnimi določbami;</w:t>
      </w:r>
    </w:p>
    <w:p w:rsidR="00E33CE7" w:rsidRPr="006F0AC6" w:rsidRDefault="00E33CE7" w:rsidP="00E33CE7">
      <w:pPr>
        <w:pStyle w:val="NormalHanging12a"/>
        <w:rPr>
          <w:szCs w:val="24"/>
        </w:rPr>
      </w:pPr>
      <w:r w:rsidRPr="006F0AC6">
        <w:t>M.</w:t>
      </w:r>
      <w:r w:rsidRPr="006F0AC6">
        <w:tab/>
        <w:t>ker si trenutno več držav članic prizadeva, da bi dostop do spolnega in reproduktivnega zdravja in pravic dodatno zmanjšale z zelo omejevalnimi zakoni, ki vodijo v slabši dostop do zdravstvenega varstva ter diskriminacijo in nasilje na podlagi spola; ker te pobude in nazadovanje ovirajo uresničevanje človekovih pravic in razvoj držav ter ogrožajo demokracijo, evropske vrednote in temeljne pravice;</w:t>
      </w:r>
    </w:p>
    <w:p w:rsidR="00E33CE7" w:rsidRPr="006F0AC6" w:rsidRDefault="00E33CE7" w:rsidP="00E33CE7">
      <w:pPr>
        <w:pStyle w:val="NormalHanging12a"/>
        <w:rPr>
          <w:szCs w:val="24"/>
        </w:rPr>
      </w:pPr>
      <w:bookmarkStart w:id="8" w:name="_Hlk161903494"/>
      <w:r w:rsidRPr="006F0AC6">
        <w:t>N.</w:t>
      </w:r>
      <w:r w:rsidRPr="006F0AC6">
        <w:tab/>
        <w:t>ker se po vsem svetu pojavlja usklajeno in dobro financirano nazadovanje na področjih enakosti spolov, raznolikosti oseb LGBTIQ+ in feminizma; ker si nazadnjaške sile ter skrajno konservativni verski in skrajno desni akterji po vsem svetu prizadevajo, da bi izničili desetletja napredka na področju človekovih pravic in vsilili škodljiv svetovni nazor o vlogah spolov v družini in javnem življenju; ker so ta gibanja in napadi tesno povezani s trendom avtoritarnega nazadovanja svetovne demokracije; ker je to jasna grožnja pravni državi v Evropi;</w:t>
      </w:r>
    </w:p>
    <w:p w:rsidR="00E33CE7" w:rsidRPr="006F0AC6" w:rsidRDefault="00E33CE7" w:rsidP="00E33CE7">
      <w:pPr>
        <w:pStyle w:val="NormalHanging12a"/>
        <w:rPr>
          <w:szCs w:val="24"/>
        </w:rPr>
      </w:pPr>
      <w:r w:rsidRPr="006F0AC6">
        <w:t>O.</w:t>
      </w:r>
      <w:r w:rsidRPr="006F0AC6">
        <w:tab/>
        <w:t xml:space="preserve">ker ta gibanja, ki nasprotujejo enakosti spolov in pravicam, posebej napadajo spolne in </w:t>
      </w:r>
      <w:r w:rsidRPr="006F0AC6">
        <w:lastRenderedPageBreak/>
        <w:t>reproduktivne pravice in avtonomijo žensk ter vplivajo na zakonodajo in politiko, zaradi česar so bile v več državah članicah izvedene nazadnjaške pobude, da bi spodkopali spolno in reproduktivno zdravje in pravice;</w:t>
      </w:r>
      <w:bookmarkEnd w:id="8"/>
    </w:p>
    <w:p w:rsidR="00E33CE7" w:rsidRPr="006F0AC6" w:rsidRDefault="00E33CE7" w:rsidP="00E33CE7">
      <w:pPr>
        <w:pStyle w:val="NormalHanging12a"/>
        <w:rPr>
          <w:szCs w:val="24"/>
        </w:rPr>
      </w:pPr>
      <w:r w:rsidRPr="006F0AC6">
        <w:t>P.</w:t>
      </w:r>
      <w:r w:rsidRPr="006F0AC6">
        <w:tab/>
        <w:t>ker je Poljska po odločbi nelegitimnega ustavnega sodišča z dne 22. oktobra 2020</w:t>
      </w:r>
      <w:r w:rsidRPr="006F0AC6">
        <w:rPr>
          <w:rStyle w:val="FootnoteReference"/>
          <w:color w:val="000000"/>
          <w:szCs w:val="24"/>
        </w:rPr>
        <w:footnoteReference w:id="13"/>
      </w:r>
      <w:r w:rsidRPr="006F0AC6">
        <w:t xml:space="preserve"> dodatno omejila dostop do zakonitega splava in tega dejansko prepovedala, zaradi česar je umrlo najmanj šest žensk; ker se izvajajo preiskave žensk zaradi domnevnega splava ter kazenski pregoni zagovornikov človekovih in reproduktivnih pravic žensk, ker so ženskam pomagali opraviti splav ali protestirali v podporo pravici do splava; ker je Evropsko sodišče za človekove pravice v nedavni sodbi v zadevi M. L. proti Poljski ugotovilo kršitev člena 8 Evropske konvencije o človekovih pravicah, v katerem je določena pravica do spoštovanja zasebnega in družinskega življenja, saj je bila ženska na splav prisiljena odpotovati v tujino, zaradi česar je imela visoke osebne stroške in se ni mogla opreti na družino, kar je imelo znatne psihološke posledice;</w:t>
      </w:r>
    </w:p>
    <w:p w:rsidR="00E33CE7" w:rsidRPr="006F0AC6" w:rsidRDefault="00E33CE7" w:rsidP="00D02832">
      <w:pPr>
        <w:pStyle w:val="NormalHanging12a"/>
        <w:rPr>
          <w:szCs w:val="24"/>
        </w:rPr>
      </w:pPr>
      <w:r w:rsidRPr="006F0AC6">
        <w:t>Q.</w:t>
      </w:r>
      <w:r w:rsidRPr="006F0AC6">
        <w:tab/>
        <w:t>ker se je novoizvoljena poljska vlada zavezala, da bo predlagala nove zakone, s katerimi bo zagotovila spoštovanje pravic žensk ter dostop do spolnega in reproduktivnega zdravja in pravic, vključno s splavom; ker je bilo glasovanje o predlogih zakonov o dekriminalizaciji splava in dostopu do njega v poljskem sejmu žal preloženo;</w:t>
      </w:r>
    </w:p>
    <w:p w:rsidR="00E33CE7" w:rsidRPr="006F0AC6" w:rsidRDefault="00E33CE7" w:rsidP="00E33CE7">
      <w:pPr>
        <w:pStyle w:val="NormalHanging12a"/>
        <w:rPr>
          <w:szCs w:val="24"/>
        </w:rPr>
      </w:pPr>
      <w:r w:rsidRPr="006F0AC6">
        <w:t>R.</w:t>
      </w:r>
      <w:r w:rsidRPr="006F0AC6">
        <w:tab/>
        <w:t>ker je na Malti splav dejansko prepovedan in kriminaliziran; ker so se pri reformi julija 2023 pokazale skrb zbujajoče spremembe v malteškem parlamentu, saj je odpravil pravice ter pri dostopu do splava dodal še več tveganj in ovir kot prej; ker je ena od teh ovir, da smejo zdravniki nosečnost prekiniti le, če je življenje osebe neposredno ogroženo in meja viabilnosti ploda še ni bila dosežena, umirajočo nosečo osebo pa morajo napotiti na komisijo treh zdravnikov specialistov; ker so iz zakona izključeni primeri resne nevarnosti za zdravje; ker nosečih oseb z rakom na Malti ni mogoče ustrezno zdraviti, ampak morajo počakati na rojstvo otroka, zaradi česar so možnosti za uspešno zdravljenje manjše;</w:t>
      </w:r>
    </w:p>
    <w:p w:rsidR="00E33CE7" w:rsidRPr="006F0AC6" w:rsidRDefault="00E33CE7" w:rsidP="00E33CE7">
      <w:pPr>
        <w:pStyle w:val="NormalHanging12a"/>
        <w:rPr>
          <w:szCs w:val="24"/>
        </w:rPr>
      </w:pPr>
      <w:r w:rsidRPr="006F0AC6">
        <w:t>S.</w:t>
      </w:r>
      <w:r w:rsidRPr="006F0AC6">
        <w:tab/>
        <w:t>ker je na Slovaškem in Madžarskem umetna prekinitev nosečnosti nezakonita; ker je Madžarska septembra 2022 sprejela odlok, v skladu s katerim morajo ženske, ki želijo imeti splav, poslušati srčni utrip ploda; ker so bili na Slovaškem opaženi večkratni poskusi, da bi dostop do splava omejili z nazadnjaškimi predlogi zakonov v parlamentu;</w:t>
      </w:r>
    </w:p>
    <w:p w:rsidR="00E33CE7" w:rsidRPr="006F0AC6" w:rsidRDefault="00E33CE7" w:rsidP="00E33CE7">
      <w:pPr>
        <w:pStyle w:val="NormalHanging12a"/>
        <w:rPr>
          <w:szCs w:val="24"/>
        </w:rPr>
      </w:pPr>
      <w:r w:rsidRPr="006F0AC6">
        <w:t>T.</w:t>
      </w:r>
      <w:r w:rsidRPr="006F0AC6">
        <w:tab/>
        <w:t>ker se dostop do splava slabša tudi v Italiji</w:t>
      </w:r>
      <w:r w:rsidRPr="006F0AC6">
        <w:rPr>
          <w:szCs w:val="24"/>
          <w:vertAlign w:val="superscript"/>
        </w:rPr>
        <w:footnoteReference w:id="14"/>
      </w:r>
      <w:r w:rsidRPr="006F0AC6">
        <w:t>; ker v državah, kot so Italija, Slovaška in Romunija, velika večina zdravnikov uveljavlja ugovor vesti, zaradi česar je dejanski dostop do splava v nekaterih regijah izjemno otežen; ker dostop do pravočasnega in ustreznega splava v drugih državah članicah, na primer na Hrvaškem, preprečujejo praktične ovire</w:t>
      </w:r>
      <w:r w:rsidRPr="006F0AC6">
        <w:rPr>
          <w:szCs w:val="24"/>
          <w:vertAlign w:val="superscript"/>
        </w:rPr>
        <w:footnoteReference w:id="15"/>
      </w:r>
      <w:r w:rsidRPr="006F0AC6">
        <w:t>;</w:t>
      </w:r>
    </w:p>
    <w:p w:rsidR="00E33CE7" w:rsidRPr="006F0AC6" w:rsidRDefault="00E33CE7" w:rsidP="00E33CE7">
      <w:pPr>
        <w:pStyle w:val="NormalHanging12a"/>
        <w:rPr>
          <w:szCs w:val="24"/>
        </w:rPr>
      </w:pPr>
      <w:r w:rsidRPr="006F0AC6">
        <w:rPr>
          <w:snapToGrid w:val="0"/>
        </w:rPr>
        <w:t>U.</w:t>
      </w:r>
      <w:r w:rsidRPr="006F0AC6">
        <w:rPr>
          <w:snapToGrid w:val="0"/>
        </w:rPr>
        <w:tab/>
      </w:r>
      <w:r w:rsidRPr="006F0AC6">
        <w:t xml:space="preserve">ker je bilo več poskusov popolne dekriminalizacije splava v Belgiji odloženih v </w:t>
      </w:r>
      <w:r w:rsidRPr="006F0AC6">
        <w:lastRenderedPageBreak/>
        <w:t>belgijskem zveznem parlamentu;</w:t>
      </w:r>
    </w:p>
    <w:p w:rsidR="00E33CE7" w:rsidRPr="006F0AC6" w:rsidRDefault="00E33CE7" w:rsidP="00E33CE7">
      <w:pPr>
        <w:pStyle w:val="NormalHanging12a"/>
        <w:rPr>
          <w:szCs w:val="24"/>
        </w:rPr>
      </w:pPr>
      <w:r w:rsidRPr="006F0AC6">
        <w:rPr>
          <w:snapToGrid w:val="0"/>
        </w:rPr>
        <w:t>V.</w:t>
      </w:r>
      <w:r w:rsidRPr="006F0AC6">
        <w:rPr>
          <w:snapToGrid w:val="0"/>
        </w:rPr>
        <w:tab/>
      </w:r>
      <w:r w:rsidRPr="006F0AC6">
        <w:t>ker so v nekaterih državah postopki splava in nepristransko svetovanje še vedno tabu in so le redko vključeni v obvezno medicinsko usposabljanje, zato imajo zdravniki premalo znanja in praktičnih izkušenj, kar je slabo za telesno in duševno zdravje pacientk;</w:t>
      </w:r>
    </w:p>
    <w:p w:rsidR="00E33CE7" w:rsidRPr="006F0AC6" w:rsidRDefault="00E33CE7" w:rsidP="00E33CE7">
      <w:pPr>
        <w:pStyle w:val="NormalHanging12a"/>
        <w:rPr>
          <w:szCs w:val="24"/>
        </w:rPr>
      </w:pPr>
      <w:r w:rsidRPr="006F0AC6">
        <w:rPr>
          <w:snapToGrid w:val="0"/>
        </w:rPr>
        <w:t>W.</w:t>
      </w:r>
      <w:r w:rsidRPr="006F0AC6">
        <w:rPr>
          <w:snapToGrid w:val="0"/>
        </w:rPr>
        <w:tab/>
      </w:r>
      <w:r w:rsidRPr="006F0AC6">
        <w:t>ker so dezinformacije o splavu, med drugim v spletu, resnična ovira za avtonomijo žensk; ker se je v Nemčiji objavljanje informacij o metodah umetne prekinitve nosečnosti na spletnih mestih zdravnikov do nedavnega štelo za spodbujanje splava in je bila zanj določena kazen; ker je bila tako imenovana prepoved oglaševanja splava odpravljena šele julija 2022;</w:t>
      </w:r>
    </w:p>
    <w:p w:rsidR="00E33CE7" w:rsidRPr="006F0AC6" w:rsidRDefault="00E33CE7" w:rsidP="00E33CE7">
      <w:pPr>
        <w:pStyle w:val="NormalHanging12a"/>
        <w:rPr>
          <w:szCs w:val="24"/>
        </w:rPr>
      </w:pPr>
      <w:r w:rsidRPr="006F0AC6">
        <w:t>X.</w:t>
      </w:r>
      <w:r w:rsidRPr="006F0AC6">
        <w:tab/>
        <w:t>ker ukrajinske begunke v nekaterih državah članicah nimajo možnosti splava, niti v primerih spolnega nasilja, kar pomeni kršitev njihovih človekovih pravic ter je enakovredno mučenju in nečloveškemu ali ponižujočemu ravnanju;</w:t>
      </w:r>
    </w:p>
    <w:p w:rsidR="00E33CE7" w:rsidRPr="006F0AC6" w:rsidRDefault="00E33CE7" w:rsidP="00E33CE7">
      <w:pPr>
        <w:pStyle w:val="NormalHanging12a"/>
        <w:rPr>
          <w:szCs w:val="24"/>
        </w:rPr>
      </w:pPr>
      <w:r w:rsidRPr="006F0AC6">
        <w:t>Y.</w:t>
      </w:r>
      <w:r w:rsidRPr="006F0AC6">
        <w:tab/>
        <w:t>ker kriminalizacija, odlaganje in onemogočanje dostopa do spolnega in reproduktivnega zdravja in pravic pomenijo obliko nasilja na podlagi spola; ker se zaradi teh omejitev in prepovedi število splavov ne zmanjša, ampak so se ljudje prisiljeni podati na dolgo potovanje ali se zateči k nevarnim splavom, zaradi česar so izpostavljeni tudi kazenskim preiskavam in pregonu; ker so zaradi njih prizadeti tisti, ki imajo najmanj sredstev in informacij; ker se skoraj vse smrti zaradi nevarnih splavov zgodijo v državah, kjer je splav močno omejen; ker je te smrti mogoče preprečiti; ker so nevarni splavi med najpogostejšimi vzroki za obolevnost mater, ki pa bi jih bilo mogoče preprečiti;</w:t>
      </w:r>
    </w:p>
    <w:p w:rsidR="00E33CE7" w:rsidRPr="006F0AC6" w:rsidRDefault="00E33CE7" w:rsidP="00E33CE7">
      <w:pPr>
        <w:pStyle w:val="NormalHanging12a"/>
        <w:rPr>
          <w:szCs w:val="24"/>
        </w:rPr>
      </w:pPr>
      <w:r w:rsidRPr="006F0AC6">
        <w:t>Z.</w:t>
      </w:r>
      <w:r w:rsidRPr="006F0AC6">
        <w:tab/>
        <w:t>ker se marginalizirane osebe in skupine, vključno z rasnimi, etničnimi in verskimi manjšinami, migranti, ljudmi iz prikrajšanih socialno-ekonomskih okolij, ljudmi, ki živijo na podeželju, invalidi, pripadniki skupnosti LGBTIQ+ in žrtvami nasilja, pri dostopu do zdravstvenega varstva pogosto soočajo z dodatnimi ovirami, presečno diskriminacijo in nasiljem; ker je to posledica zakonov in politik, ki omogočajo prisilne prakse spolnega in reproduktivnega zdravstvenega varstva, ter nezmožnosti za razumno prilagoditev pri kakovostni oskrbi in informacijah;</w:t>
      </w:r>
    </w:p>
    <w:p w:rsidR="00E33CE7" w:rsidRPr="006F0AC6" w:rsidRDefault="00E33CE7" w:rsidP="00E33CE7">
      <w:pPr>
        <w:pStyle w:val="NormalHanging12a"/>
        <w:rPr>
          <w:szCs w:val="24"/>
        </w:rPr>
      </w:pPr>
      <w:r w:rsidRPr="006F0AC6">
        <w:t>1.</w:t>
      </w:r>
      <w:r w:rsidRPr="006F0AC6">
        <w:tab/>
        <w:t>ponovno opozarja, da so spolno in reproduktivno zdravje in pravice temeljne človekove pravice, ki jih je treba varovati in izboljšati, nikakor pa ne oslabiti ali ukiniti;</w:t>
      </w:r>
    </w:p>
    <w:p w:rsidR="00E33CE7" w:rsidRPr="006F0AC6" w:rsidRDefault="00E33CE7" w:rsidP="00E33CE7">
      <w:pPr>
        <w:pStyle w:val="NormalHanging12a"/>
        <w:rPr>
          <w:szCs w:val="24"/>
        </w:rPr>
      </w:pPr>
      <w:r w:rsidRPr="006F0AC6">
        <w:t>2.</w:t>
      </w:r>
      <w:r w:rsidRPr="006F0AC6">
        <w:tab/>
        <w:t>želi spomniti, da je EU zavezana spodbujati, varovati in uresničevati pravico vsakega posameznika, zlasti žensk in deklet, do telesne avtonomije in popolnega nadzora nad vsem, kar je povezano z njegovo spolnostjo ter spolnimi in reproduktivnimi pravicami, ter do svobodnega odločanja o tem brez diskriminacije, prisile in nasilja;</w:t>
      </w:r>
    </w:p>
    <w:p w:rsidR="00E33CE7" w:rsidRPr="006F0AC6" w:rsidRDefault="00E33CE7" w:rsidP="00E33CE7">
      <w:pPr>
        <w:pStyle w:val="NormalHanging12a"/>
        <w:rPr>
          <w:szCs w:val="24"/>
        </w:rPr>
      </w:pPr>
      <w:r w:rsidRPr="006F0AC6">
        <w:t>3.</w:t>
      </w:r>
      <w:r w:rsidRPr="006F0AC6">
        <w:tab/>
        <w:t>poziva Evropski svet, naj skliče konvencijo za revizijo temeljnih pogodb, kot je Parlament pozval v resolucijah z dne 9. junija 2022 in 22. novembra 2023, in naj sprejme njegov predlog iz resolucije z dne 22. novembra 2023, da naj se v listino dodata spolno in reproduktivno zdravstveno varstvo ter pravica do varnega in zakonitega splava, listina pa naj se spremeni, kot sledi:</w:t>
      </w:r>
    </w:p>
    <w:tbl>
      <w:tblPr>
        <w:tblStyle w:val="1"/>
        <w:tblW w:w="9752" w:type="dxa"/>
        <w:jc w:val="center"/>
        <w:tblLayout w:type="fixed"/>
        <w:tblLook w:val="0000" w:firstRow="0" w:lastRow="0" w:firstColumn="0" w:lastColumn="0" w:noHBand="0" w:noVBand="0"/>
      </w:tblPr>
      <w:tblGrid>
        <w:gridCol w:w="9752"/>
      </w:tblGrid>
      <w:tr w:rsidR="00E33CE7" w:rsidRPr="006F0AC6" w:rsidTr="00BD76E3">
        <w:trPr>
          <w:jc w:val="center"/>
        </w:trPr>
        <w:tc>
          <w:tcPr>
            <w:tcW w:w="9752" w:type="dxa"/>
          </w:tcPr>
          <w:p w:rsidR="00E33CE7" w:rsidRPr="006F0AC6" w:rsidRDefault="00E33CE7" w:rsidP="00C0509E">
            <w:pPr>
              <w:ind w:left="506"/>
              <w:jc w:val="both"/>
              <w:rPr>
                <w:rFonts w:ascii="Times New Roman" w:eastAsia="Times New Roman" w:hAnsi="Times New Roman" w:cs="Times New Roman"/>
                <w:szCs w:val="24"/>
              </w:rPr>
            </w:pPr>
            <w:r w:rsidRPr="006F0AC6">
              <w:rPr>
                <w:rFonts w:ascii="Times New Roman" w:hAnsi="Times New Roman"/>
              </w:rPr>
              <w:t>Člen 3</w:t>
            </w:r>
          </w:p>
          <w:p w:rsidR="00E33CE7" w:rsidRPr="006F0AC6" w:rsidRDefault="00E33CE7" w:rsidP="00C0509E">
            <w:pPr>
              <w:ind w:left="506"/>
              <w:jc w:val="both"/>
              <w:rPr>
                <w:rFonts w:ascii="Times New Roman" w:eastAsia="Times New Roman" w:hAnsi="Times New Roman" w:cs="Times New Roman"/>
                <w:szCs w:val="24"/>
              </w:rPr>
            </w:pPr>
            <w:r w:rsidRPr="006F0AC6">
              <w:rPr>
                <w:rFonts w:ascii="Times New Roman" w:hAnsi="Times New Roman"/>
              </w:rPr>
              <w:t xml:space="preserve">Pravica do osebne celovitosti </w:t>
            </w:r>
            <w:r w:rsidRPr="006F0AC6">
              <w:rPr>
                <w:rFonts w:ascii="Times New Roman" w:hAnsi="Times New Roman"/>
                <w:b/>
                <w:bCs/>
              </w:rPr>
              <w:t>in telesne avtonomije</w:t>
            </w:r>
          </w:p>
          <w:p w:rsidR="00E33CE7" w:rsidRPr="006F0AC6" w:rsidRDefault="00E33CE7" w:rsidP="00C0509E">
            <w:pPr>
              <w:ind w:left="506"/>
              <w:jc w:val="both"/>
              <w:rPr>
                <w:rFonts w:ascii="Times New Roman" w:eastAsia="Times New Roman" w:hAnsi="Times New Roman" w:cs="Times New Roman"/>
                <w:szCs w:val="24"/>
              </w:rPr>
            </w:pPr>
            <w:r w:rsidRPr="006F0AC6">
              <w:rPr>
                <w:rFonts w:ascii="Times New Roman" w:hAnsi="Times New Roman"/>
                <w:b/>
              </w:rPr>
              <w:lastRenderedPageBreak/>
              <w:t xml:space="preserve">2a. </w:t>
            </w:r>
            <w:r w:rsidRPr="006F0AC6">
              <w:rPr>
                <w:rFonts w:ascii="Times New Roman" w:hAnsi="Times New Roman"/>
                <w:b/>
                <w:bCs/>
              </w:rPr>
              <w:t>Vsakdo ima pravico do telesne avtonomije, svobodnega, informiranega, polnega in splošnega dostopa do spolnega in reproduktivnega zdravja in pravic ter do vseh z njim povezanih zdravstvenih storitev brez diskriminacije, vključno z varnim in zakonitim splavov</w:t>
            </w:r>
            <w:r w:rsidRPr="006F0AC6">
              <w:rPr>
                <w:rFonts w:ascii="Times New Roman" w:hAnsi="Times New Roman"/>
              </w:rPr>
              <w:t>;</w:t>
            </w:r>
          </w:p>
        </w:tc>
      </w:tr>
    </w:tbl>
    <w:p w:rsidR="00E33CE7" w:rsidRPr="006F0AC6" w:rsidRDefault="00E33CE7" w:rsidP="00E33CE7">
      <w:pPr>
        <w:pStyle w:val="NormalHanging12a"/>
      </w:pPr>
      <w:r w:rsidRPr="006F0AC6">
        <w:lastRenderedPageBreak/>
        <w:t>4.</w:t>
      </w:r>
      <w:r w:rsidRPr="006F0AC6">
        <w:tab/>
        <w:t>najostreje obsoja nazadovanje na področju pravic žensk in vse nazadnjaške poskuse, da bi omejili ali odpravili obstoječo zaščito spolnega in reproduktivnega zdravja in pravic ter enakosti spolov, ki se pojavljajo po vsem svetu, tudi v državah članicah EU, ter vse oblike groženj, ustrahovanja in nadlegovanja zagovornikov človekovih pravic in organizacij civilne družbe, ki si prizadevajo za napredek na področju teh pravic;</w:t>
      </w:r>
    </w:p>
    <w:p w:rsidR="00E33CE7" w:rsidRPr="006F0AC6" w:rsidRDefault="00E33CE7" w:rsidP="00E33CE7">
      <w:pPr>
        <w:pStyle w:val="NormalHanging12a"/>
      </w:pPr>
      <w:r w:rsidRPr="006F0AC6">
        <w:t>5.</w:t>
      </w:r>
      <w:r w:rsidRPr="006F0AC6">
        <w:tab/>
        <w:t>je zaskrbljen, ker se je po svetu, tudi v EU, znatno povečalo financiranje skupin, ki nasprotujejo enakosti spolov in možnosti izbire; poziva Komisijo, naj izkoristi vsa sredstva, ki so ji na voljo, da organizacije, ki delujejo proti enakosti spolov in pravicam žensk, vključno z reproduktivnimi pravicami, ne bi bile deležne financiranja EU;</w:t>
      </w:r>
    </w:p>
    <w:p w:rsidR="00E33CE7" w:rsidRPr="006F0AC6" w:rsidRDefault="00E33CE7" w:rsidP="00E33CE7">
      <w:pPr>
        <w:pStyle w:val="NormalHanging12a"/>
      </w:pPr>
      <w:r w:rsidRPr="006F0AC6">
        <w:t>6.</w:t>
      </w:r>
      <w:r w:rsidRPr="006F0AC6">
        <w:tab/>
      </w:r>
      <w:r w:rsidRPr="006F0AC6">
        <w:rPr>
          <w:shd w:val="clear" w:color="auto" w:fill="FEFEFE"/>
        </w:rPr>
        <w:t xml:space="preserve">poziva države članice, naj v skladu s smernicami Svetovne zdravstvene organizacije iz leta 2022 v celoti dekriminalizirajo splav ter naj odpravijo in preprečujejo ovire za varen in zakonit splav ter spolno in reproduktivno zdravje in pravice; </w:t>
      </w:r>
      <w:r w:rsidRPr="006F0AC6">
        <w:t>poziva Poljsko in Malto, naj razveljavita zakone in druge ukrepe, ki prepovedujejo ali omejujejo splav; poziva poljske organe, naj dajo prednost zakonodajnim prizadevanjem, da bi čim prej omogočili varen in zakonit splav; poziva malteške organe, naj splav takoj dekriminalizirajo ter omogočijo njegovo varno in zakonito opravljanje v skladu s smernicami Svetovne zdravstvene organizacije iz leta 2022;</w:t>
      </w:r>
    </w:p>
    <w:p w:rsidR="00E33CE7" w:rsidRPr="006F0AC6" w:rsidRDefault="00E33CE7" w:rsidP="00E33CE7">
      <w:pPr>
        <w:pStyle w:val="NormalHanging12a"/>
      </w:pPr>
      <w:r w:rsidRPr="006F0AC6">
        <w:t>7.</w:t>
      </w:r>
      <w:r w:rsidRPr="006F0AC6">
        <w:tab/>
        <w:t>poziva vse države članice, naj brez diskriminacije omogočijo varen, zakonit in brezplačen splav, pred- in poporodne zdravstvene storitve in potrebščine, prostovoljno načrtovanje družine, kontracepcijo in mladim prijazne storitve ter preprečevanje okužbe z virusom HIV ter zdravljenje, oskrbo in podporo v primeru okužbe;</w:t>
      </w:r>
    </w:p>
    <w:p w:rsidR="00E33CE7" w:rsidRPr="006F0AC6" w:rsidRDefault="00E33CE7" w:rsidP="00E33CE7">
      <w:pPr>
        <w:pStyle w:val="NormalHanging12a"/>
        <w:rPr>
          <w:shd w:val="clear" w:color="auto" w:fill="FEFEFE"/>
        </w:rPr>
      </w:pPr>
      <w:r w:rsidRPr="006F0AC6">
        <w:t>8.</w:t>
      </w:r>
      <w:r w:rsidRPr="006F0AC6">
        <w:tab/>
        <w:t>obsoja dejstvo, da v nekaterih državah članicah zdravniki, v nekaterih primerih pa celotne zdravstvene ustanove opravljanje splava zavračajo zaradi ugovora vesti;</w:t>
      </w:r>
      <w:r w:rsidRPr="006F0AC6">
        <w:rPr>
          <w:shd w:val="clear" w:color="auto" w:fill="FEFEFE"/>
        </w:rPr>
        <w:t xml:space="preserve"> obžaluje, da se ugovor vesti pogosto uporablja v primerih, ko bi vsakršna zamuda ogrozila pacientkino življenje ali zdravje;</w:t>
      </w:r>
    </w:p>
    <w:p w:rsidR="00E33CE7" w:rsidRPr="006F0AC6" w:rsidRDefault="00E33CE7" w:rsidP="00E33CE7">
      <w:pPr>
        <w:pStyle w:val="NormalHanging12a"/>
      </w:pPr>
      <w:r w:rsidRPr="006F0AC6">
        <w:t>9.</w:t>
      </w:r>
      <w:r w:rsidRPr="006F0AC6">
        <w:tab/>
        <w:t>poziva države članice, naj omogočijo vse storitve in pravice spolnega in reproduktivnega zdravja, vključno s celovito, starosti primerno in z dokazi podprto spolno vzgojo in izobraževanjem o odnosih za vse, kakovostnimi, dostopnimi, varnimi in brezplačnimi kontracepcijskimi metodami in potrebščinami ter svetovanjem pri načrtovanju družine, pri tem pa posebno pozornost namenijo ženskam nebelih ras, Rominjam, starejšim ženskam, ženskam z nižjo izobrazbo, osebam LGBTIQ+, invalidkam, mladostnicam, migrantkam, vključno s tistimi z neurejenim statusom, in samskim ženskam;</w:t>
      </w:r>
    </w:p>
    <w:p w:rsidR="00E33CE7" w:rsidRPr="006F0AC6" w:rsidRDefault="00E33CE7" w:rsidP="00E33CE7">
      <w:pPr>
        <w:pStyle w:val="NormalHanging12a"/>
      </w:pPr>
      <w:r w:rsidRPr="006F0AC6">
        <w:t>10.</w:t>
      </w:r>
      <w:r w:rsidRPr="006F0AC6">
        <w:tab/>
        <w:t>poziva države članice in lokalne uprave, naj povečajo odhodke za programe in neposredne subvencije za strukture, vključno s storitvami zdravstvenega varstva in načrtovanja družine ter drugimi organizacijami, ki delujejo na tem področju;</w:t>
      </w:r>
    </w:p>
    <w:p w:rsidR="00E33CE7" w:rsidRPr="006F0AC6" w:rsidRDefault="00E33CE7" w:rsidP="00E33CE7">
      <w:pPr>
        <w:pStyle w:val="NormalHanging12a"/>
      </w:pPr>
      <w:r w:rsidRPr="006F0AC6">
        <w:t>11.</w:t>
      </w:r>
      <w:r w:rsidRPr="006F0AC6">
        <w:tab/>
        <w:t>poziva vlade držav članic, naj metode in postopke splava določijo za obvezen del izobraževalnega programa zdravnikov in študentov medicine, zlasti ginekologije;</w:t>
      </w:r>
    </w:p>
    <w:p w:rsidR="00E33CE7" w:rsidRPr="006F0AC6" w:rsidRDefault="00E33CE7" w:rsidP="00E33CE7">
      <w:pPr>
        <w:pStyle w:val="NormalHanging12a"/>
      </w:pPr>
      <w:r w:rsidRPr="006F0AC6">
        <w:lastRenderedPageBreak/>
        <w:t>12.</w:t>
      </w:r>
      <w:r w:rsidRPr="006F0AC6">
        <w:tab/>
        <w:t>poziva vse države članice, naj odpravijo pravne, finančne, socialne in praktične ovire in omejitve za splav, tudi tiste, ki nesorazmerno vplivajo na ženske, ki živijo v revščini, zlasti rasno diskriminirane ženske, vključno s temnopoltimi ženskami in pripadnicami etničnih manjšin, ter ženske iz enostarševskih gospodinjstev;</w:t>
      </w:r>
    </w:p>
    <w:p w:rsidR="00E33CE7" w:rsidRPr="006F0AC6" w:rsidRDefault="00E33CE7" w:rsidP="00E33CE7">
      <w:pPr>
        <w:pStyle w:val="NormalHanging12a"/>
      </w:pPr>
      <w:r w:rsidRPr="006F0AC6">
        <w:t>13.</w:t>
      </w:r>
      <w:r w:rsidRPr="006F0AC6">
        <w:tab/>
        <w:t>priznava, da imajo organizacije civilne družbe in zagovorniki človekovih pravic na področju spolnega in reproduktivnega zdravja in pravic pomembno vlogo kot ponudniki storitev in zagovorniki, ter jih spodbuja, naj nadaljujejo svoje delo; poziva EU in države članice, naj s strategijo za civilno družbo zagotovijo in politično podprejo omogočitven državljanski prostor v EU, z zaščitnim mehanizmom poskrbijo za zaščito zagovornikov človekovih pravic žensk in človekovih pravic na področju spolnega in reproduktivnega zdravja in pravic ter jih finančno podprejo, zlasti v programu Državljani, enakost, pravice in vrednote; poziva države članice, naj s programom EU za zdravje izboljšajo dostop do zdravstvene oskrbe na področju spolnega in reproduktivnega zdravja, vključno s splavom;</w:t>
      </w:r>
    </w:p>
    <w:p w:rsidR="00E33CE7" w:rsidRPr="006F0AC6" w:rsidRDefault="00E33CE7" w:rsidP="00E33CE7">
      <w:pPr>
        <w:pStyle w:val="NormalHanging12a"/>
      </w:pPr>
      <w:r w:rsidRPr="006F0AC6">
        <w:t>14.</w:t>
      </w:r>
      <w:r w:rsidRPr="006F0AC6">
        <w:tab/>
        <w:t>nadalje poziva, naj EU prevzame vlogo zagovornika in priznanje te pravice uvrsti med ključne prednostne naloge pri pogajanjih v mednarodnih institucijah in na drugih večstranskih forumih, kot sta Svet Evrope in OZN; poziva, naj EU ratificira Evropsko konvencijo o človekovih pravicah;</w:t>
      </w:r>
    </w:p>
    <w:p w:rsidR="00E365E1" w:rsidRPr="006F0AC6" w:rsidRDefault="00E33CE7" w:rsidP="00C0509E">
      <w:pPr>
        <w:ind w:left="567" w:hanging="567"/>
      </w:pPr>
      <w:r w:rsidRPr="006F0AC6">
        <w:t>15.</w:t>
      </w:r>
      <w:r w:rsidRPr="006F0AC6">
        <w:tab/>
      </w:r>
      <w:r w:rsidRPr="006F0AC6">
        <w:rPr>
          <w:shd w:val="clear" w:color="auto" w:fill="FEFEFE"/>
        </w:rPr>
        <w:t>naroči svoji predsednici, naj to resolucijo posreduje Svetu in Komisiji.</w:t>
      </w:r>
      <w:bookmarkStart w:id="9" w:name="TextBodyEnd"/>
      <w:bookmarkEnd w:id="9"/>
    </w:p>
    <w:sectPr w:rsidR="00E365E1" w:rsidRPr="006F0AC6" w:rsidSect="006F0A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514" w:rsidRPr="006F0AC6" w:rsidRDefault="005D5514">
      <w:r w:rsidRPr="006F0AC6">
        <w:separator/>
      </w:r>
    </w:p>
  </w:endnote>
  <w:endnote w:type="continuationSeparator" w:id="0">
    <w:p w:rsidR="005D5514" w:rsidRPr="006F0AC6" w:rsidRDefault="005D5514">
      <w:r w:rsidRPr="006F0A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A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A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A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514" w:rsidRPr="006F0AC6" w:rsidRDefault="005D5514">
      <w:r w:rsidRPr="006F0AC6">
        <w:separator/>
      </w:r>
    </w:p>
  </w:footnote>
  <w:footnote w:type="continuationSeparator" w:id="0">
    <w:p w:rsidR="005D5514" w:rsidRPr="006F0AC6" w:rsidRDefault="005D5514">
      <w:r w:rsidRPr="006F0AC6">
        <w:continuationSeparator/>
      </w:r>
    </w:p>
  </w:footnote>
  <w:footnote w:id="1">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UL C 449, 23.12.2020, str. 102.</w:t>
      </w:r>
    </w:p>
  </w:footnote>
  <w:footnote w:id="2">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UL C 208, 1.6.2021, str. 24.</w:t>
      </w:r>
    </w:p>
  </w:footnote>
  <w:footnote w:id="3">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UL C 425, 20.10.2021, str. 147.</w:t>
      </w:r>
    </w:p>
  </w:footnote>
  <w:footnote w:id="4">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UL C 205, 20.5.2022, str. 44.</w:t>
      </w:r>
    </w:p>
  </w:footnote>
  <w:footnote w:id="5">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UL C 81, 18.2.2022, str. 43.</w:t>
      </w:r>
    </w:p>
  </w:footnote>
  <w:footnote w:id="6">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UL C 465, 6.12.2022, str. 155.</w:t>
      </w:r>
    </w:p>
  </w:footnote>
  <w:footnote w:id="7">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UL C 493, 27.12.2022, str. 120.</w:t>
      </w:r>
    </w:p>
  </w:footnote>
  <w:footnote w:id="8">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UL C 47, 7.2.2023, str. 268.</w:t>
      </w:r>
    </w:p>
  </w:footnote>
  <w:footnote w:id="9">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Sprejeta besedila, P9_TA(2023)0427.</w:t>
      </w:r>
    </w:p>
  </w:footnote>
  <w:footnote w:id="10">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Sprejeta besedila, P9_TA(2024)0050.</w:t>
      </w:r>
    </w:p>
  </w:footnote>
  <w:footnote w:id="11">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Sprejeta besedila, P9_TA(2024)0108.</w:t>
      </w:r>
    </w:p>
  </w:footnote>
  <w:footnote w:id="12">
    <w:p w:rsidR="00E33CE7" w:rsidRPr="006F0AC6" w:rsidRDefault="00E33CE7" w:rsidP="006F0AC6">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 xml:space="preserve">Urad visokega komisarja OZN za človekove pravice, </w:t>
      </w:r>
      <w:hyperlink r:id="rId1" w:history="1">
        <w:r w:rsidRPr="006F0AC6">
          <w:rPr>
            <w:rStyle w:val="Hyperlink"/>
            <w:sz w:val="24"/>
            <w:lang w:val="sl-SI"/>
          </w:rPr>
          <w:t>Information series on sexual and reproductive health and rights – abortion</w:t>
        </w:r>
      </w:hyperlink>
      <w:r w:rsidRPr="006F0AC6">
        <w:rPr>
          <w:sz w:val="24"/>
          <w:lang w:val="sl-SI"/>
        </w:rPr>
        <w:t xml:space="preserve"> (Informacijska zbirka o spolnem in reproduktivnem zdravju in pravicah – splav), 2020.</w:t>
      </w:r>
    </w:p>
  </w:footnote>
  <w:footnote w:id="13">
    <w:p w:rsidR="00E33CE7" w:rsidRPr="006F0AC6" w:rsidRDefault="00E33CE7" w:rsidP="00C0509E">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Sodba Evropskega sodišča za človekove pravice o ustavnem sodišču, zadeva Xero Flor w Polsce sp. z o.o. proti Poljski</w:t>
      </w:r>
      <w:r w:rsidR="00C0509E" w:rsidRPr="00C0509E">
        <w:rPr>
          <w:sz w:val="24"/>
          <w:lang w:val="sl-SI"/>
        </w:rPr>
        <w:t xml:space="preserve"> </w:t>
      </w:r>
      <w:r w:rsidRPr="00C0509E">
        <w:rPr>
          <w:sz w:val="24"/>
          <w:lang w:val="sl-SI"/>
        </w:rPr>
        <w:t>(vloga št. </w:t>
      </w:r>
      <w:hyperlink w:anchor="{%22appno%22:[%224907/18%22]}" w:tgtFrame="_blank" w:history="1">
        <w:r w:rsidRPr="00C0509E">
          <w:rPr>
            <w:rStyle w:val="Hyperlink"/>
            <w:sz w:val="24"/>
            <w:lang w:val="sl-SI"/>
          </w:rPr>
          <w:t>4907/18</w:t>
        </w:r>
      </w:hyperlink>
      <w:r w:rsidRPr="00C0509E">
        <w:rPr>
          <w:sz w:val="24"/>
          <w:lang w:val="sl-SI"/>
        </w:rPr>
        <w:t>),</w:t>
      </w:r>
      <w:r w:rsidRPr="006F0AC6">
        <w:rPr>
          <w:i/>
          <w:sz w:val="24"/>
          <w:lang w:val="sl-SI"/>
        </w:rPr>
        <w:t xml:space="preserve"> </w:t>
      </w:r>
      <w:r w:rsidRPr="006F0AC6">
        <w:rPr>
          <w:sz w:val="24"/>
          <w:lang w:val="sl-SI"/>
        </w:rPr>
        <w:t>gl. odstavek 289.</w:t>
      </w:r>
    </w:p>
  </w:footnote>
  <w:footnote w:id="14">
    <w:p w:rsidR="00E33CE7" w:rsidRPr="006F0AC6" w:rsidRDefault="00E33CE7" w:rsidP="00C0509E">
      <w:pPr>
        <w:pStyle w:val="FootnoteText"/>
        <w:ind w:left="567" w:hanging="567"/>
        <w:rPr>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 xml:space="preserve">Svet Evrope, </w:t>
      </w:r>
      <w:hyperlink r:id="rId2" w:history="1">
        <w:r w:rsidRPr="006F0AC6">
          <w:rPr>
            <w:rStyle w:val="Hyperlink"/>
            <w:sz w:val="24"/>
            <w:lang w:val="sl-SI"/>
          </w:rPr>
          <w:t>resolucija CM/ResChS(2016)3 Confederazione Generale Italiana del Lavoro (CGIL) proti Italiji, pritožba št. 91/2013</w:t>
        </w:r>
      </w:hyperlink>
      <w:r w:rsidRPr="006F0AC6">
        <w:rPr>
          <w:sz w:val="24"/>
          <w:lang w:val="sl-SI"/>
        </w:rPr>
        <w:t xml:space="preserve">, 2016; Evropski parlament, </w:t>
      </w:r>
      <w:hyperlink r:id="rId3" w:history="1">
        <w:r w:rsidRPr="006F0AC6">
          <w:rPr>
            <w:rStyle w:val="Hyperlink"/>
            <w:sz w:val="24"/>
            <w:lang w:val="sl-SI"/>
          </w:rPr>
          <w:t>Briefing: misija Odbora za pravice žensk in enakost spolov v Italiji</w:t>
        </w:r>
        <w:r w:rsidR="00C0509E">
          <w:rPr>
            <w:rStyle w:val="Hyperlink"/>
            <w:sz w:val="24"/>
            <w:lang w:val="sl-SI"/>
          </w:rPr>
          <w:t xml:space="preserve"> </w:t>
        </w:r>
        <w:r w:rsidRPr="006F0AC6">
          <w:rPr>
            <w:rStyle w:val="Hyperlink"/>
            <w:sz w:val="24"/>
            <w:lang w:val="sl-SI"/>
          </w:rPr>
          <w:t>17.–19. decembra 2018</w:t>
        </w:r>
      </w:hyperlink>
      <w:r w:rsidRPr="006F0AC6">
        <w:rPr>
          <w:sz w:val="24"/>
          <w:lang w:val="sl-SI"/>
        </w:rPr>
        <w:t>, december 2018.</w:t>
      </w:r>
    </w:p>
  </w:footnote>
  <w:footnote w:id="15">
    <w:p w:rsidR="00E33CE7" w:rsidRPr="006F0AC6" w:rsidRDefault="00E33CE7" w:rsidP="006F0AC6">
      <w:pPr>
        <w:pStyle w:val="FootnoteText"/>
        <w:ind w:left="567" w:hanging="567"/>
        <w:rPr>
          <w:color w:val="000000"/>
          <w:sz w:val="24"/>
          <w:lang w:val="sl-SI"/>
        </w:rPr>
      </w:pPr>
      <w:r w:rsidRPr="006F0AC6">
        <w:rPr>
          <w:rStyle w:val="FootnoteReference"/>
          <w:sz w:val="24"/>
          <w:lang w:val="sl-SI"/>
        </w:rPr>
        <w:footnoteRef/>
      </w:r>
      <w:r w:rsidR="006F0AC6" w:rsidRPr="006F0AC6">
        <w:rPr>
          <w:sz w:val="24"/>
          <w:lang w:val="sl-SI"/>
        </w:rPr>
        <w:t xml:space="preserve"> </w:t>
      </w:r>
      <w:r w:rsidR="006F0AC6" w:rsidRPr="006F0AC6">
        <w:rPr>
          <w:sz w:val="24"/>
          <w:lang w:val="sl-SI"/>
        </w:rPr>
        <w:tab/>
      </w:r>
      <w:r w:rsidRPr="006F0AC6">
        <w:rPr>
          <w:sz w:val="24"/>
          <w:lang w:val="sl-SI"/>
        </w:rPr>
        <w:t xml:space="preserve">RODA, </w:t>
      </w:r>
      <w:hyperlink r:id="rId4" w:history="1">
        <w:r w:rsidRPr="006F0AC6">
          <w:rPr>
            <w:rStyle w:val="Hyperlink"/>
            <w:sz w:val="24"/>
            <w:lang w:val="sl-SI"/>
          </w:rPr>
          <w:t>Support for accessible, safe and legal termination of pregnancy in Croatia</w:t>
        </w:r>
      </w:hyperlink>
      <w:r w:rsidRPr="006F0AC6">
        <w:rPr>
          <w:sz w:val="24"/>
          <w:lang w:val="sl-SI"/>
        </w:rPr>
        <w:t xml:space="preserve"> (Podpora za dostopno, varno in zakonito prekinitev nosečnosti na Hrvaškem), 6. maj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A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A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A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SL"/>
    <w:docVar w:name="dvnumam" w:val="0"/>
    <w:docVar w:name="dvpe" w:val="760.611"/>
    <w:docVar w:name="dvtitre" w:val="Resolucija Evropskega parlamenta z dne 11. aprila 2024 o vključitvi pravice do splava v Listino EU o temeljnih pravicah(2024/2655(RSP))"/>
  </w:docVars>
  <w:rsids>
    <w:rsidRoot w:val="005D5514"/>
    <w:rsid w:val="00002272"/>
    <w:rsid w:val="00064002"/>
    <w:rsid w:val="000677B9"/>
    <w:rsid w:val="000831BA"/>
    <w:rsid w:val="000A42CC"/>
    <w:rsid w:val="000E7DD9"/>
    <w:rsid w:val="0010095E"/>
    <w:rsid w:val="00125B37"/>
    <w:rsid w:val="00187494"/>
    <w:rsid w:val="001F32AE"/>
    <w:rsid w:val="002767FF"/>
    <w:rsid w:val="002B18FE"/>
    <w:rsid w:val="002B5493"/>
    <w:rsid w:val="002C3FD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514"/>
    <w:rsid w:val="006037C0"/>
    <w:rsid w:val="006631B6"/>
    <w:rsid w:val="00680577"/>
    <w:rsid w:val="006F0AC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70A"/>
    <w:rsid w:val="00AB441E"/>
    <w:rsid w:val="00AB6293"/>
    <w:rsid w:val="00AE0928"/>
    <w:rsid w:val="00AF3B82"/>
    <w:rsid w:val="00B12E95"/>
    <w:rsid w:val="00B22876"/>
    <w:rsid w:val="00B558F0"/>
    <w:rsid w:val="00BD48FE"/>
    <w:rsid w:val="00BD7BD8"/>
    <w:rsid w:val="00BE6ADC"/>
    <w:rsid w:val="00C0509E"/>
    <w:rsid w:val="00C05BFE"/>
    <w:rsid w:val="00C23CD4"/>
    <w:rsid w:val="00C61C0C"/>
    <w:rsid w:val="00C941CB"/>
    <w:rsid w:val="00CC2357"/>
    <w:rsid w:val="00CF071A"/>
    <w:rsid w:val="00D02832"/>
    <w:rsid w:val="00D058B8"/>
    <w:rsid w:val="00D56C11"/>
    <w:rsid w:val="00D834A0"/>
    <w:rsid w:val="00D872DF"/>
    <w:rsid w:val="00D91E21"/>
    <w:rsid w:val="00DA7FCD"/>
    <w:rsid w:val="00E33CE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0A04B46-4DCD-4FAC-BC2B-15C91FECE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3CE7"/>
    <w:pPr>
      <w:spacing w:before="480" w:after="240"/>
    </w:pPr>
  </w:style>
  <w:style w:type="paragraph" w:customStyle="1" w:styleId="NormalHanging12a">
    <w:name w:val="NormalHanging12a"/>
    <w:basedOn w:val="Normal"/>
    <w:rsid w:val="00E33CE7"/>
    <w:pPr>
      <w:spacing w:after="240"/>
      <w:ind w:left="567" w:hanging="567"/>
    </w:pPr>
  </w:style>
  <w:style w:type="character" w:customStyle="1" w:styleId="doceo-font-family-base">
    <w:name w:val="doceo-font-family-base"/>
    <w:basedOn w:val="DefaultParagraphFont"/>
    <w:rsid w:val="00E33CE7"/>
  </w:style>
  <w:style w:type="table" w:customStyle="1" w:styleId="1">
    <w:name w:val="1"/>
    <w:basedOn w:val="TableNormal"/>
    <w:rsid w:val="00E33CE7"/>
    <w:pPr>
      <w:spacing w:after="160" w:line="259" w:lineRule="auto"/>
    </w:pPr>
    <w:rPr>
      <w:rFonts w:ascii="Calibri" w:eastAsia="Calibri" w:hAnsi="Calibri" w:cs="Calibri"/>
      <w:sz w:val="22"/>
      <w:szCs w:val="22"/>
      <w:lang w:val="sl-SI"/>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E33CE7"/>
    <w:rPr>
      <w:color w:val="0000FF"/>
      <w:u w:val="single"/>
    </w:rPr>
  </w:style>
  <w:style w:type="paragraph" w:styleId="BalloonText">
    <w:name w:val="Balloon Text"/>
    <w:basedOn w:val="Normal"/>
    <w:link w:val="BalloonTextChar"/>
    <w:rsid w:val="00D02832"/>
    <w:rPr>
      <w:rFonts w:ascii="Segoe UI" w:hAnsi="Segoe UI" w:cs="Segoe UI"/>
      <w:sz w:val="18"/>
      <w:szCs w:val="18"/>
    </w:rPr>
  </w:style>
  <w:style w:type="character" w:customStyle="1" w:styleId="BalloonTextChar">
    <w:name w:val="Balloon Text Char"/>
    <w:basedOn w:val="DefaultParagraphFont"/>
    <w:link w:val="BalloonText"/>
    <w:rsid w:val="00D02832"/>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RegData/etudes/BRIE/2018/608853/IPOL_BRI(2018)608853_EN.pdf"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 Id="rId4" Type="http://schemas.openxmlformats.org/officeDocument/2006/relationships/hyperlink" Target="https://www.roda.hr/en/news/support-for-accessible-safe-and-legal-termination-of-pregnancy-in-croat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ACF02-D002-4043-BED6-C3404C908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3043</Words>
  <Characters>17607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2024-04-11T14:02:00Z</dcterms:created>
  <dcterms:modified xsi:type="dcterms:W3CDTF">2024-04-11T14:02:00Z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B9-0205/2024</vt:lpwstr>
  </property>
  <property fmtid="{D5CDD505-2E9C-101B-9397-08002B2CF9AE}" pid="4" name="&lt;Type&gt;">
    <vt:lpwstr>RR</vt:lpwstr>
  </property>
</Properties>
</file>