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6613F" w14:paraId="2876C2A9" w14:textId="77777777" w:rsidTr="0010095E">
        <w:trPr>
          <w:trHeight w:hRule="exact" w:val="1418"/>
        </w:trPr>
        <w:tc>
          <w:tcPr>
            <w:tcW w:w="6804" w:type="dxa"/>
            <w:shd w:val="clear" w:color="auto" w:fill="auto"/>
            <w:vAlign w:val="center"/>
          </w:tcPr>
          <w:p w14:paraId="6E1364CF" w14:textId="77777777" w:rsidR="00751A4A" w:rsidRPr="0056613F" w:rsidRDefault="00F963D4" w:rsidP="0010095E">
            <w:pPr>
              <w:pStyle w:val="EPName"/>
            </w:pPr>
            <w:r w:rsidRPr="0056613F">
              <w:t>European Parliament</w:t>
            </w:r>
          </w:p>
          <w:p w14:paraId="790F4159" w14:textId="77777777" w:rsidR="00751A4A" w:rsidRPr="0056613F" w:rsidRDefault="00817416" w:rsidP="00756632">
            <w:pPr>
              <w:pStyle w:val="EPTerm"/>
              <w:rPr>
                <w:rStyle w:val="HideTWBExt"/>
                <w:noProof w:val="0"/>
                <w:vanish w:val="0"/>
                <w:color w:val="auto"/>
              </w:rPr>
            </w:pPr>
            <w:r w:rsidRPr="0056613F">
              <w:t>2019-2024</w:t>
            </w:r>
          </w:p>
        </w:tc>
        <w:tc>
          <w:tcPr>
            <w:tcW w:w="2268" w:type="dxa"/>
            <w:shd w:val="clear" w:color="auto" w:fill="auto"/>
          </w:tcPr>
          <w:p w14:paraId="594ADFC1" w14:textId="77777777" w:rsidR="00751A4A" w:rsidRPr="0056613F" w:rsidRDefault="00187494" w:rsidP="0010095E">
            <w:pPr>
              <w:pStyle w:val="EPLogo"/>
            </w:pPr>
            <w:r w:rsidRPr="0056613F">
              <w:rPr>
                <w:noProof/>
              </w:rPr>
              <w:drawing>
                <wp:inline distT="0" distB="0" distL="0" distR="0" wp14:anchorId="5AF8B396" wp14:editId="120E72C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16952C" w14:textId="77777777" w:rsidR="00D058B8" w:rsidRPr="0056613F" w:rsidRDefault="00D058B8" w:rsidP="004C5D52">
      <w:pPr>
        <w:pStyle w:val="LineTop"/>
      </w:pPr>
    </w:p>
    <w:p w14:paraId="5065B9A3" w14:textId="77777777" w:rsidR="00680577" w:rsidRPr="0056613F" w:rsidRDefault="00F963D4" w:rsidP="00680577">
      <w:pPr>
        <w:pStyle w:val="EPBodyTA1"/>
      </w:pPr>
      <w:r w:rsidRPr="0056613F">
        <w:t>TEXTS ADOPTED</w:t>
      </w:r>
    </w:p>
    <w:p w14:paraId="698F7768" w14:textId="77777777" w:rsidR="00D058B8" w:rsidRPr="0056613F" w:rsidRDefault="00D058B8" w:rsidP="00D058B8">
      <w:pPr>
        <w:pStyle w:val="LineBottom"/>
      </w:pPr>
    </w:p>
    <w:p w14:paraId="3FE4BEC7" w14:textId="40745E4F" w:rsidR="00F963D4" w:rsidRPr="0056613F" w:rsidRDefault="00F963D4" w:rsidP="00F963D4">
      <w:pPr>
        <w:pStyle w:val="ATHeading1"/>
      </w:pPr>
      <w:bookmarkStart w:id="0" w:name="TANumber"/>
      <w:r w:rsidRPr="0056613F">
        <w:t>P9_TA(2024)0</w:t>
      </w:r>
      <w:bookmarkEnd w:id="0"/>
      <w:r w:rsidR="00F35AD1">
        <w:t>287</w:t>
      </w:r>
      <w:bookmarkStart w:id="1" w:name="_GoBack"/>
      <w:bookmarkEnd w:id="1"/>
    </w:p>
    <w:p w14:paraId="4577A4A5" w14:textId="22D54374" w:rsidR="00F963D4" w:rsidRPr="0056613F" w:rsidRDefault="00C355AC" w:rsidP="00F963D4">
      <w:pPr>
        <w:pStyle w:val="ATHeading2"/>
      </w:pPr>
      <w:bookmarkStart w:id="2" w:name="title"/>
      <w:r w:rsidRPr="004B4B7B">
        <w:t xml:space="preserve">Non-objection to a delegated act: </w:t>
      </w:r>
      <w:r w:rsidR="00415146" w:rsidRPr="00542CF4">
        <w:t>EU-New Zealand free trade agreement</w:t>
      </w:r>
      <w:bookmarkEnd w:id="2"/>
    </w:p>
    <w:p w14:paraId="19F42B4E" w14:textId="77777777" w:rsidR="00F963D4" w:rsidRPr="0056613F" w:rsidRDefault="00F963D4" w:rsidP="00F963D4">
      <w:pPr>
        <w:rPr>
          <w:i/>
          <w:vanish/>
        </w:rPr>
      </w:pPr>
      <w:r w:rsidRPr="0056613F">
        <w:rPr>
          <w:i/>
        </w:rPr>
        <w:fldChar w:fldCharType="begin"/>
      </w:r>
      <w:r w:rsidRPr="0056613F">
        <w:rPr>
          <w:i/>
        </w:rPr>
        <w:instrText xml:space="preserve"> TC"(</w:instrText>
      </w:r>
      <w:bookmarkStart w:id="3" w:name="DocNumber"/>
      <w:r w:rsidRPr="0056613F">
        <w:rPr>
          <w:i/>
        </w:rPr>
        <w:instrText>B9-0200/2024</w:instrText>
      </w:r>
      <w:bookmarkEnd w:id="3"/>
      <w:r w:rsidRPr="0056613F">
        <w:rPr>
          <w:i/>
        </w:rPr>
        <w:instrText xml:space="preserve">)"\l3 \n&gt; \* MERGEFORMAT </w:instrText>
      </w:r>
      <w:r w:rsidRPr="0056613F">
        <w:rPr>
          <w:i/>
        </w:rPr>
        <w:fldChar w:fldCharType="end"/>
      </w:r>
    </w:p>
    <w:p w14:paraId="472E0F40" w14:textId="77777777" w:rsidR="00F963D4" w:rsidRPr="0056613F" w:rsidRDefault="00F963D4" w:rsidP="00F963D4">
      <w:pPr>
        <w:rPr>
          <w:vanish/>
        </w:rPr>
      </w:pPr>
      <w:bookmarkStart w:id="4" w:name="PE"/>
      <w:r w:rsidRPr="0056613F">
        <w:rPr>
          <w:vanish/>
        </w:rPr>
        <w:t>PE759.963</w:t>
      </w:r>
      <w:bookmarkEnd w:id="4"/>
    </w:p>
    <w:p w14:paraId="4D0BE1C4" w14:textId="77777777" w:rsidR="00F963D4" w:rsidRPr="0056613F" w:rsidRDefault="00F963D4" w:rsidP="00F963D4">
      <w:pPr>
        <w:pStyle w:val="ATHeading3"/>
      </w:pPr>
      <w:bookmarkStart w:id="5" w:name="Sujet"/>
      <w:r w:rsidRPr="0056613F">
        <w:t>European Parliament decision to raise no objections to the Commission delegated regulation of 13 March 2024 amending Commission Delegated Regulation (EU) 2020/760 as regards some provisions following the free trade agreement between the European Union and New Zealand and deletion of obsolete provisions as regards export tariff quota for milk powder</w:t>
      </w:r>
      <w:bookmarkEnd w:id="5"/>
      <w:r w:rsidRPr="0056613F">
        <w:t xml:space="preserve"> </w:t>
      </w:r>
      <w:bookmarkStart w:id="6" w:name="References"/>
      <w:r w:rsidRPr="0056613F">
        <w:t>(C(2024)01499 – 2024/2677(DEA))</w:t>
      </w:r>
      <w:bookmarkEnd w:id="6"/>
    </w:p>
    <w:p w14:paraId="5BE0FC09" w14:textId="77777777" w:rsidR="006709E4" w:rsidRPr="0056613F" w:rsidRDefault="006709E4" w:rsidP="006709E4">
      <w:pPr>
        <w:pStyle w:val="EPComma"/>
      </w:pPr>
      <w:bookmarkStart w:id="7" w:name="TextBodyBegin"/>
      <w:bookmarkEnd w:id="7"/>
      <w:r w:rsidRPr="0056613F">
        <w:rPr>
          <w:i/>
        </w:rPr>
        <w:t>The European Parliament</w:t>
      </w:r>
      <w:r w:rsidRPr="0056613F">
        <w:t>,</w:t>
      </w:r>
    </w:p>
    <w:p w14:paraId="6131CB52" w14:textId="77777777" w:rsidR="006709E4" w:rsidRPr="0056613F" w:rsidRDefault="006709E4" w:rsidP="00C355AC">
      <w:pPr>
        <w:pStyle w:val="NormalHanging12a"/>
        <w:widowControl/>
      </w:pPr>
      <w:r w:rsidRPr="0056613F">
        <w:t>–</w:t>
      </w:r>
      <w:r w:rsidRPr="0056613F">
        <w:tab/>
        <w:t>having regard to the Commission delegated r</w:t>
      </w:r>
      <w:r w:rsidR="00C355AC">
        <w:t xml:space="preserve">egulation </w:t>
      </w:r>
      <w:r w:rsidRPr="0056613F">
        <w:t>(</w:t>
      </w:r>
      <w:proofErr w:type="gramStart"/>
      <w:r w:rsidRPr="0056613F">
        <w:t>C(</w:t>
      </w:r>
      <w:proofErr w:type="gramEnd"/>
      <w:r w:rsidRPr="0056613F">
        <w:t>2024)01499),</w:t>
      </w:r>
    </w:p>
    <w:p w14:paraId="4E51F1C3" w14:textId="77777777" w:rsidR="006709E4" w:rsidRPr="0056613F" w:rsidRDefault="006709E4" w:rsidP="00C355AC">
      <w:pPr>
        <w:widowControl/>
        <w:spacing w:after="240"/>
        <w:ind w:left="567" w:hanging="567"/>
      </w:pPr>
      <w:r w:rsidRPr="0056613F">
        <w:t>–</w:t>
      </w:r>
      <w:r w:rsidRPr="0056613F">
        <w:tab/>
        <w:t>having regard to the Commission’s letter of 13 March 2024 asking Parliament to declare that it will raise no objections to the delegated regulation,</w:t>
      </w:r>
    </w:p>
    <w:p w14:paraId="38B4B209" w14:textId="77777777" w:rsidR="006709E4" w:rsidRPr="0056613F" w:rsidRDefault="006709E4" w:rsidP="00C355AC">
      <w:pPr>
        <w:widowControl/>
        <w:spacing w:after="240"/>
        <w:ind w:left="567" w:hanging="567"/>
      </w:pPr>
      <w:r w:rsidRPr="0056613F">
        <w:t>–</w:t>
      </w:r>
      <w:r w:rsidRPr="0056613F">
        <w:tab/>
        <w:t xml:space="preserve">having regard to the letter from the Committee on Agriculture and Rural Development </w:t>
      </w:r>
      <w:proofErr w:type="gramStart"/>
      <w:r w:rsidRPr="0056613F">
        <w:t>to</w:t>
      </w:r>
      <w:proofErr w:type="gramEnd"/>
      <w:r w:rsidRPr="0056613F">
        <w:t xml:space="preserve"> the Chair of the Conference of Committee Chairs of 19 March 2024,</w:t>
      </w:r>
    </w:p>
    <w:p w14:paraId="071EE834" w14:textId="77777777" w:rsidR="006709E4" w:rsidRPr="0056613F" w:rsidRDefault="006709E4" w:rsidP="00C355AC">
      <w:pPr>
        <w:widowControl/>
        <w:spacing w:after="240"/>
        <w:ind w:left="567" w:hanging="567"/>
      </w:pPr>
      <w:r w:rsidRPr="0056613F">
        <w:t>–</w:t>
      </w:r>
      <w:r w:rsidRPr="0056613F">
        <w:tab/>
        <w:t>having regard to Article 290 of the Treaty on the Functioning of the European Union,</w:t>
      </w:r>
    </w:p>
    <w:p w14:paraId="47BEB9B4" w14:textId="77777777" w:rsidR="006709E4" w:rsidRPr="0056613F" w:rsidRDefault="006709E4" w:rsidP="00C355AC">
      <w:pPr>
        <w:widowControl/>
        <w:spacing w:after="240"/>
        <w:ind w:left="567" w:hanging="567"/>
      </w:pPr>
      <w:proofErr w:type="gramStart"/>
      <w:r w:rsidRPr="0056613F">
        <w:t>–</w:t>
      </w:r>
      <w:r w:rsidRPr="0056613F">
        <w:tab/>
        <w:t>having regard to Regulation (EU) No 1308/2013 of the European Parliament and of the Council of 17 December 2013 establishing a common organisation of the markets in agricultural products and repealing Council Regulations (EEC) No 922/72, (EEC) No 234/79, (EC) No 1037/2001 and (EC) No 1234/2007</w:t>
      </w:r>
      <w:r w:rsidRPr="0056613F">
        <w:rPr>
          <w:rStyle w:val="FootnoteReference"/>
        </w:rPr>
        <w:footnoteReference w:id="1"/>
      </w:r>
      <w:r w:rsidRPr="0056613F">
        <w:t>, and in particular Article 186 and Article 227(5) thereof,</w:t>
      </w:r>
      <w:proofErr w:type="gramEnd"/>
      <w:r w:rsidRPr="0056613F">
        <w:t xml:space="preserve"> </w:t>
      </w:r>
    </w:p>
    <w:p w14:paraId="7AE70BAC" w14:textId="77777777" w:rsidR="006709E4" w:rsidRPr="0056613F" w:rsidRDefault="006709E4" w:rsidP="00C355AC">
      <w:pPr>
        <w:widowControl/>
        <w:spacing w:after="240"/>
        <w:ind w:left="567" w:hanging="567"/>
      </w:pPr>
      <w:r w:rsidRPr="0056613F">
        <w:t>–</w:t>
      </w:r>
      <w:r w:rsidRPr="0056613F">
        <w:tab/>
        <w:t>having regard to Rule 111(6) of its Rules of Procedure,</w:t>
      </w:r>
    </w:p>
    <w:p w14:paraId="0CB7CB29" w14:textId="196A5D2B" w:rsidR="006709E4" w:rsidRDefault="006709E4" w:rsidP="00C355AC">
      <w:pPr>
        <w:widowControl/>
        <w:spacing w:after="240"/>
        <w:ind w:left="567" w:hanging="567"/>
      </w:pPr>
      <w:r w:rsidRPr="0056613F">
        <w:t>–</w:t>
      </w:r>
      <w:r w:rsidRPr="0056613F">
        <w:tab/>
        <w:t>having regard to the recommendation for a decision of the Committee on Agriculture and Rural Development,</w:t>
      </w:r>
    </w:p>
    <w:p w14:paraId="2A9A399F" w14:textId="65135E5F" w:rsidR="006C44CD" w:rsidRPr="00E064BF" w:rsidRDefault="006C44CD" w:rsidP="00472D15">
      <w:pPr>
        <w:pStyle w:val="NormalHanging12a"/>
        <w:widowControl/>
      </w:pPr>
      <w:r w:rsidRPr="00542CF4">
        <w:t>–</w:t>
      </w:r>
      <w:r w:rsidRPr="00542CF4">
        <w:tab/>
      </w:r>
      <w:r w:rsidRPr="00542CF4">
        <w:rPr>
          <w:iCs/>
        </w:rPr>
        <w:t>having regard to the fact that no objections have been raised within the period laid down in Rule 111(6), third and fourth indents, of its Rules of Procedure, which expired on 11 April 2024,</w:t>
      </w:r>
    </w:p>
    <w:p w14:paraId="20850840" w14:textId="77777777" w:rsidR="006C44CD" w:rsidRPr="0056613F" w:rsidRDefault="006C44CD" w:rsidP="00C355AC">
      <w:pPr>
        <w:widowControl/>
        <w:spacing w:after="240"/>
        <w:ind w:left="567" w:hanging="567"/>
      </w:pPr>
    </w:p>
    <w:p w14:paraId="01F9992C" w14:textId="77777777" w:rsidR="006709E4" w:rsidRPr="0056613F" w:rsidRDefault="006709E4" w:rsidP="00C355AC">
      <w:pPr>
        <w:widowControl/>
        <w:spacing w:after="240"/>
        <w:ind w:left="567" w:hanging="567"/>
        <w:rPr>
          <w:rFonts w:eastAsia="Calibri"/>
          <w:szCs w:val="22"/>
        </w:rPr>
      </w:pPr>
      <w:r w:rsidRPr="0056613F">
        <w:rPr>
          <w:rFonts w:eastAsia="Calibri"/>
          <w:szCs w:val="22"/>
        </w:rPr>
        <w:t>A.</w:t>
      </w:r>
      <w:r w:rsidRPr="0056613F">
        <w:rPr>
          <w:rFonts w:eastAsia="Calibri"/>
          <w:szCs w:val="22"/>
        </w:rPr>
        <w:tab/>
        <w:t>whereas the Union’s procedural steps for the implementation of the Free Trade Agreement between the European Union and New Zealand (‘the Agreement’) have been completed with the publication of Council Decision (EU) 2024/244</w:t>
      </w:r>
      <w:r w:rsidRPr="0056613F">
        <w:rPr>
          <w:rStyle w:val="FootnoteReference"/>
          <w:rFonts w:eastAsia="Calibri"/>
          <w:szCs w:val="22"/>
        </w:rPr>
        <w:footnoteReference w:id="2"/>
      </w:r>
      <w:r w:rsidRPr="0056613F">
        <w:rPr>
          <w:rFonts w:eastAsia="Calibri"/>
          <w:szCs w:val="22"/>
        </w:rPr>
        <w:t xml:space="preserve"> in the </w:t>
      </w:r>
      <w:r w:rsidRPr="00542CF4">
        <w:rPr>
          <w:rFonts w:eastAsia="Calibri"/>
          <w:i/>
          <w:szCs w:val="22"/>
        </w:rPr>
        <w:t>Official Journal of the European Union</w:t>
      </w:r>
      <w:r w:rsidRPr="00542CF4">
        <w:rPr>
          <w:rFonts w:eastAsia="Calibri"/>
          <w:szCs w:val="22"/>
        </w:rPr>
        <w:t xml:space="preserve"> on 28 February 2024;</w:t>
      </w:r>
    </w:p>
    <w:p w14:paraId="5F75E614" w14:textId="38BC56D6" w:rsidR="006709E4" w:rsidRPr="0056613F" w:rsidRDefault="006709E4" w:rsidP="00C355AC">
      <w:pPr>
        <w:widowControl/>
        <w:spacing w:after="240"/>
        <w:ind w:left="567" w:hanging="567"/>
      </w:pPr>
      <w:r w:rsidRPr="0056613F">
        <w:t>B.</w:t>
      </w:r>
      <w:r w:rsidRPr="0056613F">
        <w:tab/>
        <w:t xml:space="preserve">whereas, according to the latest information received, on the New Zealand side the legislation required to implement the Agreement </w:t>
      </w:r>
      <w:r w:rsidR="006C44CD" w:rsidRPr="00542CF4">
        <w:t>was</w:t>
      </w:r>
      <w:r w:rsidRPr="0056613F">
        <w:t xml:space="preserve"> likely to be adopted by the end of March 2024, which would allow the Agreement to enter into force on 1 May 2024;</w:t>
      </w:r>
    </w:p>
    <w:p w14:paraId="490876D7" w14:textId="77777777" w:rsidR="006709E4" w:rsidRPr="0056613F" w:rsidRDefault="006709E4" w:rsidP="00C355AC">
      <w:pPr>
        <w:widowControl/>
        <w:spacing w:after="240"/>
        <w:ind w:left="567" w:hanging="567"/>
        <w:rPr>
          <w:rFonts w:eastAsia="Calibri"/>
          <w:szCs w:val="22"/>
        </w:rPr>
      </w:pPr>
      <w:r w:rsidRPr="0056613F">
        <w:rPr>
          <w:rFonts w:eastAsia="Calibri"/>
          <w:szCs w:val="22"/>
        </w:rPr>
        <w:t>C.</w:t>
      </w:r>
      <w:r w:rsidRPr="0056613F">
        <w:rPr>
          <w:rFonts w:eastAsia="Calibri"/>
          <w:szCs w:val="22"/>
        </w:rPr>
        <w:tab/>
        <w:t>whereas the Agreement introduces several new tariff rate quotas and amends some existing WTO country specific tariff rate quotas for products originating in New Zealand, among others;</w:t>
      </w:r>
    </w:p>
    <w:p w14:paraId="64C40453" w14:textId="77777777" w:rsidR="006709E4" w:rsidRPr="0056613F" w:rsidRDefault="006709E4" w:rsidP="00C355AC">
      <w:pPr>
        <w:widowControl/>
        <w:spacing w:after="240"/>
        <w:ind w:left="567" w:hanging="567"/>
        <w:rPr>
          <w:rFonts w:eastAsia="Calibri"/>
          <w:szCs w:val="22"/>
        </w:rPr>
      </w:pPr>
      <w:r w:rsidRPr="0056613F">
        <w:rPr>
          <w:rFonts w:eastAsia="Calibri"/>
          <w:szCs w:val="22"/>
        </w:rPr>
        <w:t>D.</w:t>
      </w:r>
      <w:r w:rsidRPr="0056613F">
        <w:rPr>
          <w:rFonts w:eastAsia="Calibri"/>
          <w:szCs w:val="22"/>
        </w:rPr>
        <w:tab/>
        <w:t>whereas those changes will be reflected in Commission Delegated Regulation (EU) 2020/760</w:t>
      </w:r>
      <w:r w:rsidRPr="0056613F">
        <w:rPr>
          <w:rStyle w:val="FootnoteReference"/>
          <w:rFonts w:eastAsia="Calibri"/>
          <w:szCs w:val="22"/>
        </w:rPr>
        <w:footnoteReference w:id="3"/>
      </w:r>
      <w:r w:rsidRPr="0056613F">
        <w:rPr>
          <w:rFonts w:eastAsia="Calibri"/>
          <w:szCs w:val="22"/>
        </w:rPr>
        <w:t>, which supplements Regulation (EU) No 1308/2013 as regards the rules for the administration of import and export tariff quotas for agricultural products subject to licences;</w:t>
      </w:r>
    </w:p>
    <w:p w14:paraId="4EE6C569" w14:textId="77777777" w:rsidR="006709E4" w:rsidRPr="0056613F" w:rsidRDefault="006709E4" w:rsidP="00C355AC">
      <w:pPr>
        <w:widowControl/>
        <w:spacing w:after="240"/>
        <w:ind w:left="567" w:hanging="567"/>
        <w:rPr>
          <w:rFonts w:eastAsia="Calibri"/>
          <w:szCs w:val="22"/>
        </w:rPr>
      </w:pPr>
      <w:r w:rsidRPr="0056613F">
        <w:rPr>
          <w:rFonts w:eastAsia="Calibri"/>
          <w:szCs w:val="22"/>
        </w:rPr>
        <w:t>E.</w:t>
      </w:r>
      <w:r w:rsidRPr="0056613F">
        <w:rPr>
          <w:rFonts w:eastAsia="Calibri"/>
          <w:szCs w:val="22"/>
        </w:rPr>
        <w:tab/>
        <w:t>whereas Delegated Regulation (EU) 2020/760 should therefore be amended by the date of entry into force of the Agreement;</w:t>
      </w:r>
    </w:p>
    <w:p w14:paraId="06301E25" w14:textId="77777777" w:rsidR="006709E4" w:rsidRPr="0056613F" w:rsidRDefault="006709E4" w:rsidP="00C355AC">
      <w:pPr>
        <w:widowControl/>
        <w:spacing w:after="240"/>
        <w:ind w:left="567" w:hanging="567"/>
      </w:pPr>
      <w:r w:rsidRPr="0056613F">
        <w:t>1.</w:t>
      </w:r>
      <w:r w:rsidRPr="0056613F">
        <w:tab/>
      </w:r>
      <w:proofErr w:type="gramStart"/>
      <w:r w:rsidRPr="0056613F">
        <w:t>Declares</w:t>
      </w:r>
      <w:proofErr w:type="gramEnd"/>
      <w:r w:rsidRPr="0056613F">
        <w:t xml:space="preserve"> that it has no objections to the delegated regulation;</w:t>
      </w:r>
    </w:p>
    <w:p w14:paraId="7F01327A" w14:textId="77777777" w:rsidR="00E365E1" w:rsidRPr="0056613F" w:rsidRDefault="006709E4" w:rsidP="00C355AC">
      <w:pPr>
        <w:widowControl/>
        <w:spacing w:after="240"/>
        <w:ind w:left="567" w:hanging="567"/>
      </w:pPr>
      <w:r w:rsidRPr="0056613F">
        <w:t>2.</w:t>
      </w:r>
      <w:r w:rsidRPr="0056613F">
        <w:tab/>
        <w:t>Instructs its President to forward this decision to the Council and the Commission.</w:t>
      </w:r>
      <w:bookmarkStart w:id="8" w:name="TextBodyEnd"/>
      <w:bookmarkEnd w:id="8"/>
    </w:p>
    <w:sectPr w:rsidR="00E365E1" w:rsidRPr="0056613F" w:rsidSect="0056613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F7534F" w14:textId="77777777" w:rsidR="00F963D4" w:rsidRPr="0056613F" w:rsidRDefault="00F963D4">
      <w:r w:rsidRPr="0056613F">
        <w:separator/>
      </w:r>
    </w:p>
  </w:endnote>
  <w:endnote w:type="continuationSeparator" w:id="0">
    <w:p w14:paraId="367F65FC" w14:textId="77777777" w:rsidR="00F963D4" w:rsidRPr="0056613F" w:rsidRDefault="00F963D4">
      <w:r w:rsidRPr="005661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03259" w14:textId="77777777" w:rsidR="00064002" w:rsidRPr="0056613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4FB79" w14:textId="77777777" w:rsidR="00064002" w:rsidRPr="0056613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374C1" w14:textId="77777777" w:rsidR="00064002" w:rsidRPr="0056613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2C7BBA" w14:textId="77777777" w:rsidR="00F963D4" w:rsidRPr="0056613F" w:rsidRDefault="00F963D4">
      <w:r w:rsidRPr="0056613F">
        <w:separator/>
      </w:r>
    </w:p>
  </w:footnote>
  <w:footnote w:type="continuationSeparator" w:id="0">
    <w:p w14:paraId="4D86BC69" w14:textId="77777777" w:rsidR="00F963D4" w:rsidRPr="0056613F" w:rsidRDefault="00F963D4">
      <w:r w:rsidRPr="0056613F">
        <w:continuationSeparator/>
      </w:r>
    </w:p>
  </w:footnote>
  <w:footnote w:id="1">
    <w:p w14:paraId="4257C7D5" w14:textId="77777777" w:rsidR="006709E4" w:rsidRPr="0056613F" w:rsidRDefault="006709E4" w:rsidP="00C355AC">
      <w:pPr>
        <w:pStyle w:val="FootnoteText"/>
        <w:keepLines w:val="0"/>
        <w:ind w:left="567" w:hanging="567"/>
        <w:rPr>
          <w:sz w:val="24"/>
          <w:lang w:val="en-GB"/>
        </w:rPr>
      </w:pPr>
      <w:r w:rsidRPr="0056613F">
        <w:rPr>
          <w:rStyle w:val="FootnoteReference"/>
          <w:sz w:val="24"/>
          <w:lang w:val="en-GB"/>
        </w:rPr>
        <w:footnoteRef/>
      </w:r>
      <w:r w:rsidR="0056613F" w:rsidRPr="0056613F">
        <w:rPr>
          <w:sz w:val="24"/>
          <w:lang w:val="en-GB"/>
        </w:rPr>
        <w:t xml:space="preserve"> </w:t>
      </w:r>
      <w:r w:rsidR="0056613F" w:rsidRPr="0056613F">
        <w:rPr>
          <w:sz w:val="24"/>
          <w:lang w:val="en-GB"/>
        </w:rPr>
        <w:tab/>
      </w:r>
      <w:r w:rsidRPr="0056613F">
        <w:rPr>
          <w:sz w:val="24"/>
          <w:lang w:val="en-GB"/>
        </w:rPr>
        <w:t>OJ L 347, 20.12.2013, p. 671.</w:t>
      </w:r>
    </w:p>
  </w:footnote>
  <w:footnote w:id="2">
    <w:p w14:paraId="3C99FF36" w14:textId="77777777" w:rsidR="006709E4" w:rsidRPr="0056613F" w:rsidRDefault="006709E4" w:rsidP="00C355AC">
      <w:pPr>
        <w:pStyle w:val="FootnoteText"/>
        <w:keepLines w:val="0"/>
        <w:ind w:left="567" w:hanging="567"/>
        <w:rPr>
          <w:sz w:val="24"/>
          <w:lang w:val="en-GB"/>
        </w:rPr>
      </w:pPr>
      <w:r w:rsidRPr="0056613F">
        <w:rPr>
          <w:rStyle w:val="FootnoteReference"/>
          <w:sz w:val="24"/>
          <w:lang w:val="en-GB"/>
        </w:rPr>
        <w:footnoteRef/>
      </w:r>
      <w:r w:rsidR="0056613F" w:rsidRPr="0056613F">
        <w:rPr>
          <w:sz w:val="24"/>
          <w:lang w:val="en-GB"/>
        </w:rPr>
        <w:t xml:space="preserve"> </w:t>
      </w:r>
      <w:r w:rsidR="0056613F" w:rsidRPr="0056613F">
        <w:rPr>
          <w:sz w:val="24"/>
          <w:lang w:val="en-GB"/>
        </w:rPr>
        <w:tab/>
      </w:r>
      <w:r w:rsidRPr="0056613F">
        <w:rPr>
          <w:sz w:val="24"/>
          <w:lang w:val="en-GB"/>
        </w:rPr>
        <w:t>Council Decision (EU) 2024/244 of 27 November 2023 on the conclusion, on behalf of the Union, of the Free Trade Agreement between the European Union and New Zealand (OJ L 244, 28.2.2024, p. 1).</w:t>
      </w:r>
    </w:p>
  </w:footnote>
  <w:footnote w:id="3">
    <w:p w14:paraId="7AE0835F" w14:textId="77777777" w:rsidR="006709E4" w:rsidRPr="0056613F" w:rsidRDefault="006709E4" w:rsidP="00C355AC">
      <w:pPr>
        <w:pStyle w:val="FootnoteText"/>
        <w:keepLines w:val="0"/>
        <w:ind w:left="567" w:hanging="567"/>
        <w:rPr>
          <w:sz w:val="24"/>
          <w:lang w:val="en-GB"/>
        </w:rPr>
      </w:pPr>
      <w:r w:rsidRPr="0056613F">
        <w:rPr>
          <w:rStyle w:val="FootnoteReference"/>
          <w:sz w:val="24"/>
          <w:lang w:val="en-GB"/>
        </w:rPr>
        <w:footnoteRef/>
      </w:r>
      <w:r w:rsidR="0056613F" w:rsidRPr="0056613F">
        <w:rPr>
          <w:sz w:val="24"/>
          <w:lang w:val="en-GB"/>
        </w:rPr>
        <w:t xml:space="preserve"> </w:t>
      </w:r>
      <w:r w:rsidR="0056613F" w:rsidRPr="0056613F">
        <w:rPr>
          <w:sz w:val="24"/>
          <w:lang w:val="en-GB"/>
        </w:rPr>
        <w:tab/>
      </w:r>
      <w:proofErr w:type="gramStart"/>
      <w:r w:rsidRPr="0056613F">
        <w:rPr>
          <w:sz w:val="24"/>
          <w:lang w:val="en-GB"/>
        </w:rPr>
        <w:t>Commission Delegated Regulation (EU) 2020/760 of 17 December 2019 supplementing Regulation (EU) No 1308/2013 of the European Parliament and of the Council as regards the rules for the administration of import and export tariff quotas subject to licences and supplementing Regulation (EU) No 1306/2013 of the European Parliament and of the Council as regards the lodging of securities in the administration of tariff quotas (OJ L 185, 12.6.2020, p. 1).</w:t>
      </w:r>
      <w:proofErr w:type="gramEnd"/>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0B1F1" w14:textId="77777777" w:rsidR="00064002" w:rsidRPr="0056613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FEBB4" w14:textId="77777777" w:rsidR="00064002" w:rsidRPr="0056613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84C95" w14:textId="77777777" w:rsidR="00064002" w:rsidRPr="0056613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0/2024"/>
    <w:docVar w:name="dvlangue" w:val="EN"/>
    <w:docVar w:name="dvnumam" w:val="0"/>
    <w:docVar w:name="dvpe" w:val="759.963"/>
    <w:docVar w:name="dvtitre" w:val="European Parliament decision of xx Xxxx 2024 to raise no objections to the Commission delegated regulation of 13 March 2024 amending Commission Delegated Regulation (EU) 2020/760 as regards some provisions following the free trade agreement between the European Union and New Zealand and deletion of obsolete provisions as regards export tariff quota for milk powder(C(2024)01499 – 2024/2677(DEA))"/>
  </w:docVars>
  <w:rsids>
    <w:rsidRoot w:val="00F963D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5146"/>
    <w:rsid w:val="0041666E"/>
    <w:rsid w:val="00421060"/>
    <w:rsid w:val="00471C19"/>
    <w:rsid w:val="00472D15"/>
    <w:rsid w:val="004867E3"/>
    <w:rsid w:val="00494A28"/>
    <w:rsid w:val="004C0004"/>
    <w:rsid w:val="004C5D52"/>
    <w:rsid w:val="0050519A"/>
    <w:rsid w:val="005072A1"/>
    <w:rsid w:val="00514517"/>
    <w:rsid w:val="00542CF4"/>
    <w:rsid w:val="00545827"/>
    <w:rsid w:val="00560270"/>
    <w:rsid w:val="0056613F"/>
    <w:rsid w:val="005B5CC7"/>
    <w:rsid w:val="005C2568"/>
    <w:rsid w:val="005D537A"/>
    <w:rsid w:val="006037C0"/>
    <w:rsid w:val="006631B6"/>
    <w:rsid w:val="006709E4"/>
    <w:rsid w:val="00680577"/>
    <w:rsid w:val="006C44CD"/>
    <w:rsid w:val="006F74FA"/>
    <w:rsid w:val="00731ADD"/>
    <w:rsid w:val="00734777"/>
    <w:rsid w:val="00747932"/>
    <w:rsid w:val="00751A4A"/>
    <w:rsid w:val="00756632"/>
    <w:rsid w:val="00762C74"/>
    <w:rsid w:val="00786EC0"/>
    <w:rsid w:val="007D1690"/>
    <w:rsid w:val="007E22AD"/>
    <w:rsid w:val="007E6F8A"/>
    <w:rsid w:val="00817416"/>
    <w:rsid w:val="00842779"/>
    <w:rsid w:val="00865F67"/>
    <w:rsid w:val="00875FBC"/>
    <w:rsid w:val="00881A7B"/>
    <w:rsid w:val="008840E5"/>
    <w:rsid w:val="00887B3E"/>
    <w:rsid w:val="008C2AC6"/>
    <w:rsid w:val="00930C23"/>
    <w:rsid w:val="0093193B"/>
    <w:rsid w:val="009509D8"/>
    <w:rsid w:val="00950B64"/>
    <w:rsid w:val="00981893"/>
    <w:rsid w:val="00A1687D"/>
    <w:rsid w:val="00A43E52"/>
    <w:rsid w:val="00A4678D"/>
    <w:rsid w:val="00A778C7"/>
    <w:rsid w:val="00A843D9"/>
    <w:rsid w:val="00AB441E"/>
    <w:rsid w:val="00AB6293"/>
    <w:rsid w:val="00AE0928"/>
    <w:rsid w:val="00AF3B82"/>
    <w:rsid w:val="00B12E95"/>
    <w:rsid w:val="00B22876"/>
    <w:rsid w:val="00B558F0"/>
    <w:rsid w:val="00B66BBB"/>
    <w:rsid w:val="00BD48FE"/>
    <w:rsid w:val="00BD7BD8"/>
    <w:rsid w:val="00BE6ADC"/>
    <w:rsid w:val="00C05BFE"/>
    <w:rsid w:val="00C23CD4"/>
    <w:rsid w:val="00C355AC"/>
    <w:rsid w:val="00C61C0C"/>
    <w:rsid w:val="00C941CB"/>
    <w:rsid w:val="00CC2357"/>
    <w:rsid w:val="00CF071A"/>
    <w:rsid w:val="00D058B8"/>
    <w:rsid w:val="00D56C11"/>
    <w:rsid w:val="00D834A0"/>
    <w:rsid w:val="00D872DF"/>
    <w:rsid w:val="00D91E21"/>
    <w:rsid w:val="00DA7FCD"/>
    <w:rsid w:val="00DD0314"/>
    <w:rsid w:val="00E365E1"/>
    <w:rsid w:val="00E820A4"/>
    <w:rsid w:val="00EB006A"/>
    <w:rsid w:val="00EB4772"/>
    <w:rsid w:val="00ED169E"/>
    <w:rsid w:val="00ED4235"/>
    <w:rsid w:val="00F04346"/>
    <w:rsid w:val="00F075DC"/>
    <w:rsid w:val="00F149E9"/>
    <w:rsid w:val="00F35AD1"/>
    <w:rsid w:val="00F5134D"/>
    <w:rsid w:val="00F74202"/>
    <w:rsid w:val="00F87713"/>
    <w:rsid w:val="00F963D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2AC4C7"/>
  <w15:chartTrackingRefBased/>
  <w15:docId w15:val="{4B30BC2C-91DB-40AD-973E-2F4F710F4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709E4"/>
    <w:pPr>
      <w:spacing w:before="480" w:after="240"/>
    </w:pPr>
  </w:style>
  <w:style w:type="paragraph" w:customStyle="1" w:styleId="NormalHanging12a">
    <w:name w:val="NormalHanging12a"/>
    <w:basedOn w:val="Normal"/>
    <w:rsid w:val="006709E4"/>
    <w:pPr>
      <w:spacing w:after="240"/>
      <w:ind w:left="567" w:hanging="567"/>
    </w:pPr>
  </w:style>
  <w:style w:type="character" w:styleId="CommentReference">
    <w:name w:val="annotation reference"/>
    <w:basedOn w:val="DefaultParagraphFont"/>
    <w:rsid w:val="00C355AC"/>
    <w:rPr>
      <w:sz w:val="16"/>
      <w:szCs w:val="16"/>
    </w:rPr>
  </w:style>
  <w:style w:type="paragraph" w:styleId="CommentText">
    <w:name w:val="annotation text"/>
    <w:basedOn w:val="Normal"/>
    <w:link w:val="CommentTextChar"/>
    <w:rsid w:val="00C355AC"/>
    <w:rPr>
      <w:sz w:val="20"/>
    </w:rPr>
  </w:style>
  <w:style w:type="character" w:customStyle="1" w:styleId="CommentTextChar">
    <w:name w:val="Comment Text Char"/>
    <w:basedOn w:val="DefaultParagraphFont"/>
    <w:link w:val="CommentText"/>
    <w:rsid w:val="00C355AC"/>
  </w:style>
  <w:style w:type="paragraph" w:styleId="CommentSubject">
    <w:name w:val="annotation subject"/>
    <w:basedOn w:val="CommentText"/>
    <w:next w:val="CommentText"/>
    <w:link w:val="CommentSubjectChar"/>
    <w:rsid w:val="00C355AC"/>
    <w:rPr>
      <w:b/>
      <w:bCs/>
    </w:rPr>
  </w:style>
  <w:style w:type="character" w:customStyle="1" w:styleId="CommentSubjectChar">
    <w:name w:val="Comment Subject Char"/>
    <w:basedOn w:val="CommentTextChar"/>
    <w:link w:val="CommentSubject"/>
    <w:rsid w:val="00C355AC"/>
    <w:rPr>
      <w:b/>
      <w:bCs/>
    </w:rPr>
  </w:style>
  <w:style w:type="paragraph" w:styleId="BalloonText">
    <w:name w:val="Balloon Text"/>
    <w:basedOn w:val="Normal"/>
    <w:link w:val="BalloonTextChar"/>
    <w:rsid w:val="00C355AC"/>
    <w:rPr>
      <w:rFonts w:ascii="Segoe UI" w:hAnsi="Segoe UI" w:cs="Segoe UI"/>
      <w:sz w:val="18"/>
      <w:szCs w:val="18"/>
    </w:rPr>
  </w:style>
  <w:style w:type="character" w:customStyle="1" w:styleId="BalloonTextChar">
    <w:name w:val="Balloon Text Char"/>
    <w:basedOn w:val="DefaultParagraphFont"/>
    <w:link w:val="BalloonText"/>
    <w:rsid w:val="00C355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FF27E3-6AB1-4830-AE82-A38DB8DAB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456</Words>
  <Characters>2603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VENNARD Ronan</dc:creator>
  <cp:keywords/>
  <cp:lastModifiedBy>SMITH Lyndsey</cp:lastModifiedBy>
  <cp:revision>2</cp:revision>
  <cp:lastPrinted>2004-11-19T15:42:00Z</cp:lastPrinted>
  <dcterms:created xsi:type="dcterms:W3CDTF">2024-04-22T16:00:00Z</dcterms:created>
  <dcterms:modified xsi:type="dcterms:W3CDTF">2024-04-22T16:00:00Z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B9-0200/2024</vt:lpwstr>
  </property>
  <property fmtid="{D5CDD505-2E9C-101B-9397-08002B2CF9AE}" pid="4" name="&lt;Type&gt;">
    <vt:lpwstr>RR</vt:lpwstr>
  </property>
</Properties>
</file>