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24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24CE" w:rsidRDefault="006342F7" w:rsidP="0010095E">
            <w:pPr>
              <w:pStyle w:val="EPName"/>
            </w:pPr>
            <w:r w:rsidRPr="004824CE">
              <w:t>Parlement européen</w:t>
            </w:r>
          </w:p>
          <w:p w:rsidR="00751A4A" w:rsidRPr="004824C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24C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824CE" w:rsidRDefault="00187494" w:rsidP="0010095E">
            <w:pPr>
              <w:pStyle w:val="EPLogo"/>
            </w:pPr>
            <w:r w:rsidRPr="004824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24CE" w:rsidRDefault="00D058B8" w:rsidP="004C5D52">
      <w:pPr>
        <w:pStyle w:val="LineTop"/>
      </w:pPr>
    </w:p>
    <w:p w:rsidR="00680577" w:rsidRPr="004824CE" w:rsidRDefault="006342F7" w:rsidP="00680577">
      <w:pPr>
        <w:pStyle w:val="EPBodyTA1"/>
      </w:pPr>
      <w:r w:rsidRPr="004824CE">
        <w:t>TEXTES ADOPTÉS</w:t>
      </w:r>
    </w:p>
    <w:p w:rsidR="00D058B8" w:rsidRPr="004824CE" w:rsidRDefault="00D058B8" w:rsidP="00D058B8">
      <w:pPr>
        <w:pStyle w:val="LineBottom"/>
      </w:pPr>
    </w:p>
    <w:p w:rsidR="006342F7" w:rsidRPr="004824CE" w:rsidRDefault="00400AB4" w:rsidP="006342F7">
      <w:pPr>
        <w:pStyle w:val="ATHeading1"/>
      </w:pPr>
      <w:bookmarkStart w:id="0" w:name="TANumber"/>
      <w:r>
        <w:t>P9_TA(2024)0287</w:t>
      </w:r>
      <w:bookmarkEnd w:id="0"/>
    </w:p>
    <w:p w:rsidR="006342F7" w:rsidRPr="004824CE" w:rsidRDefault="00B93296" w:rsidP="006342F7">
      <w:pPr>
        <w:pStyle w:val="ATHeading2"/>
      </w:pPr>
      <w:bookmarkStart w:id="1" w:name="title"/>
      <w:r w:rsidRPr="00B93296">
        <w:t>Non objection à un acte délégué</w:t>
      </w:r>
      <w:r w:rsidR="00DD1D70" w:rsidRPr="00B93296">
        <w:t>: accord de libre-échange entre l’Union européenne et la Nouvelle-Zélande</w:t>
      </w:r>
      <w:bookmarkEnd w:id="1"/>
    </w:p>
    <w:p w:rsidR="006342F7" w:rsidRPr="004824CE" w:rsidRDefault="006342F7" w:rsidP="006342F7">
      <w:pPr>
        <w:rPr>
          <w:i/>
          <w:vanish/>
        </w:rPr>
      </w:pPr>
      <w:r w:rsidRPr="004824CE">
        <w:rPr>
          <w:i/>
        </w:rPr>
        <w:fldChar w:fldCharType="begin"/>
      </w:r>
      <w:r w:rsidRPr="004824CE">
        <w:rPr>
          <w:i/>
        </w:rPr>
        <w:instrText xml:space="preserve"> TC"(</w:instrText>
      </w:r>
      <w:bookmarkStart w:id="2" w:name="DocNumber"/>
      <w:r w:rsidRPr="004824CE">
        <w:rPr>
          <w:i/>
        </w:rPr>
        <w:instrText>B9-0200/2024</w:instrText>
      </w:r>
      <w:bookmarkEnd w:id="2"/>
      <w:r w:rsidRPr="004824CE">
        <w:rPr>
          <w:i/>
        </w:rPr>
        <w:instrText xml:space="preserve">)"\l3 \n&gt; \* MERGEFORMAT </w:instrText>
      </w:r>
      <w:r w:rsidRPr="004824CE">
        <w:rPr>
          <w:i/>
        </w:rPr>
        <w:fldChar w:fldCharType="end"/>
      </w:r>
    </w:p>
    <w:p w:rsidR="006342F7" w:rsidRPr="004824CE" w:rsidRDefault="006342F7" w:rsidP="006342F7">
      <w:pPr>
        <w:rPr>
          <w:vanish/>
        </w:rPr>
      </w:pPr>
      <w:bookmarkStart w:id="3" w:name="PE"/>
      <w:r w:rsidRPr="004824CE">
        <w:rPr>
          <w:vanish/>
        </w:rPr>
        <w:t>PE759.963</w:t>
      </w:r>
      <w:bookmarkEnd w:id="3"/>
    </w:p>
    <w:p w:rsidR="006342F7" w:rsidRPr="004824CE" w:rsidRDefault="006342F7" w:rsidP="006342F7">
      <w:pPr>
        <w:pStyle w:val="ATHeading3"/>
      </w:pPr>
      <w:bookmarkStart w:id="4" w:name="Sujet"/>
      <w:r w:rsidRPr="004824CE">
        <w:t>Décision du Parlement européen de ne pas faire objection au règlement délégué de la Commission du 13 mars 2024 modifiant le règlement délégué (UE) 2020/760 de la Commission en ce qui concerne certaines dispositions à la suite de l’accord de libre-échange entre l’Union européenne et la Nouvelle-Zélande et la suppression des dispositions obsolètes relatives au contingent tarifaire d’exportation de lait en poudre</w:t>
      </w:r>
      <w:bookmarkEnd w:id="4"/>
      <w:r w:rsidRPr="004824CE">
        <w:t xml:space="preserve"> </w:t>
      </w:r>
      <w:bookmarkStart w:id="5" w:name="References"/>
      <w:r w:rsidRPr="004824CE">
        <w:t>(</w:t>
      </w:r>
      <w:proofErr w:type="gramStart"/>
      <w:r w:rsidRPr="004824CE">
        <w:t>C(</w:t>
      </w:r>
      <w:proofErr w:type="gramEnd"/>
      <w:r w:rsidRPr="004824CE">
        <w:t>2024)01499 – 2024/2677(DEA))</w:t>
      </w:r>
      <w:bookmarkEnd w:id="5"/>
    </w:p>
    <w:p w:rsidR="001B6607" w:rsidRPr="004824CE" w:rsidRDefault="001B6607" w:rsidP="001B6607">
      <w:pPr>
        <w:pStyle w:val="EPComma"/>
      </w:pPr>
      <w:bookmarkStart w:id="6" w:name="TextBodyBegin"/>
      <w:bookmarkEnd w:id="6"/>
      <w:r w:rsidRPr="004824CE">
        <w:rPr>
          <w:i/>
          <w:iCs/>
        </w:rPr>
        <w:t>Le Parlement européen</w:t>
      </w:r>
      <w:r w:rsidRPr="004824CE">
        <w:t>,</w:t>
      </w:r>
    </w:p>
    <w:p w:rsidR="001B6607" w:rsidRPr="004824CE" w:rsidRDefault="001B6607" w:rsidP="001B6607">
      <w:pPr>
        <w:pStyle w:val="NormalHanging12a"/>
      </w:pPr>
      <w:r w:rsidRPr="004824CE">
        <w:t>–</w:t>
      </w:r>
      <w:r w:rsidRPr="004824CE">
        <w:tab/>
        <w:t xml:space="preserve">vu le règlement délégué de la Commission </w:t>
      </w:r>
      <w:r w:rsidR="00B93296">
        <w:t>(C(2024)01499)</w:t>
      </w:r>
      <w:r w:rsidRPr="004824CE">
        <w:t>,</w:t>
      </w:r>
    </w:p>
    <w:p w:rsidR="001B6607" w:rsidRPr="004824CE" w:rsidRDefault="001B6607" w:rsidP="001B6607">
      <w:pPr>
        <w:spacing w:after="240"/>
        <w:ind w:left="567" w:hanging="567"/>
      </w:pPr>
      <w:r w:rsidRPr="004824CE">
        <w:t>–</w:t>
      </w:r>
      <w:r w:rsidRPr="004824CE">
        <w:tab/>
        <w:t>vu la lettre de la Commission du 13 mars 2024, par laquelle celle-ci lui demande de déclarer qu’il ne fera pas objection au règlement délégué,</w:t>
      </w:r>
    </w:p>
    <w:p w:rsidR="001B6607" w:rsidRPr="004824CE" w:rsidRDefault="001B6607" w:rsidP="001B6607">
      <w:pPr>
        <w:spacing w:after="240"/>
        <w:ind w:left="567" w:hanging="567"/>
      </w:pPr>
      <w:r w:rsidRPr="004824CE">
        <w:t>–</w:t>
      </w:r>
      <w:r w:rsidRPr="004824CE">
        <w:tab/>
        <w:t>vu la lettre de la commission de l’agriculture et du développement rural au président de la Conférence des présidents des commissions, en date du 19 mars 2024,</w:t>
      </w:r>
    </w:p>
    <w:p w:rsidR="001B6607" w:rsidRPr="004824CE" w:rsidRDefault="001B6607" w:rsidP="001B6607">
      <w:pPr>
        <w:spacing w:after="240"/>
        <w:ind w:left="567" w:hanging="567"/>
      </w:pPr>
      <w:r w:rsidRPr="004824CE">
        <w:t>–</w:t>
      </w:r>
      <w:r w:rsidRPr="004824CE">
        <w:tab/>
        <w:t>vu l’article 290 du traité sur le fonctionnement de l’Union européenne,</w:t>
      </w:r>
    </w:p>
    <w:p w:rsidR="001B6607" w:rsidRPr="004824CE" w:rsidRDefault="001B6607" w:rsidP="001B6607">
      <w:pPr>
        <w:spacing w:after="240"/>
        <w:ind w:left="567" w:hanging="567"/>
      </w:pPr>
      <w:r w:rsidRPr="004824CE">
        <w:t>–</w:t>
      </w:r>
      <w:r w:rsidRPr="004824CE">
        <w:tab/>
        <w:t>vu le règlement (UE) n</w:t>
      </w:r>
      <w:r w:rsidRPr="004824CE">
        <w:rPr>
          <w:vertAlign w:val="superscript"/>
        </w:rPr>
        <w:t>o</w:t>
      </w:r>
      <w:r w:rsidRPr="004824CE">
        <w:t> 1308/2013 du Parlement européen et du Conseil du 17 décembre 2013 portant organisation commune des marchés des produits agricoles et abrogeant les règlements (CEE) n</w:t>
      </w:r>
      <w:r w:rsidRPr="004824CE">
        <w:rPr>
          <w:vertAlign w:val="superscript"/>
        </w:rPr>
        <w:t>o</w:t>
      </w:r>
      <w:r w:rsidRPr="004824CE">
        <w:t> 922/72, (CEE) n</w:t>
      </w:r>
      <w:r w:rsidRPr="004824CE">
        <w:rPr>
          <w:vertAlign w:val="superscript"/>
        </w:rPr>
        <w:t>o</w:t>
      </w:r>
      <w:r w:rsidRPr="004824CE">
        <w:t> 234/79, (CE) n</w:t>
      </w:r>
      <w:r w:rsidRPr="004824CE">
        <w:rPr>
          <w:vertAlign w:val="superscript"/>
        </w:rPr>
        <w:t>o</w:t>
      </w:r>
      <w:r w:rsidRPr="004824CE">
        <w:t> 1037/2001 et (CE) n</w:t>
      </w:r>
      <w:r w:rsidRPr="004824CE">
        <w:rPr>
          <w:vertAlign w:val="superscript"/>
        </w:rPr>
        <w:t>o</w:t>
      </w:r>
      <w:r w:rsidRPr="004824CE">
        <w:t> 1234/2007 du Conseil</w:t>
      </w:r>
      <w:r w:rsidRPr="004824CE">
        <w:rPr>
          <w:rStyle w:val="FootnoteReference"/>
        </w:rPr>
        <w:footnoteReference w:id="1"/>
      </w:r>
      <w:r w:rsidRPr="004824CE">
        <w:t xml:space="preserve">, et notamment son article 186 et son article 227, paragraphe 5, </w:t>
      </w:r>
    </w:p>
    <w:p w:rsidR="001B6607" w:rsidRPr="004824CE" w:rsidRDefault="001B6607" w:rsidP="001B6607">
      <w:pPr>
        <w:spacing w:after="240"/>
        <w:ind w:left="567" w:hanging="567"/>
      </w:pPr>
      <w:r w:rsidRPr="004824CE">
        <w:t>–</w:t>
      </w:r>
      <w:r w:rsidRPr="004824CE">
        <w:tab/>
        <w:t>vu l’article 111, paragraphe 6, de son règlement intérieur,</w:t>
      </w:r>
    </w:p>
    <w:p w:rsidR="001B6607" w:rsidRDefault="001B6607" w:rsidP="001B6607">
      <w:pPr>
        <w:spacing w:after="240"/>
        <w:ind w:left="567" w:hanging="567"/>
      </w:pPr>
      <w:r w:rsidRPr="004824CE">
        <w:t>–</w:t>
      </w:r>
      <w:r w:rsidRPr="004824CE">
        <w:tab/>
        <w:t>vu la recommandation de décision de la commission de l’agriculture et du développement rural,</w:t>
      </w:r>
    </w:p>
    <w:p w:rsidR="00E34E1E" w:rsidRPr="004824CE" w:rsidRDefault="00E34E1E" w:rsidP="001B6607">
      <w:pPr>
        <w:spacing w:after="240"/>
        <w:ind w:left="567" w:hanging="567"/>
      </w:pPr>
      <w:r w:rsidRPr="00E34E1E">
        <w:t>–</w:t>
      </w:r>
      <w:r w:rsidRPr="00E34E1E">
        <w:tab/>
        <w:t>vu qu'aucune opposition n'a été exprimée dans le délai prévu à l'article 111, paragraphe 6, troisième et quatrième tirets, de son règlement</w:t>
      </w:r>
      <w:r>
        <w:t xml:space="preserve"> intérieur</w:t>
      </w:r>
      <w:r w:rsidRPr="00E34E1E">
        <w:t>, qui expirait le 1</w:t>
      </w:r>
      <w:r>
        <w:t>1 avril 2024</w:t>
      </w:r>
      <w:r w:rsidRPr="00E34E1E">
        <w:t>;</w:t>
      </w:r>
    </w:p>
    <w:p w:rsidR="001B6607" w:rsidRPr="004824CE" w:rsidRDefault="001B6607" w:rsidP="001B6607">
      <w:pPr>
        <w:spacing w:before="120" w:after="120"/>
        <w:ind w:left="567" w:hanging="567"/>
        <w:rPr>
          <w:rFonts w:eastAsia="Calibri"/>
          <w:szCs w:val="22"/>
        </w:rPr>
      </w:pPr>
      <w:r w:rsidRPr="004824CE">
        <w:t>A.</w:t>
      </w:r>
      <w:r w:rsidRPr="004824CE">
        <w:tab/>
        <w:t xml:space="preserve">considérant que les étapes procédurales de l’Union relatives à la mise en application de </w:t>
      </w:r>
      <w:r w:rsidRPr="004824CE">
        <w:lastRenderedPageBreak/>
        <w:t>l’accord de libre-échange entre l’Union européenne et la Nouvelle-Zélande («l’accord») se sont conclues avec la publication de la décision (UE) 2024/244 du Conseil</w:t>
      </w:r>
      <w:r w:rsidRPr="004824CE">
        <w:rPr>
          <w:rStyle w:val="FootnoteReference"/>
          <w:rFonts w:eastAsia="Calibri"/>
          <w:szCs w:val="22"/>
        </w:rPr>
        <w:footnoteReference w:id="2"/>
      </w:r>
      <w:r w:rsidRPr="004824CE">
        <w:t xml:space="preserve"> au </w:t>
      </w:r>
      <w:r w:rsidRPr="004824CE">
        <w:rPr>
          <w:i/>
          <w:iCs/>
        </w:rPr>
        <w:t>Journal officiel de l’Union européenne</w:t>
      </w:r>
      <w:r w:rsidR="007E1BA3">
        <w:t xml:space="preserve"> le 28 février 2024</w:t>
      </w:r>
      <w:bookmarkStart w:id="7" w:name="_GoBack"/>
      <w:bookmarkEnd w:id="7"/>
      <w:r w:rsidRPr="004824CE">
        <w:t>;</w:t>
      </w:r>
    </w:p>
    <w:p w:rsidR="001B6607" w:rsidRPr="004824CE" w:rsidRDefault="001B6607" w:rsidP="001B6607">
      <w:pPr>
        <w:ind w:left="567" w:hanging="567"/>
      </w:pPr>
      <w:r w:rsidRPr="004824CE">
        <w:t>B.</w:t>
      </w:r>
      <w:r w:rsidRPr="004824CE">
        <w:tab/>
        <w:t>considérant que, selon les dernières informations reçues, la Nouvelle-Zélande devrait adopter la législation requise pour mettre en œuvre l’accord à la fin du mois de mars 2024, ce qui permettrait l’entrée en vigueur de l’accord le 1</w:t>
      </w:r>
      <w:r w:rsidRPr="004824CE">
        <w:rPr>
          <w:vertAlign w:val="superscript"/>
        </w:rPr>
        <w:t>er</w:t>
      </w:r>
      <w:r w:rsidRPr="004824CE">
        <w:t> mai 2024;</w:t>
      </w:r>
    </w:p>
    <w:p w:rsidR="001B6607" w:rsidRPr="004824CE" w:rsidRDefault="001B6607" w:rsidP="001B6607">
      <w:pPr>
        <w:spacing w:before="120" w:after="120"/>
        <w:ind w:left="567" w:hanging="567"/>
        <w:rPr>
          <w:rFonts w:eastAsia="Calibri"/>
          <w:szCs w:val="22"/>
        </w:rPr>
      </w:pPr>
      <w:r w:rsidRPr="004824CE">
        <w:t>C.</w:t>
      </w:r>
      <w:r w:rsidRPr="004824CE">
        <w:tab/>
        <w:t>considérant que l’accord introduit plusieurs nouveaux contingents tarifaires et modifie certains contingents tarifaires spécifiques par pays existants de l’OMC pour les produits originaires de Nouvelle-Zélande, entre autres;</w:t>
      </w:r>
    </w:p>
    <w:p w:rsidR="001B6607" w:rsidRPr="004824CE" w:rsidRDefault="001B6607" w:rsidP="001B6607">
      <w:pPr>
        <w:spacing w:before="120" w:after="120"/>
        <w:ind w:left="567" w:hanging="567"/>
        <w:rPr>
          <w:rFonts w:eastAsia="Calibri"/>
          <w:szCs w:val="22"/>
        </w:rPr>
      </w:pPr>
      <w:r w:rsidRPr="004824CE">
        <w:t>D.</w:t>
      </w:r>
      <w:r w:rsidRPr="004824CE">
        <w:tab/>
        <w:t>considérant que ces modifications seront reflétées dans le règlement délégué (UE) 2020/760 de la Commission</w:t>
      </w:r>
      <w:r w:rsidRPr="004824CE">
        <w:rPr>
          <w:rStyle w:val="FootnoteReference"/>
          <w:rFonts w:eastAsia="Calibri"/>
          <w:szCs w:val="22"/>
        </w:rPr>
        <w:footnoteReference w:id="3"/>
      </w:r>
      <w:r w:rsidRPr="004824CE">
        <w:t xml:space="preserve"> complétant le règlement (UE) nº 1308/2013 en ce qui concerne les règles pour la gestion des contingents tarifaires d’importation et d’exportation pour les produits agricoles soumis à des certificats;</w:t>
      </w:r>
    </w:p>
    <w:p w:rsidR="001B6607" w:rsidRPr="004824CE" w:rsidRDefault="001B6607" w:rsidP="001B6607">
      <w:pPr>
        <w:spacing w:before="120" w:after="120"/>
        <w:ind w:left="567" w:hanging="567"/>
        <w:rPr>
          <w:rFonts w:eastAsia="Calibri"/>
          <w:szCs w:val="22"/>
        </w:rPr>
      </w:pPr>
      <w:r w:rsidRPr="004824CE">
        <w:t>E.</w:t>
      </w:r>
      <w:r w:rsidRPr="004824CE">
        <w:tab/>
        <w:t>considérant que le règlement délégué (UE) 2020/760 devrait par conséquent être modifié d’ici l’entrée en vigueur de l’accord;</w:t>
      </w:r>
    </w:p>
    <w:p w:rsidR="001B6607" w:rsidRPr="004824CE" w:rsidRDefault="001B6607" w:rsidP="001B6607">
      <w:pPr>
        <w:spacing w:after="240"/>
        <w:ind w:left="567" w:hanging="567"/>
      </w:pPr>
      <w:r w:rsidRPr="004824CE">
        <w:t>1.</w:t>
      </w:r>
      <w:r w:rsidRPr="004824CE">
        <w:tab/>
        <w:t>déclare ne pas faire objection au règlement délégué;</w:t>
      </w:r>
    </w:p>
    <w:p w:rsidR="001B6607" w:rsidRPr="004824CE" w:rsidRDefault="001B6607" w:rsidP="001B6607">
      <w:pPr>
        <w:tabs>
          <w:tab w:val="left" w:pos="567"/>
        </w:tabs>
      </w:pPr>
      <w:r w:rsidRPr="004824CE">
        <w:t>2.</w:t>
      </w:r>
      <w:r w:rsidRPr="004824CE">
        <w:tab/>
        <w:t xml:space="preserve">charge sa Présidente de transmettre la présente décision </w:t>
      </w:r>
      <w:r w:rsidR="004824CE" w:rsidRPr="004824CE">
        <w:t>au Conseil et à la Commission.</w:t>
      </w:r>
    </w:p>
    <w:sectPr w:rsidR="001B6607" w:rsidRPr="004824CE" w:rsidSect="004824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2F7" w:rsidRPr="004824CE" w:rsidRDefault="006342F7">
      <w:r w:rsidRPr="004824CE">
        <w:separator/>
      </w:r>
    </w:p>
  </w:endnote>
  <w:endnote w:type="continuationSeparator" w:id="0">
    <w:p w:rsidR="006342F7" w:rsidRPr="004824CE" w:rsidRDefault="006342F7">
      <w:r w:rsidRPr="004824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24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24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24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2F7" w:rsidRPr="004824CE" w:rsidRDefault="006342F7">
      <w:r w:rsidRPr="004824CE">
        <w:separator/>
      </w:r>
    </w:p>
  </w:footnote>
  <w:footnote w:type="continuationSeparator" w:id="0">
    <w:p w:rsidR="006342F7" w:rsidRPr="004824CE" w:rsidRDefault="006342F7">
      <w:r w:rsidRPr="004824CE">
        <w:continuationSeparator/>
      </w:r>
    </w:p>
  </w:footnote>
  <w:footnote w:id="1">
    <w:p w:rsidR="001B6607" w:rsidRPr="004824CE" w:rsidRDefault="001B6607" w:rsidP="004824CE">
      <w:pPr>
        <w:pStyle w:val="FootnoteText"/>
        <w:ind w:left="567" w:hanging="567"/>
        <w:rPr>
          <w:sz w:val="24"/>
        </w:rPr>
      </w:pPr>
      <w:r w:rsidRPr="004824CE">
        <w:rPr>
          <w:rStyle w:val="FootnoteReference"/>
          <w:sz w:val="24"/>
        </w:rPr>
        <w:footnoteRef/>
      </w:r>
      <w:r w:rsidR="004824CE" w:rsidRPr="004824CE">
        <w:rPr>
          <w:sz w:val="24"/>
        </w:rPr>
        <w:t xml:space="preserve"> </w:t>
      </w:r>
      <w:r w:rsidR="004824CE" w:rsidRPr="004824CE">
        <w:rPr>
          <w:sz w:val="24"/>
        </w:rPr>
        <w:tab/>
      </w:r>
      <w:r w:rsidRPr="004824CE">
        <w:rPr>
          <w:sz w:val="24"/>
        </w:rPr>
        <w:t>JO L 347 du 20.12.2013, p. 671.</w:t>
      </w:r>
    </w:p>
  </w:footnote>
  <w:footnote w:id="2">
    <w:p w:rsidR="001B6607" w:rsidRPr="004824CE" w:rsidRDefault="001B6607" w:rsidP="004824CE">
      <w:pPr>
        <w:pStyle w:val="FootnoteText"/>
        <w:ind w:left="567" w:hanging="567"/>
        <w:rPr>
          <w:sz w:val="24"/>
        </w:rPr>
      </w:pPr>
      <w:r w:rsidRPr="004824CE">
        <w:rPr>
          <w:rStyle w:val="FootnoteReference"/>
          <w:sz w:val="24"/>
        </w:rPr>
        <w:footnoteRef/>
      </w:r>
      <w:r w:rsidR="004824CE" w:rsidRPr="004824CE">
        <w:rPr>
          <w:sz w:val="24"/>
        </w:rPr>
        <w:t xml:space="preserve"> </w:t>
      </w:r>
      <w:r w:rsidR="004824CE" w:rsidRPr="004824CE">
        <w:rPr>
          <w:sz w:val="24"/>
        </w:rPr>
        <w:tab/>
      </w:r>
      <w:r w:rsidRPr="004824CE">
        <w:rPr>
          <w:sz w:val="24"/>
        </w:rPr>
        <w:t>Décision (UE) 2024/244 du Conseil du 27 novembre 2023 relative à la conclusion, au nom de l’Union, de l’accord de libre-échange entre l’Union européenne et la Nouvelle-Zélande (JO L 244 du 28.2.2024, p. 1).</w:t>
      </w:r>
    </w:p>
  </w:footnote>
  <w:footnote w:id="3">
    <w:p w:rsidR="001B6607" w:rsidRPr="004824CE" w:rsidRDefault="001B6607" w:rsidP="004824CE">
      <w:pPr>
        <w:pStyle w:val="FootnoteText"/>
        <w:ind w:left="567" w:hanging="567"/>
        <w:rPr>
          <w:sz w:val="24"/>
        </w:rPr>
      </w:pPr>
      <w:r w:rsidRPr="004824CE">
        <w:rPr>
          <w:rStyle w:val="FootnoteReference"/>
          <w:sz w:val="24"/>
        </w:rPr>
        <w:footnoteRef/>
      </w:r>
      <w:r w:rsidR="004824CE" w:rsidRPr="004824CE">
        <w:rPr>
          <w:sz w:val="24"/>
        </w:rPr>
        <w:t xml:space="preserve"> </w:t>
      </w:r>
      <w:r w:rsidR="004824CE" w:rsidRPr="004824CE">
        <w:rPr>
          <w:sz w:val="24"/>
        </w:rPr>
        <w:tab/>
      </w:r>
      <w:r w:rsidRPr="004824CE">
        <w:rPr>
          <w:sz w:val="24"/>
        </w:rPr>
        <w:t>Règlement délégué (UE) 2020/760 de la Commission du 17 décembre 2019 complétant le règlement (UE) n</w:t>
      </w:r>
      <w:r w:rsidRPr="004824CE">
        <w:rPr>
          <w:sz w:val="24"/>
          <w:vertAlign w:val="superscript"/>
        </w:rPr>
        <w:t>o</w:t>
      </w:r>
      <w:r w:rsidRPr="004824CE">
        <w:rPr>
          <w:sz w:val="24"/>
        </w:rPr>
        <w:t> 1308/2013 du Parlement européen et du Conseil en ce qui concerne les règles pour la gestion des contingents tarifaires d’importation et d’exportation soumis à des certificats et complétant le règlement (UE) n</w:t>
      </w:r>
      <w:r w:rsidRPr="004824CE">
        <w:rPr>
          <w:sz w:val="24"/>
          <w:vertAlign w:val="superscript"/>
        </w:rPr>
        <w:t>o</w:t>
      </w:r>
      <w:r w:rsidRPr="004824CE">
        <w:rPr>
          <w:sz w:val="24"/>
        </w:rPr>
        <w:t> 1306/2013 du Parlement européen et du Conseil en ce qui concerne la constitution de garanties dans le cadre de la gestion des contingents tarifaires (JO L 185 du 12.6.2020, p.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24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24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24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FR"/>
    <w:docVar w:name="dvnumam" w:val="0"/>
    <w:docVar w:name="dvpe" w:val="759.963"/>
    <w:docVar w:name="dvtitre" w:val="Décision du Parlement européen du ... 2024 de ne pas faire objection au règlement délégué de la Commission du 13 mars 2024 modifiant le règlement délégué (UE) 2020/760 de la Commission en ce qui concerne certaines dispositions à la suite de l’accord de libre-échange entre l’Union européenne et la Nouvelle-Zélande et la suppression des dispositions obsolètes relatives au contingent tarifaire d’exportation de lait en poudre(C(2024)01499 – 2024/2677(DEA))"/>
  </w:docVars>
  <w:rsids>
    <w:rsidRoot w:val="006342F7"/>
    <w:rsid w:val="00002272"/>
    <w:rsid w:val="00052BC8"/>
    <w:rsid w:val="00064002"/>
    <w:rsid w:val="000677B9"/>
    <w:rsid w:val="000831BA"/>
    <w:rsid w:val="000A42CC"/>
    <w:rsid w:val="000E7DD9"/>
    <w:rsid w:val="0010095E"/>
    <w:rsid w:val="00125B37"/>
    <w:rsid w:val="00187494"/>
    <w:rsid w:val="001B6607"/>
    <w:rsid w:val="001F32AE"/>
    <w:rsid w:val="002767FF"/>
    <w:rsid w:val="002B18FE"/>
    <w:rsid w:val="002B5493"/>
    <w:rsid w:val="00343214"/>
    <w:rsid w:val="00361C00"/>
    <w:rsid w:val="00395FA1"/>
    <w:rsid w:val="003E15D4"/>
    <w:rsid w:val="00400AB4"/>
    <w:rsid w:val="00411CCE"/>
    <w:rsid w:val="0041666E"/>
    <w:rsid w:val="00421060"/>
    <w:rsid w:val="00471C19"/>
    <w:rsid w:val="004824C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42F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BA3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29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D70"/>
    <w:rsid w:val="00E34E1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4853F"/>
  <w15:chartTrackingRefBased/>
  <w15:docId w15:val="{7EA65213-C30E-4472-9960-C05B6FFE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B6607"/>
    <w:pPr>
      <w:spacing w:before="480" w:after="240"/>
    </w:pPr>
  </w:style>
  <w:style w:type="paragraph" w:customStyle="1" w:styleId="NormalHanging12a">
    <w:name w:val="NormalHanging12a"/>
    <w:basedOn w:val="Normal"/>
    <w:rsid w:val="001B660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C0AB8-4048-4E01-9D47-72A18FE2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GEFFROY Nadine</cp:lastModifiedBy>
  <cp:revision>2</cp:revision>
  <cp:lastPrinted>2004-11-19T15:42:00Z</cp:lastPrinted>
  <dcterms:created xsi:type="dcterms:W3CDTF">2024-06-12T12:34:00Z</dcterms:created>
  <dcterms:modified xsi:type="dcterms:W3CDTF">2024-06-12T12:34:00Z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