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589B" w:rsidTr="0010095E">
        <w:trPr>
          <w:trHeight w:hRule="exact" w:val="1418"/>
        </w:trPr>
        <w:tc>
          <w:tcPr>
            <w:tcW w:w="6804" w:type="dxa"/>
            <w:shd w:val="clear" w:color="auto" w:fill="auto"/>
            <w:vAlign w:val="center"/>
          </w:tcPr>
          <w:p w:rsidR="00751A4A" w:rsidRPr="0009589B" w:rsidRDefault="0059368D" w:rsidP="0010095E">
            <w:pPr>
              <w:pStyle w:val="EPName"/>
            </w:pPr>
            <w:r w:rsidRPr="0009589B">
              <w:t>Eiropas Parlaments</w:t>
            </w:r>
          </w:p>
          <w:p w:rsidR="00751A4A" w:rsidRPr="0009589B" w:rsidRDefault="00817416" w:rsidP="00756632">
            <w:pPr>
              <w:pStyle w:val="EPTerm"/>
              <w:rPr>
                <w:rStyle w:val="HideTWBExt"/>
                <w:noProof w:val="0"/>
                <w:vanish w:val="0"/>
                <w:color w:val="auto"/>
              </w:rPr>
            </w:pPr>
            <w:r w:rsidRPr="0009589B">
              <w:t>2019-2024</w:t>
            </w:r>
          </w:p>
        </w:tc>
        <w:tc>
          <w:tcPr>
            <w:tcW w:w="2268" w:type="dxa"/>
            <w:shd w:val="clear" w:color="auto" w:fill="auto"/>
          </w:tcPr>
          <w:p w:rsidR="00751A4A" w:rsidRPr="0009589B" w:rsidRDefault="00187494" w:rsidP="0010095E">
            <w:pPr>
              <w:pStyle w:val="EPLogo"/>
            </w:pPr>
            <w:r w:rsidRPr="0009589B">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589B" w:rsidRDefault="00D058B8" w:rsidP="004C5D52">
      <w:pPr>
        <w:pStyle w:val="LineTop"/>
      </w:pPr>
    </w:p>
    <w:p w:rsidR="00680577" w:rsidRPr="0009589B" w:rsidRDefault="0059368D" w:rsidP="00680577">
      <w:pPr>
        <w:pStyle w:val="EPBodyTA1"/>
      </w:pPr>
      <w:r w:rsidRPr="0009589B">
        <w:t>PIEŅEMTIE TEKSTI</w:t>
      </w:r>
    </w:p>
    <w:p w:rsidR="00D058B8" w:rsidRPr="0009589B" w:rsidRDefault="00D058B8" w:rsidP="00D058B8">
      <w:pPr>
        <w:pStyle w:val="LineBottom"/>
      </w:pPr>
    </w:p>
    <w:p w:rsidR="0059368D" w:rsidRPr="0009589B" w:rsidRDefault="0059368D" w:rsidP="0059368D">
      <w:pPr>
        <w:pStyle w:val="ATHeading1"/>
      </w:pPr>
      <w:bookmarkStart w:id="0" w:name="TANumber"/>
      <w:r w:rsidRPr="0009589B">
        <w:t>P9_TA(2024)</w:t>
      </w:r>
      <w:bookmarkEnd w:id="0"/>
      <w:r w:rsidR="0009589B" w:rsidRPr="0009589B">
        <w:t>0287</w:t>
      </w:r>
    </w:p>
    <w:p w:rsidR="0059368D" w:rsidRPr="0009589B" w:rsidRDefault="00E07835" w:rsidP="0059368D">
      <w:pPr>
        <w:pStyle w:val="ATHeading2"/>
      </w:pPr>
      <w:bookmarkStart w:id="1" w:name="title"/>
      <w:r w:rsidRPr="0009589B">
        <w:t xml:space="preserve">Iebildumu neizteikšana pret deleģēto aktu: Eiropas Savienības un Jaunzēlandes Brīvās tirdzniecības nolīgums </w:t>
      </w:r>
      <w:bookmarkEnd w:id="1"/>
    </w:p>
    <w:p w:rsidR="0059368D" w:rsidRPr="0009589B" w:rsidRDefault="0059368D" w:rsidP="0059368D">
      <w:pPr>
        <w:rPr>
          <w:i/>
          <w:vanish/>
        </w:rPr>
      </w:pPr>
      <w:r w:rsidRPr="0009589B">
        <w:rPr>
          <w:i/>
        </w:rPr>
        <w:fldChar w:fldCharType="begin"/>
      </w:r>
      <w:r w:rsidRPr="0009589B">
        <w:rPr>
          <w:i/>
        </w:rPr>
        <w:instrText xml:space="preserve"> TC"(</w:instrText>
      </w:r>
      <w:bookmarkStart w:id="2" w:name="DocNumber"/>
      <w:r w:rsidRPr="0009589B">
        <w:rPr>
          <w:i/>
        </w:rPr>
        <w:instrText>B9-0200/2024</w:instrText>
      </w:r>
      <w:bookmarkEnd w:id="2"/>
      <w:r w:rsidRPr="0009589B">
        <w:rPr>
          <w:i/>
        </w:rPr>
        <w:instrText xml:space="preserve">)"\l3 \n&gt; \* MERGEFORMAT </w:instrText>
      </w:r>
      <w:r w:rsidRPr="0009589B">
        <w:rPr>
          <w:i/>
        </w:rPr>
        <w:fldChar w:fldCharType="end"/>
      </w:r>
    </w:p>
    <w:p w:rsidR="0059368D" w:rsidRPr="0009589B" w:rsidRDefault="0059368D" w:rsidP="0059368D">
      <w:pPr>
        <w:rPr>
          <w:vanish/>
        </w:rPr>
      </w:pPr>
      <w:bookmarkStart w:id="3" w:name="PE"/>
      <w:r w:rsidRPr="0009589B">
        <w:rPr>
          <w:vanish/>
        </w:rPr>
        <w:t>PE759.963</w:t>
      </w:r>
      <w:bookmarkEnd w:id="3"/>
    </w:p>
    <w:p w:rsidR="0059368D" w:rsidRPr="0009589B" w:rsidRDefault="0059368D" w:rsidP="0059368D">
      <w:pPr>
        <w:pStyle w:val="ATHeading3"/>
      </w:pPr>
      <w:bookmarkStart w:id="4" w:name="Sujet"/>
      <w:r w:rsidRPr="0009589B">
        <w:t xml:space="preserve">Eiropas Parlamenta </w:t>
      </w:r>
      <w:r w:rsidR="00E07835" w:rsidRPr="0009589B">
        <w:t>lēmums</w:t>
      </w:r>
      <w:r w:rsidRPr="0009589B">
        <w:t xml:space="preserve"> Padomei par iebildumu neizteikšanu pret Komisijas 2024. gada 13. marta deleģēto regulu, ar ko attiecībā uz dažiem noteikumiem, kuri izriet no Brīvās tirdzniecības nolīguma starp Eiropas Savienību un Jaunzēlandi, un tādu novecojušu noteikumu svītrošanu, kuri attiecas uz eksporta tarifa kvotu piena pulverim, groza Komisijas Deleģēto regulu (ES) 2020/760</w:t>
      </w:r>
      <w:bookmarkEnd w:id="4"/>
      <w:r w:rsidRPr="0009589B">
        <w:t xml:space="preserve"> </w:t>
      </w:r>
      <w:bookmarkStart w:id="5" w:name="References"/>
      <w:r w:rsidRPr="0009589B">
        <w:t>(C(2024)01499 – 2024/2677(DEA))</w:t>
      </w:r>
      <w:bookmarkEnd w:id="5"/>
    </w:p>
    <w:p w:rsidR="00FD09E7" w:rsidRPr="0009589B" w:rsidRDefault="00FD09E7" w:rsidP="00FD09E7">
      <w:pPr>
        <w:pStyle w:val="EPComma"/>
      </w:pPr>
      <w:bookmarkStart w:id="6" w:name="TextBodyBegin"/>
      <w:bookmarkEnd w:id="6"/>
      <w:r w:rsidRPr="0009589B">
        <w:rPr>
          <w:i/>
          <w:iCs/>
        </w:rPr>
        <w:t>Eiropas Parlaments</w:t>
      </w:r>
      <w:r w:rsidRPr="0009589B">
        <w:t>,</w:t>
      </w:r>
    </w:p>
    <w:p w:rsidR="00FD09E7" w:rsidRPr="0009589B" w:rsidRDefault="00FD09E7" w:rsidP="00FD09E7">
      <w:pPr>
        <w:pStyle w:val="NormalHanging12a"/>
      </w:pPr>
      <w:r w:rsidRPr="0009589B">
        <w:t>–</w:t>
      </w:r>
      <w:r w:rsidRPr="0009589B">
        <w:tab/>
        <w:t>ņemot vērā Komisijas deleģēto regulu (C(2024)01499),</w:t>
      </w:r>
    </w:p>
    <w:p w:rsidR="00FD09E7" w:rsidRPr="0009589B" w:rsidRDefault="00FD09E7" w:rsidP="00FD09E7">
      <w:pPr>
        <w:spacing w:after="240"/>
        <w:ind w:left="567" w:hanging="567"/>
      </w:pPr>
      <w:r w:rsidRPr="0009589B">
        <w:t>–</w:t>
      </w:r>
      <w:r w:rsidRPr="0009589B">
        <w:tab/>
        <w:t>ņemot vērā Komisijas 2024. gada 13. marta vēstuli, kurā tā lūdz paziņot, ka Parlaments neizteiks iebildumus pret deleģēto regulu,</w:t>
      </w:r>
    </w:p>
    <w:p w:rsidR="00FD09E7" w:rsidRPr="0009589B" w:rsidRDefault="00FD09E7" w:rsidP="00FD09E7">
      <w:pPr>
        <w:spacing w:after="240"/>
        <w:ind w:left="567" w:hanging="567"/>
      </w:pPr>
      <w:r w:rsidRPr="0009589B">
        <w:t>–</w:t>
      </w:r>
      <w:r w:rsidRPr="0009589B">
        <w:tab/>
        <w:t>ņemot vērā Lauksaimniecības un lauku attīstības komitejas 2024. gada 19. marta vēstuli Komiteju priekšsēdētāju konferences priekšsēdētājam,</w:t>
      </w:r>
    </w:p>
    <w:p w:rsidR="00FD09E7" w:rsidRPr="0009589B" w:rsidRDefault="00FD09E7" w:rsidP="00FD09E7">
      <w:pPr>
        <w:spacing w:after="240"/>
        <w:ind w:left="567" w:hanging="567"/>
      </w:pPr>
      <w:r w:rsidRPr="0009589B">
        <w:t>–</w:t>
      </w:r>
      <w:r w:rsidRPr="0009589B">
        <w:tab/>
        <w:t>ņemot vērā Līguma par Eiropas Savienības darbību 290. pantu,</w:t>
      </w:r>
    </w:p>
    <w:p w:rsidR="00FD09E7" w:rsidRPr="0009589B" w:rsidRDefault="00FD09E7" w:rsidP="00FD09E7">
      <w:pPr>
        <w:spacing w:after="240"/>
        <w:ind w:left="567" w:hanging="567"/>
      </w:pPr>
      <w:r w:rsidRPr="0009589B">
        <w:t>–</w:t>
      </w:r>
      <w:r w:rsidRPr="0009589B">
        <w:tab/>
        <w:t>ņemot vērā Eiropas Parlamenta un Padomes Regulu (ES) Nr. 1308/2013 (2013. gada 17. decembris), ar ko izveido lauksaimniecības produktu tirgu kopīgu organizāciju un atceļ Padomes Regulas (EEK) Nr. 922/72, (EEK) Nr. 234/79, (EK) Nr. 1037/2001 un (EK) Nr. 1234/2007</w:t>
      </w:r>
      <w:r w:rsidRPr="0009589B">
        <w:rPr>
          <w:rStyle w:val="FootnoteReference"/>
        </w:rPr>
        <w:footnoteReference w:id="1"/>
      </w:r>
      <w:r w:rsidRPr="0009589B">
        <w:t xml:space="preserve">, un jo īpaši tās 186. pantu un 227. panta 5. punktu, </w:t>
      </w:r>
    </w:p>
    <w:p w:rsidR="00FD09E7" w:rsidRPr="0009589B" w:rsidRDefault="00FD09E7" w:rsidP="00FD09E7">
      <w:pPr>
        <w:spacing w:after="240"/>
        <w:ind w:left="567" w:hanging="567"/>
      </w:pPr>
      <w:r w:rsidRPr="0009589B">
        <w:t>–</w:t>
      </w:r>
      <w:r w:rsidRPr="0009589B">
        <w:tab/>
        <w:t>ņemot vērā Reglamenta 111. panta 6. punktu,</w:t>
      </w:r>
    </w:p>
    <w:p w:rsidR="00FD09E7" w:rsidRPr="0009589B" w:rsidRDefault="00FD09E7" w:rsidP="00FD09E7">
      <w:pPr>
        <w:spacing w:after="240"/>
        <w:ind w:left="567" w:hanging="567"/>
      </w:pPr>
      <w:r w:rsidRPr="0009589B">
        <w:t>–</w:t>
      </w:r>
      <w:r w:rsidRPr="0009589B">
        <w:tab/>
        <w:t>ņemot vērā Lauksaimniecības un lauku attīstības komitejas ieteikumu lēmumam,</w:t>
      </w:r>
    </w:p>
    <w:p w:rsidR="00E07835" w:rsidRPr="0009589B" w:rsidRDefault="00E07835" w:rsidP="00FD09E7">
      <w:pPr>
        <w:spacing w:after="240"/>
        <w:ind w:left="567" w:hanging="567"/>
      </w:pPr>
      <w:r w:rsidRPr="0009589B">
        <w:t>–</w:t>
      </w:r>
      <w:r w:rsidRPr="0009589B">
        <w:tab/>
      </w:r>
      <w:r w:rsidR="000C4B1D" w:rsidRPr="0009589B">
        <w:t>ņemot vērā to, ka netika izteikti iebildumi Reglamenta 111. panta 6. punkta trešajā un ceturtajā ievilkumā noteiktajā termiņā, kurš beidzās 2024. gada 11. aprīlī</w:t>
      </w:r>
      <w:r w:rsidRPr="0009589B">
        <w:t>,</w:t>
      </w:r>
    </w:p>
    <w:p w:rsidR="00FD09E7" w:rsidRPr="0009589B" w:rsidRDefault="00FD09E7" w:rsidP="00FD09E7">
      <w:pPr>
        <w:spacing w:before="120" w:after="120"/>
        <w:ind w:left="567" w:hanging="567"/>
        <w:rPr>
          <w:rFonts w:eastAsia="Calibri"/>
          <w:szCs w:val="22"/>
        </w:rPr>
      </w:pPr>
      <w:r w:rsidRPr="0009589B">
        <w:t>A.</w:t>
      </w:r>
      <w:r w:rsidRPr="0009589B">
        <w:tab/>
        <w:t xml:space="preserve">tā kā Savienības procesuālie pasākumi Brīvās tirdzniecības nolīguma starp Eiropas Savienību un Jaunzēlandi (“nolīgums”) īstenošanai ir pabeigti un 2024. gada 28. februārī Eiropas Savienības Oficiālajā Vēstnesī ir publicēts Padomes Lēmums (ES) </w:t>
      </w:r>
      <w:r w:rsidRPr="0009589B">
        <w:lastRenderedPageBreak/>
        <w:t>2024/244</w:t>
      </w:r>
      <w:r w:rsidRPr="0009589B">
        <w:rPr>
          <w:rStyle w:val="FootnoteReference"/>
          <w:rFonts w:eastAsia="Calibri"/>
          <w:szCs w:val="22"/>
        </w:rPr>
        <w:footnoteReference w:id="2"/>
      </w:r>
      <w:r w:rsidRPr="0009589B">
        <w:t>;</w:t>
      </w:r>
    </w:p>
    <w:p w:rsidR="00FD09E7" w:rsidRPr="0009589B" w:rsidRDefault="00FD09E7" w:rsidP="00FD09E7">
      <w:pPr>
        <w:ind w:left="567" w:hanging="567"/>
      </w:pPr>
      <w:r w:rsidRPr="0009589B">
        <w:t>B.</w:t>
      </w:r>
      <w:r w:rsidRPr="0009589B">
        <w:tab/>
        <w:t>tā kā saskaņā ar jaunāko saņemto informāciju Jaunzēlandes puses tiesību akti, kas vajadzīgi šā nolīguma īstenošanai, visticamāk, tiks pieņemti līdz 2024. gada marta beigām, kā rezultātā šis nolīgumam varētu stāties spēkā 2024. gada 1. maijā;</w:t>
      </w:r>
    </w:p>
    <w:p w:rsidR="00FD09E7" w:rsidRPr="0009589B" w:rsidRDefault="00FD09E7" w:rsidP="00FD09E7">
      <w:pPr>
        <w:spacing w:before="120" w:after="120"/>
        <w:ind w:left="567" w:hanging="567"/>
        <w:rPr>
          <w:rFonts w:eastAsia="Calibri"/>
          <w:szCs w:val="22"/>
        </w:rPr>
      </w:pPr>
      <w:r w:rsidRPr="0009589B">
        <w:t>C.</w:t>
      </w:r>
      <w:r w:rsidRPr="0009589B">
        <w:tab/>
        <w:t>tā kā šis nolīgums ievieš vairākas jaunas tarifa kvotas un cita starpā groza dažas spēkā esošās PTO valstij noteiktās tarifa kvotas, kuras attiecas uz Jaunzēlandes izcelsmes produktiem;</w:t>
      </w:r>
    </w:p>
    <w:p w:rsidR="00FD09E7" w:rsidRPr="0009589B" w:rsidRDefault="00FD09E7" w:rsidP="00FD09E7">
      <w:pPr>
        <w:spacing w:before="120" w:after="120"/>
        <w:ind w:left="567" w:hanging="567"/>
        <w:rPr>
          <w:rFonts w:eastAsia="Calibri"/>
          <w:szCs w:val="22"/>
        </w:rPr>
      </w:pPr>
      <w:r w:rsidRPr="0009589B">
        <w:t>D.</w:t>
      </w:r>
      <w:r w:rsidRPr="0009589B">
        <w:tab/>
        <w:t>tā kā šīs izmaiņas tiks atspoguļotas Komisijas Deleģētajā regulā (ES) 2020/760</w:t>
      </w:r>
      <w:r w:rsidRPr="0009589B">
        <w:rPr>
          <w:rStyle w:val="FootnoteReference"/>
          <w:rFonts w:eastAsia="Calibri"/>
          <w:szCs w:val="22"/>
        </w:rPr>
        <w:footnoteReference w:id="3"/>
      </w:r>
      <w:r w:rsidRPr="0009589B">
        <w:t>, kas papildina Regulu (ES) Nr. 1308/2013 attiecībā uz noteikumiem par to, kā pārvaldāmas lauksaimniecības produktu importa un eksporta tarifa kvotas, uz kurām attiecas licences;</w:t>
      </w:r>
    </w:p>
    <w:p w:rsidR="00FD09E7" w:rsidRPr="0009589B" w:rsidRDefault="00FD09E7" w:rsidP="00FD09E7">
      <w:pPr>
        <w:spacing w:before="120" w:after="120"/>
        <w:ind w:left="567" w:hanging="567"/>
        <w:rPr>
          <w:rFonts w:eastAsia="Calibri"/>
          <w:szCs w:val="22"/>
        </w:rPr>
      </w:pPr>
      <w:r w:rsidRPr="0009589B">
        <w:t>E.</w:t>
      </w:r>
      <w:r w:rsidRPr="0009589B">
        <w:tab/>
        <w:t>tā kā tādēļ Deleģētā regula (ES) 2020/760 būtu jāgroza līdz šā nolīguma spēkā stāšanās dienai;</w:t>
      </w:r>
    </w:p>
    <w:p w:rsidR="00FD09E7" w:rsidRPr="0009589B" w:rsidRDefault="00FD09E7" w:rsidP="00FD09E7">
      <w:pPr>
        <w:spacing w:after="240"/>
        <w:ind w:left="567" w:hanging="567"/>
      </w:pPr>
      <w:r w:rsidRPr="0009589B">
        <w:t>1.</w:t>
      </w:r>
      <w:r w:rsidRPr="0009589B">
        <w:tab/>
        <w:t>paziņo, ka tas neizsaka iebildumus pret deleģēto regulu;</w:t>
      </w:r>
    </w:p>
    <w:p w:rsidR="00FD09E7" w:rsidRPr="0009589B" w:rsidRDefault="00FD09E7" w:rsidP="0009589B">
      <w:pPr>
        <w:spacing w:after="240"/>
        <w:ind w:left="567" w:hanging="567"/>
      </w:pPr>
      <w:r w:rsidRPr="0009589B">
        <w:t>2.</w:t>
      </w:r>
      <w:r w:rsidRPr="0009589B">
        <w:tab/>
        <w:t>uzdod priekšsēdētājai šo lēmumu nosūtīt Padomei un Komisijai.</w:t>
      </w:r>
    </w:p>
    <w:p w:rsidR="00E365E1" w:rsidRPr="0009589B" w:rsidRDefault="00E365E1" w:rsidP="0063082B">
      <w:bookmarkStart w:id="8" w:name="TextBodyEnd"/>
      <w:bookmarkEnd w:id="8"/>
    </w:p>
    <w:sectPr w:rsidR="00E365E1" w:rsidRPr="0009589B" w:rsidSect="00DE3B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68D" w:rsidRPr="00DE3B49" w:rsidRDefault="0059368D">
      <w:r w:rsidRPr="00DE3B49">
        <w:separator/>
      </w:r>
    </w:p>
  </w:endnote>
  <w:endnote w:type="continuationSeparator" w:id="0">
    <w:p w:rsidR="0059368D" w:rsidRPr="00DE3B49" w:rsidRDefault="0059368D">
      <w:r w:rsidRPr="00DE3B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B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B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B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68D" w:rsidRPr="00DE3B49" w:rsidRDefault="0059368D">
      <w:r w:rsidRPr="00DE3B49">
        <w:separator/>
      </w:r>
    </w:p>
  </w:footnote>
  <w:footnote w:type="continuationSeparator" w:id="0">
    <w:p w:rsidR="0059368D" w:rsidRPr="00DE3B49" w:rsidRDefault="0059368D">
      <w:r w:rsidRPr="00DE3B49">
        <w:continuationSeparator/>
      </w:r>
    </w:p>
  </w:footnote>
  <w:footnote w:id="1">
    <w:p w:rsidR="00FD09E7" w:rsidRPr="00DE3B49" w:rsidRDefault="00FD09E7" w:rsidP="00DE3B49">
      <w:pPr>
        <w:pStyle w:val="FootnoteText"/>
        <w:ind w:left="567" w:hanging="567"/>
        <w:rPr>
          <w:sz w:val="24"/>
          <w:lang w:val="lv-LV"/>
        </w:rPr>
      </w:pPr>
      <w:r w:rsidRPr="00DE3B49">
        <w:rPr>
          <w:rStyle w:val="FootnoteReference"/>
          <w:sz w:val="24"/>
          <w:lang w:val="lv-LV"/>
        </w:rPr>
        <w:footnoteRef/>
      </w:r>
      <w:r w:rsidR="00DE3B49" w:rsidRPr="00DE3B49">
        <w:rPr>
          <w:sz w:val="24"/>
          <w:lang w:val="lv-LV"/>
        </w:rPr>
        <w:t xml:space="preserve"> </w:t>
      </w:r>
      <w:r w:rsidR="00DE3B49" w:rsidRPr="00DE3B49">
        <w:rPr>
          <w:sz w:val="24"/>
          <w:lang w:val="lv-LV"/>
        </w:rPr>
        <w:tab/>
      </w:r>
      <w:r w:rsidRPr="00DE3B49">
        <w:rPr>
          <w:sz w:val="24"/>
          <w:lang w:val="lv-LV"/>
        </w:rPr>
        <w:t>OV L 347, 20.12.2013., 671. lpp.</w:t>
      </w:r>
    </w:p>
  </w:footnote>
  <w:footnote w:id="2">
    <w:p w:rsidR="00FD09E7" w:rsidRPr="00DE3B49" w:rsidRDefault="00FD09E7" w:rsidP="00DE3B49">
      <w:pPr>
        <w:pStyle w:val="FootnoteText"/>
        <w:ind w:left="567" w:hanging="567"/>
        <w:rPr>
          <w:sz w:val="24"/>
          <w:vertAlign w:val="superscript"/>
          <w:lang w:val="lv-LV"/>
        </w:rPr>
      </w:pPr>
      <w:r w:rsidRPr="00DE3B49">
        <w:rPr>
          <w:rStyle w:val="FootnoteReference"/>
          <w:sz w:val="24"/>
          <w:lang w:val="lv-LV"/>
        </w:rPr>
        <w:footnoteRef/>
      </w:r>
      <w:r w:rsidR="00DE3B49" w:rsidRPr="00DE3B49">
        <w:rPr>
          <w:sz w:val="24"/>
          <w:lang w:val="lv-LV"/>
        </w:rPr>
        <w:t xml:space="preserve"> </w:t>
      </w:r>
      <w:r w:rsidR="00DE3B49" w:rsidRPr="00DE3B49">
        <w:rPr>
          <w:sz w:val="24"/>
          <w:lang w:val="lv-LV"/>
        </w:rPr>
        <w:tab/>
      </w:r>
      <w:r w:rsidRPr="00DE3B49">
        <w:rPr>
          <w:sz w:val="24"/>
          <w:lang w:val="lv-LV"/>
        </w:rPr>
        <w:t>Padomes Lēmums (ES) 2024/244 (2023. gada 27. </w:t>
      </w:r>
      <w:r w:rsidR="002E1FE8">
        <w:rPr>
          <w:sz w:val="24"/>
          <w:lang w:val="lv-LV"/>
        </w:rPr>
        <w:t>novembris</w:t>
      </w:r>
      <w:r w:rsidRPr="00DE3B49">
        <w:rPr>
          <w:sz w:val="24"/>
          <w:lang w:val="lv-LV"/>
        </w:rPr>
        <w:t>) par to, lai Savienības vārdā parakstītu Brīvās tirdzniecības nolīgumu starp Eiropas Savienību un Jaunzēlandi (OV L 244, 28.2.202</w:t>
      </w:r>
      <w:r w:rsidR="002E1FE8">
        <w:rPr>
          <w:sz w:val="24"/>
          <w:lang w:val="lv-LV"/>
        </w:rPr>
        <w:t>4</w:t>
      </w:r>
      <w:r w:rsidRPr="00DE3B49">
        <w:rPr>
          <w:sz w:val="24"/>
          <w:lang w:val="lv-LV"/>
        </w:rPr>
        <w:t>., 1. lpp.).</w:t>
      </w:r>
    </w:p>
  </w:footnote>
  <w:footnote w:id="3">
    <w:p w:rsidR="00FD09E7" w:rsidRPr="00DE3B49" w:rsidRDefault="00F65D10" w:rsidP="00DE3B49">
      <w:pPr>
        <w:pStyle w:val="FootnoteText"/>
        <w:ind w:left="567" w:hanging="567"/>
        <w:rPr>
          <w:sz w:val="24"/>
          <w:lang w:val="lv-LV"/>
        </w:rPr>
      </w:pPr>
      <w:r w:rsidRPr="00F65D10">
        <w:rPr>
          <w:rStyle w:val="FootnoteReference"/>
        </w:rPr>
        <w:t>2</w:t>
      </w:r>
      <w:r w:rsidR="00DE3B49" w:rsidRPr="00F65D10">
        <w:rPr>
          <w:rStyle w:val="FootnoteReference"/>
        </w:rPr>
        <w:t xml:space="preserve"> </w:t>
      </w:r>
      <w:r w:rsidR="00DE3B49" w:rsidRPr="00DE3B49">
        <w:rPr>
          <w:sz w:val="24"/>
          <w:lang w:val="lv-LV"/>
        </w:rPr>
        <w:tab/>
      </w:r>
      <w:r w:rsidR="00FD09E7" w:rsidRPr="00DE3B49">
        <w:rPr>
          <w:sz w:val="24"/>
          <w:lang w:val="lv-LV"/>
        </w:rPr>
        <w:t>Komisijas Deleģētā regula (ES) 2020/760 (2019. gada 17. decembris), ar ko Eiropas Parlament</w:t>
      </w:r>
      <w:bookmarkStart w:id="7" w:name="_GoBack"/>
      <w:bookmarkEnd w:id="7"/>
      <w:r w:rsidR="00FD09E7" w:rsidRPr="00DE3B49">
        <w:rPr>
          <w:sz w:val="24"/>
          <w:lang w:val="lv-LV"/>
        </w:rPr>
        <w:t>a un Padomes Regulu (ES) Nr. 1308/2013 papildina attiecībā uz noteikumiem par to, kā pārvalda importa un eksporta tarifa kvotas, uz kurām attiecas licences, un Eiropas Parlamenta un Padomes Regulu (ES) Nr. 1306/2013 papildina attiecībā uz nodrošinājumu iemaksāšanu tarifa kvotu pārvaldības kontekstā (OV L 185, 12.6.2020.,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B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B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3B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0/2024"/>
    <w:docVar w:name="dvlangue" w:val="LV"/>
    <w:docVar w:name="dvnumam" w:val="0"/>
    <w:docVar w:name="dvpe" w:val="759.963"/>
    <w:docVar w:name="dvtitre" w:val="Eiropas Parlamenta ieteikums Padomei par iebildumu neizteikšanu pret Komisijas 2024. gada 13. marta deleģēto regulu, ar ko attiecībā uz dažiem noteikumiem, kuri izriet no Brīvās tirdzniecības nolīguma starp Eiropas Savienību un Jaunzēlandi, un tādu novecojušu noteikumu svītrošanu, kuri attiecas uz eksporta tarifa kvotu piena pulverim, groza Komisijas Deleģēto regulu (ES) 2020/760(C(2024)01499 – 2024/2677(DEA))"/>
  </w:docVars>
  <w:rsids>
    <w:rsidRoot w:val="0059368D"/>
    <w:rsid w:val="00002272"/>
    <w:rsid w:val="00064002"/>
    <w:rsid w:val="000677B9"/>
    <w:rsid w:val="000831BA"/>
    <w:rsid w:val="0009589B"/>
    <w:rsid w:val="000A42CC"/>
    <w:rsid w:val="000C4B1D"/>
    <w:rsid w:val="000E7DD9"/>
    <w:rsid w:val="0010095E"/>
    <w:rsid w:val="00125B37"/>
    <w:rsid w:val="00187494"/>
    <w:rsid w:val="001F32AE"/>
    <w:rsid w:val="002767FF"/>
    <w:rsid w:val="002B18FE"/>
    <w:rsid w:val="002B5493"/>
    <w:rsid w:val="002E1FE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68D"/>
    <w:rsid w:val="005C2568"/>
    <w:rsid w:val="006037C0"/>
    <w:rsid w:val="0063082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B49"/>
    <w:rsid w:val="00E07835"/>
    <w:rsid w:val="00E365E1"/>
    <w:rsid w:val="00E820A4"/>
    <w:rsid w:val="00EB006A"/>
    <w:rsid w:val="00EB4772"/>
    <w:rsid w:val="00ED169E"/>
    <w:rsid w:val="00ED4235"/>
    <w:rsid w:val="00F04346"/>
    <w:rsid w:val="00F075DC"/>
    <w:rsid w:val="00F149E9"/>
    <w:rsid w:val="00F5134D"/>
    <w:rsid w:val="00F65D10"/>
    <w:rsid w:val="00F74202"/>
    <w:rsid w:val="00F87713"/>
    <w:rsid w:val="00FB4360"/>
    <w:rsid w:val="00FD09E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F7C0C"/>
  <w15:chartTrackingRefBased/>
  <w15:docId w15:val="{581D05AF-398F-41C7-828A-40514E8D9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09E7"/>
    <w:pPr>
      <w:spacing w:before="480" w:after="240"/>
    </w:pPr>
  </w:style>
  <w:style w:type="paragraph" w:customStyle="1" w:styleId="NormalBold">
    <w:name w:val="NormalBold"/>
    <w:basedOn w:val="Normal"/>
    <w:rsid w:val="00FD09E7"/>
    <w:rPr>
      <w:b/>
    </w:rPr>
  </w:style>
  <w:style w:type="paragraph" w:customStyle="1" w:styleId="NormalHanging12a">
    <w:name w:val="NormalHanging12a"/>
    <w:basedOn w:val="Normal"/>
    <w:rsid w:val="00FD09E7"/>
    <w:pPr>
      <w:spacing w:after="240"/>
      <w:ind w:left="567" w:hanging="567"/>
    </w:pPr>
  </w:style>
  <w:style w:type="paragraph" w:styleId="BalloonText">
    <w:name w:val="Balloon Text"/>
    <w:basedOn w:val="Normal"/>
    <w:link w:val="BalloonTextChar"/>
    <w:rsid w:val="00E07835"/>
    <w:rPr>
      <w:rFonts w:ascii="Segoe UI" w:hAnsi="Segoe UI" w:cs="Segoe UI"/>
      <w:sz w:val="18"/>
      <w:szCs w:val="18"/>
    </w:rPr>
  </w:style>
  <w:style w:type="character" w:customStyle="1" w:styleId="BalloonTextChar">
    <w:name w:val="Balloon Text Char"/>
    <w:basedOn w:val="DefaultParagraphFont"/>
    <w:link w:val="BalloonText"/>
    <w:rsid w:val="00E0783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B0BC1-5678-4117-B6E2-76F0C7845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383</Words>
  <Characters>2458</Characters>
  <Application>Microsoft Office Word</Application>
  <DocSecurity>0</DocSecurity>
  <Lines>87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2024-06-14T09:12:00Z</dcterms:created>
  <dcterms:modified xsi:type="dcterms:W3CDTF">2024-06-14T09:12:00Z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B9-0200/2024</vt:lpwstr>
  </property>
  <property fmtid="{D5CDD505-2E9C-101B-9397-08002B2CF9AE}" pid="4" name="&lt;Type&gt;">
    <vt:lpwstr>RR</vt:lpwstr>
  </property>
</Properties>
</file>