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60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60FC" w:rsidRDefault="00C808C1" w:rsidP="0010095E">
            <w:pPr>
              <w:pStyle w:val="EPName"/>
            </w:pPr>
            <w:r w:rsidRPr="001360FC">
              <w:t>Parlament Europejski</w:t>
            </w:r>
          </w:p>
          <w:p w:rsidR="00751A4A" w:rsidRPr="001360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60F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360FC" w:rsidRDefault="00187494" w:rsidP="0010095E">
            <w:pPr>
              <w:pStyle w:val="EPLogo"/>
            </w:pPr>
            <w:r w:rsidRPr="001360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60FC" w:rsidRDefault="00D058B8" w:rsidP="004C5D52">
      <w:pPr>
        <w:pStyle w:val="LineTop"/>
      </w:pPr>
    </w:p>
    <w:p w:rsidR="00680577" w:rsidRPr="00AE01E7" w:rsidRDefault="00C808C1" w:rsidP="00680577">
      <w:pPr>
        <w:pStyle w:val="EPBodyTA1"/>
      </w:pPr>
      <w:r w:rsidRPr="00AE01E7">
        <w:t>TEKSTY PRZYJĘTE</w:t>
      </w:r>
    </w:p>
    <w:p w:rsidR="00D058B8" w:rsidRPr="00AE01E7" w:rsidRDefault="00D058B8" w:rsidP="00D058B8">
      <w:pPr>
        <w:pStyle w:val="LineBottom"/>
      </w:pPr>
    </w:p>
    <w:p w:rsidR="00C808C1" w:rsidRPr="00AE01E7" w:rsidRDefault="00C808C1" w:rsidP="00C808C1">
      <w:pPr>
        <w:pStyle w:val="ATHeading1"/>
      </w:pPr>
      <w:bookmarkStart w:id="0" w:name="TANumber"/>
      <w:r w:rsidRPr="00AE01E7">
        <w:t>P9_TA(2024)0</w:t>
      </w:r>
      <w:bookmarkEnd w:id="0"/>
      <w:r w:rsidR="003037F8">
        <w:t>287</w:t>
      </w:r>
      <w:bookmarkStart w:id="1" w:name="_GoBack"/>
      <w:bookmarkEnd w:id="1"/>
    </w:p>
    <w:p w:rsidR="00C808C1" w:rsidRPr="00DE7D3F" w:rsidRDefault="00DE7D3F" w:rsidP="00C808C1">
      <w:pPr>
        <w:pStyle w:val="ATHeading2"/>
      </w:pPr>
      <w:r w:rsidRPr="003037F8">
        <w:t>Brak sprzeciwu wobec aktu delegowanego:</w:t>
      </w:r>
      <w:r w:rsidR="0006220A" w:rsidRPr="003037F8">
        <w:t xml:space="preserve"> </w:t>
      </w:r>
      <w:r w:rsidR="00AE01E7" w:rsidRPr="003037F8">
        <w:t>U</w:t>
      </w:r>
      <w:r w:rsidRPr="003037F8">
        <w:t>mowa o wolnym handlu między Unią Europejską a Nową Zelandią</w:t>
      </w:r>
    </w:p>
    <w:p w:rsidR="00C808C1" w:rsidRPr="001360FC" w:rsidRDefault="00C808C1" w:rsidP="00C808C1">
      <w:pPr>
        <w:rPr>
          <w:i/>
          <w:vanish/>
        </w:rPr>
      </w:pPr>
      <w:r w:rsidRPr="001360FC">
        <w:rPr>
          <w:i/>
        </w:rPr>
        <w:fldChar w:fldCharType="begin"/>
      </w:r>
      <w:r w:rsidRPr="001360FC">
        <w:rPr>
          <w:i/>
        </w:rPr>
        <w:instrText xml:space="preserve"> TC"(</w:instrText>
      </w:r>
      <w:bookmarkStart w:id="2" w:name="DocNumber"/>
      <w:r w:rsidRPr="001360FC">
        <w:rPr>
          <w:i/>
        </w:rPr>
        <w:instrText>B9-0200/2024</w:instrText>
      </w:r>
      <w:bookmarkEnd w:id="2"/>
      <w:r w:rsidRPr="001360FC">
        <w:rPr>
          <w:i/>
        </w:rPr>
        <w:instrText xml:space="preserve">)"\l3 \n&gt; \* MERGEFORMAT </w:instrText>
      </w:r>
      <w:r w:rsidRPr="001360FC">
        <w:rPr>
          <w:i/>
        </w:rPr>
        <w:fldChar w:fldCharType="end"/>
      </w:r>
    </w:p>
    <w:p w:rsidR="00C808C1" w:rsidRPr="001360FC" w:rsidRDefault="00C808C1" w:rsidP="00C808C1">
      <w:pPr>
        <w:rPr>
          <w:vanish/>
        </w:rPr>
      </w:pPr>
      <w:bookmarkStart w:id="3" w:name="PE"/>
      <w:r w:rsidRPr="001360FC">
        <w:rPr>
          <w:vanish/>
        </w:rPr>
        <w:t>PE759.963</w:t>
      </w:r>
      <w:bookmarkEnd w:id="3"/>
    </w:p>
    <w:p w:rsidR="00C808C1" w:rsidRPr="001360FC" w:rsidRDefault="00C808C1" w:rsidP="00C808C1">
      <w:pPr>
        <w:pStyle w:val="ATHeading3"/>
      </w:pPr>
      <w:bookmarkStart w:id="4" w:name="Sujet"/>
      <w:r w:rsidRPr="001360FC">
        <w:t>D</w:t>
      </w:r>
      <w:r w:rsidR="003037F8">
        <w:t>ecyzja Parlamentu Europejskiego</w:t>
      </w:r>
      <w:r w:rsidRPr="001360FC">
        <w:t xml:space="preserve"> w sprawie niewyrażania sprzeciwu wobec rozporządzenia delegowanego Komisji z dnia 13 marca 2024 r. zmieniającego rozporządzenie delegowane Komisji (UE) 2020/760 w odniesieniu do niektórych przepisów umowy o wolnym handlu między Unią Europejską a Nową Zelandią oraz uchylającego nieaktualne przepisy dotyczące kontyngentów taryfowych na wywóz mleka w proszku</w:t>
      </w:r>
      <w:bookmarkEnd w:id="4"/>
      <w:r w:rsidRPr="001360FC">
        <w:t xml:space="preserve"> </w:t>
      </w:r>
      <w:bookmarkStart w:id="5" w:name="References"/>
      <w:r w:rsidRPr="001360FC">
        <w:t>(C</w:t>
      </w:r>
      <w:proofErr w:type="gramStart"/>
      <w:r w:rsidRPr="001360FC">
        <w:t>(2024)01499 – 2024/2677(DEA</w:t>
      </w:r>
      <w:proofErr w:type="gramEnd"/>
      <w:r w:rsidRPr="001360FC">
        <w:t>))</w:t>
      </w:r>
      <w:bookmarkEnd w:id="5"/>
    </w:p>
    <w:p w:rsidR="00DB21FA" w:rsidRPr="001360FC" w:rsidRDefault="00DB21FA" w:rsidP="00DB21FA">
      <w:pPr>
        <w:pStyle w:val="EPComma"/>
      </w:pPr>
      <w:bookmarkStart w:id="6" w:name="TextBodyBegin"/>
      <w:bookmarkEnd w:id="6"/>
      <w:r w:rsidRPr="001360FC">
        <w:rPr>
          <w:i/>
        </w:rPr>
        <w:t>Parlament Europejski</w:t>
      </w:r>
      <w:r w:rsidRPr="001360FC">
        <w:t>,</w:t>
      </w:r>
    </w:p>
    <w:p w:rsidR="00DB21FA" w:rsidRPr="001360FC" w:rsidRDefault="00DB21FA" w:rsidP="00DB21FA">
      <w:pPr>
        <w:pStyle w:val="NormalHanging12a"/>
      </w:pPr>
      <w:r w:rsidRPr="001360FC">
        <w:t>–</w:t>
      </w:r>
      <w:r w:rsidRPr="001360FC">
        <w:tab/>
        <w:t>uwzględniając rozporządzenie delegowane Komisji (C(2024)01499),</w:t>
      </w:r>
    </w:p>
    <w:p w:rsidR="00DB21FA" w:rsidRPr="001360FC" w:rsidRDefault="00DB21FA" w:rsidP="00DB21FA">
      <w:pPr>
        <w:spacing w:after="240"/>
        <w:ind w:left="567" w:hanging="567"/>
      </w:pPr>
      <w:r w:rsidRPr="001360FC">
        <w:t>–</w:t>
      </w:r>
      <w:r w:rsidRPr="001360FC">
        <w:tab/>
        <w:t>uwzględniając pismo Komisji z dnia 13 marca 2024 r., w którym Komisja zwraca się do Parlamentu o oświadczenie, że nie wyraża on sprzeciwu wobec rozporządzenia delegowanego,</w:t>
      </w:r>
    </w:p>
    <w:p w:rsidR="00DB21FA" w:rsidRPr="001360FC" w:rsidRDefault="00DB21FA" w:rsidP="00DB21FA">
      <w:pPr>
        <w:spacing w:after="240"/>
        <w:ind w:left="567" w:hanging="567"/>
      </w:pPr>
      <w:r w:rsidRPr="001360FC">
        <w:t>–</w:t>
      </w:r>
      <w:r w:rsidRPr="001360FC">
        <w:tab/>
        <w:t>uwzględniając pismo Komisji Rolnictwa i Rozwoju Wsi z dnia 19 marca 2024 r. skierowane do przewodniczącego Konferencji Przewodniczących Komisji,</w:t>
      </w:r>
    </w:p>
    <w:p w:rsidR="00DB21FA" w:rsidRPr="001360FC" w:rsidRDefault="00DB21FA" w:rsidP="00DB21FA">
      <w:pPr>
        <w:spacing w:after="240"/>
        <w:ind w:left="567" w:hanging="567"/>
      </w:pPr>
      <w:r w:rsidRPr="001360FC">
        <w:t>–</w:t>
      </w:r>
      <w:r w:rsidRPr="001360FC">
        <w:tab/>
        <w:t>uwzględniając art. 290 Traktatu o funkcjonowaniu Unii Europejskiej,</w:t>
      </w:r>
    </w:p>
    <w:p w:rsidR="00DB21FA" w:rsidRPr="001360FC" w:rsidRDefault="00DB21FA" w:rsidP="00DB21FA">
      <w:pPr>
        <w:spacing w:after="240"/>
        <w:ind w:left="567" w:hanging="567"/>
      </w:pPr>
      <w:r w:rsidRPr="001360FC">
        <w:t>–</w:t>
      </w:r>
      <w:r w:rsidRPr="001360FC">
        <w:tab/>
        <w:t>uwzględniając rozporządzenie Parlamentu Europejskiego i Rady (UE) nr 1308/2013 z dnia 17 grudnia 2013 r. ustanawiające wspólną organizację rynków produktów rolnych oraz uchylające rozporządzenia Rady (EWG) nr 922/72, (EWG) nr 234/79, (WE) nr 1037/2001 i (WE) nr 1234/2007</w:t>
      </w:r>
      <w:r w:rsidRPr="001360FC">
        <w:rPr>
          <w:rStyle w:val="FootnoteReference"/>
        </w:rPr>
        <w:footnoteReference w:id="1"/>
      </w:r>
      <w:r w:rsidRPr="001360FC">
        <w:t xml:space="preserve">, w szczególności jego art. 186 i art. 227 ust. 5, </w:t>
      </w:r>
    </w:p>
    <w:p w:rsidR="00DB21FA" w:rsidRPr="001360FC" w:rsidRDefault="00DB21FA" w:rsidP="00DB21FA">
      <w:pPr>
        <w:spacing w:after="240"/>
        <w:ind w:left="567" w:hanging="567"/>
      </w:pPr>
      <w:r w:rsidRPr="001360FC">
        <w:t>–</w:t>
      </w:r>
      <w:r w:rsidRPr="001360FC">
        <w:tab/>
        <w:t>uwzględniając art. 111 ust. 6 Regulaminu,</w:t>
      </w:r>
    </w:p>
    <w:p w:rsidR="00DB21FA" w:rsidRDefault="00DB21FA" w:rsidP="00DB21FA">
      <w:pPr>
        <w:spacing w:after="240"/>
        <w:ind w:left="567" w:hanging="567"/>
      </w:pPr>
      <w:r w:rsidRPr="001360FC">
        <w:t>–</w:t>
      </w:r>
      <w:r w:rsidRPr="001360FC">
        <w:tab/>
        <w:t>uwzględniając zalecenie dotyczące decyzji Komisji Rolnictwa i Rozwoju Wsi,</w:t>
      </w:r>
    </w:p>
    <w:p w:rsidR="0006220A" w:rsidRPr="009B5FEA" w:rsidRDefault="0006220A" w:rsidP="0006220A">
      <w:pPr>
        <w:pStyle w:val="Normal12Hanging"/>
        <w:ind w:left="567" w:hanging="567"/>
      </w:pPr>
      <w:r w:rsidRPr="000B48B7">
        <w:t>–</w:t>
      </w:r>
      <w:r w:rsidRPr="009B5FEA">
        <w:tab/>
        <w:t xml:space="preserve">uwzględniając brak sprzeciwów zgłoszonych </w:t>
      </w:r>
      <w:r>
        <w:t>w terminie określonym w art. 111</w:t>
      </w:r>
      <w:r w:rsidRPr="009B5FEA">
        <w:t xml:space="preserve"> ust. 6 </w:t>
      </w:r>
      <w:proofErr w:type="spellStart"/>
      <w:r w:rsidRPr="009B5FEA">
        <w:t>tiret</w:t>
      </w:r>
      <w:proofErr w:type="spellEnd"/>
      <w:r w:rsidRPr="009B5FEA">
        <w:t xml:space="preserve"> trzecie i czwarte Regulaminu, który upłynął w dniu </w:t>
      </w:r>
      <w:r>
        <w:t>11</w:t>
      </w:r>
      <w:r w:rsidRPr="009B5FEA">
        <w:t xml:space="preserve"> </w:t>
      </w:r>
      <w:r>
        <w:t>kwietnia</w:t>
      </w:r>
      <w:r w:rsidRPr="009B5FEA">
        <w:t xml:space="preserve"> </w:t>
      </w:r>
      <w:r>
        <w:t>2024</w:t>
      </w:r>
      <w:r w:rsidRPr="009B5FEA">
        <w:t> r.,</w:t>
      </w:r>
    </w:p>
    <w:p w:rsidR="00DB21FA" w:rsidRPr="001360FC" w:rsidRDefault="00DB21FA" w:rsidP="00DB21FA">
      <w:pPr>
        <w:spacing w:before="120" w:after="120"/>
        <w:ind w:left="567" w:hanging="567"/>
        <w:rPr>
          <w:rFonts w:eastAsia="Calibri"/>
          <w:szCs w:val="22"/>
        </w:rPr>
      </w:pPr>
      <w:r w:rsidRPr="001360FC">
        <w:t>A.</w:t>
      </w:r>
      <w:r w:rsidRPr="001360FC">
        <w:tab/>
      </w:r>
      <w:proofErr w:type="gramStart"/>
      <w:r w:rsidRPr="001360FC">
        <w:t>mając</w:t>
      </w:r>
      <w:proofErr w:type="gramEnd"/>
      <w:r w:rsidRPr="001360FC">
        <w:t xml:space="preserve"> na uwadze, że unijne etapy proceduralne mające na celu wdrożenie umowy o wolnym handlu między Unią Europejską a Nową Zelandią (Umowa) zakończono wraz </w:t>
      </w:r>
      <w:r w:rsidRPr="001360FC">
        <w:lastRenderedPageBreak/>
        <w:t>z publikacją decyzji Rady (UE) 2024/244</w:t>
      </w:r>
      <w:r w:rsidRPr="001360FC">
        <w:rPr>
          <w:rStyle w:val="FootnoteReference"/>
          <w:rFonts w:eastAsia="Calibri"/>
          <w:szCs w:val="22"/>
        </w:rPr>
        <w:footnoteReference w:id="2"/>
      </w:r>
      <w:r w:rsidRPr="001360FC">
        <w:t xml:space="preserve"> w Dzienniku Urzędowym Unii Europejskiej 28 lutego 2024 r.;</w:t>
      </w:r>
    </w:p>
    <w:p w:rsidR="00DB21FA" w:rsidRPr="001360FC" w:rsidRDefault="00DB21FA" w:rsidP="00DB21FA">
      <w:pPr>
        <w:ind w:left="567" w:hanging="567"/>
      </w:pPr>
      <w:r w:rsidRPr="001360FC">
        <w:t>B.</w:t>
      </w:r>
      <w:r w:rsidRPr="001360FC">
        <w:tab/>
        <w:t>mając na uwadze, że zgodnie z najnowszymi otrzymanymi informacjami Nowa Zelandia najprawdopodobniej przyjmie przepisy niezbędne do wdrożenia Umowy do końca marca 2024 r., co umożliwi jej wejście w życie 1 maja 2024 r.;</w:t>
      </w:r>
    </w:p>
    <w:p w:rsidR="00DB21FA" w:rsidRPr="001360FC" w:rsidRDefault="00DB21FA" w:rsidP="00DB21FA">
      <w:pPr>
        <w:spacing w:before="120" w:after="120"/>
        <w:ind w:left="567" w:hanging="567"/>
        <w:rPr>
          <w:rFonts w:eastAsia="Calibri"/>
          <w:szCs w:val="22"/>
        </w:rPr>
      </w:pPr>
      <w:r w:rsidRPr="001360FC">
        <w:t>C.</w:t>
      </w:r>
      <w:r w:rsidRPr="001360FC">
        <w:tab/>
      </w:r>
      <w:proofErr w:type="gramStart"/>
      <w:r w:rsidRPr="001360FC">
        <w:t>mając</w:t>
      </w:r>
      <w:proofErr w:type="gramEnd"/>
      <w:r w:rsidRPr="001360FC">
        <w:t xml:space="preserve"> na uwadze, że Umowa wprowadza kilka nowych kontyngentów taryfowych oraz zmienia istniejące kontyngenty taryfowe właściwe dla poszczególnych krajów WTO m.in. na produkty pochodzące z Nowej Zelandii;</w:t>
      </w:r>
    </w:p>
    <w:p w:rsidR="00DB21FA" w:rsidRPr="001360FC" w:rsidRDefault="00DB21FA" w:rsidP="00DB21FA">
      <w:pPr>
        <w:spacing w:before="120" w:after="120"/>
        <w:ind w:left="567" w:hanging="567"/>
        <w:rPr>
          <w:rFonts w:eastAsia="Calibri"/>
          <w:szCs w:val="22"/>
        </w:rPr>
      </w:pPr>
      <w:r w:rsidRPr="001360FC">
        <w:t>D.</w:t>
      </w:r>
      <w:r w:rsidRPr="001360FC">
        <w:tab/>
      </w:r>
      <w:proofErr w:type="gramStart"/>
      <w:r w:rsidRPr="001360FC">
        <w:t>mając</w:t>
      </w:r>
      <w:proofErr w:type="gramEnd"/>
      <w:r w:rsidRPr="001360FC">
        <w:t xml:space="preserve"> na uwadze, że zmiany te zostaną uwzględnione w rozporządzeniu delegowanym Komisji (UE) 2020/760</w:t>
      </w:r>
      <w:r w:rsidRPr="001360FC">
        <w:rPr>
          <w:rStyle w:val="FootnoteReference"/>
          <w:rFonts w:eastAsia="Calibri"/>
          <w:szCs w:val="22"/>
        </w:rPr>
        <w:footnoteReference w:id="3"/>
      </w:r>
      <w:r w:rsidRPr="001360FC">
        <w:t xml:space="preserve"> uzupełniającym rozporządzenie (UE) nr 1308/2013 w odniesieniu do zasad administrowania kontyngentami taryfowymi na przywóz i wywóz produktów rolniczych podlegających systemowi pozwoleń;</w:t>
      </w:r>
    </w:p>
    <w:p w:rsidR="00DB21FA" w:rsidRPr="001360FC" w:rsidRDefault="00DB21FA" w:rsidP="00DB21FA">
      <w:pPr>
        <w:spacing w:before="120" w:after="120"/>
        <w:ind w:left="567" w:hanging="567"/>
        <w:rPr>
          <w:rFonts w:eastAsia="Calibri"/>
          <w:szCs w:val="22"/>
        </w:rPr>
      </w:pPr>
      <w:r w:rsidRPr="001360FC">
        <w:t>E.</w:t>
      </w:r>
      <w:r w:rsidRPr="001360FC">
        <w:tab/>
      </w:r>
      <w:proofErr w:type="gramStart"/>
      <w:r w:rsidRPr="001360FC">
        <w:t>mając</w:t>
      </w:r>
      <w:proofErr w:type="gramEnd"/>
      <w:r w:rsidRPr="001360FC">
        <w:t xml:space="preserve"> na uwadze, że rozporządzenie delegowane (UE) 2020/760 należy zatem zmienić do dnia wejścia w życie Umowy;</w:t>
      </w:r>
    </w:p>
    <w:p w:rsidR="00DB21FA" w:rsidRPr="001360FC" w:rsidRDefault="00DB21FA" w:rsidP="00DB21FA">
      <w:pPr>
        <w:spacing w:after="240"/>
        <w:ind w:left="567" w:hanging="567"/>
      </w:pPr>
      <w:r w:rsidRPr="001360FC">
        <w:t>1.</w:t>
      </w:r>
      <w:r w:rsidRPr="001360FC">
        <w:tab/>
      </w:r>
      <w:proofErr w:type="gramStart"/>
      <w:r w:rsidRPr="001360FC">
        <w:t>oświadcza</w:t>
      </w:r>
      <w:proofErr w:type="gramEnd"/>
      <w:r w:rsidRPr="001360FC">
        <w:t>, że nie wyraża sprzeciwu wobec rozporządzenia delegowanego;</w:t>
      </w:r>
    </w:p>
    <w:p w:rsidR="00DB21FA" w:rsidRPr="001360FC" w:rsidRDefault="00DB21FA" w:rsidP="0006220A">
      <w:pPr>
        <w:spacing w:after="240"/>
        <w:ind w:left="567" w:hanging="567"/>
      </w:pPr>
      <w:r w:rsidRPr="001360FC">
        <w:t>2.</w:t>
      </w:r>
      <w:r w:rsidRPr="001360FC">
        <w:tab/>
      </w:r>
      <w:proofErr w:type="gramStart"/>
      <w:r w:rsidRPr="001360FC">
        <w:t>zobowiązuje</w:t>
      </w:r>
      <w:proofErr w:type="gramEnd"/>
      <w:r w:rsidRPr="001360FC">
        <w:t xml:space="preserve"> swojego przewodniczącego do przekazania niniejszej decyzji Radzie i Komisji.</w:t>
      </w:r>
    </w:p>
    <w:p w:rsidR="00DB21FA" w:rsidRPr="001360FC" w:rsidRDefault="00DB21FA" w:rsidP="00DB21FA"/>
    <w:sectPr w:rsidR="00DB21FA" w:rsidRPr="001360FC" w:rsidSect="001360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8C1" w:rsidRPr="001360FC" w:rsidRDefault="00C808C1">
      <w:r w:rsidRPr="001360FC">
        <w:separator/>
      </w:r>
    </w:p>
  </w:endnote>
  <w:endnote w:type="continuationSeparator" w:id="0">
    <w:p w:rsidR="00C808C1" w:rsidRPr="001360FC" w:rsidRDefault="00C808C1">
      <w:r w:rsidRPr="001360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0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0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0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8C1" w:rsidRPr="001360FC" w:rsidRDefault="00C808C1">
      <w:r w:rsidRPr="001360FC">
        <w:separator/>
      </w:r>
    </w:p>
  </w:footnote>
  <w:footnote w:type="continuationSeparator" w:id="0">
    <w:p w:rsidR="00C808C1" w:rsidRPr="001360FC" w:rsidRDefault="00C808C1">
      <w:r w:rsidRPr="001360FC">
        <w:continuationSeparator/>
      </w:r>
    </w:p>
  </w:footnote>
  <w:footnote w:id="1">
    <w:p w:rsidR="00DB21FA" w:rsidRPr="001360FC" w:rsidRDefault="00DB21FA" w:rsidP="001360FC">
      <w:pPr>
        <w:pStyle w:val="FootnoteText"/>
        <w:ind w:left="567" w:hanging="567"/>
        <w:rPr>
          <w:sz w:val="24"/>
          <w:lang w:val="pl-PL"/>
        </w:rPr>
      </w:pPr>
      <w:r w:rsidRPr="001360FC">
        <w:rPr>
          <w:rStyle w:val="FootnoteReference"/>
          <w:sz w:val="24"/>
          <w:lang w:val="pl-PL"/>
        </w:rPr>
        <w:footnoteRef/>
      </w:r>
      <w:r w:rsidR="001360FC" w:rsidRPr="001360FC">
        <w:rPr>
          <w:sz w:val="24"/>
          <w:lang w:val="pl-PL"/>
        </w:rPr>
        <w:t xml:space="preserve"> </w:t>
      </w:r>
      <w:r w:rsidR="001360FC" w:rsidRPr="001360FC">
        <w:rPr>
          <w:sz w:val="24"/>
          <w:lang w:val="pl-PL"/>
        </w:rPr>
        <w:tab/>
      </w:r>
      <w:r w:rsidRPr="001360FC">
        <w:rPr>
          <w:sz w:val="24"/>
          <w:lang w:val="pl-PL"/>
        </w:rPr>
        <w:t xml:space="preserve">Dz.U. L 347 z 20.12.2013, </w:t>
      </w:r>
      <w:proofErr w:type="gramStart"/>
      <w:r w:rsidRPr="001360FC">
        <w:rPr>
          <w:sz w:val="24"/>
          <w:lang w:val="pl-PL"/>
        </w:rPr>
        <w:t>s</w:t>
      </w:r>
      <w:proofErr w:type="gramEnd"/>
      <w:r w:rsidRPr="001360FC">
        <w:rPr>
          <w:sz w:val="24"/>
          <w:lang w:val="pl-PL"/>
        </w:rPr>
        <w:t>. 671.</w:t>
      </w:r>
    </w:p>
  </w:footnote>
  <w:footnote w:id="2">
    <w:p w:rsidR="00DB21FA" w:rsidRPr="001360FC" w:rsidRDefault="00DB21FA" w:rsidP="001360FC">
      <w:pPr>
        <w:pStyle w:val="FootnoteText"/>
        <w:ind w:left="567" w:hanging="567"/>
        <w:rPr>
          <w:sz w:val="24"/>
          <w:lang w:val="pl-PL"/>
        </w:rPr>
      </w:pPr>
      <w:r w:rsidRPr="001360FC">
        <w:rPr>
          <w:rStyle w:val="FootnoteReference"/>
          <w:sz w:val="24"/>
          <w:lang w:val="pl-PL"/>
        </w:rPr>
        <w:footnoteRef/>
      </w:r>
      <w:r w:rsidR="001360FC" w:rsidRPr="001360FC">
        <w:rPr>
          <w:sz w:val="24"/>
          <w:lang w:val="pl-PL"/>
        </w:rPr>
        <w:t xml:space="preserve"> </w:t>
      </w:r>
      <w:r w:rsidR="001360FC" w:rsidRPr="001360FC">
        <w:rPr>
          <w:sz w:val="24"/>
          <w:lang w:val="pl-PL"/>
        </w:rPr>
        <w:tab/>
      </w:r>
      <w:r w:rsidRPr="001360FC">
        <w:rPr>
          <w:sz w:val="24"/>
          <w:lang w:val="pl-PL"/>
        </w:rPr>
        <w:t>Decyzja Rady (UE</w:t>
      </w:r>
      <w:proofErr w:type="gramStart"/>
      <w:r w:rsidRPr="001360FC">
        <w:rPr>
          <w:sz w:val="24"/>
          <w:lang w:val="pl-PL"/>
        </w:rPr>
        <w:t>) 2024/244 z</w:t>
      </w:r>
      <w:proofErr w:type="gramEnd"/>
      <w:r w:rsidRPr="001360FC">
        <w:rPr>
          <w:sz w:val="24"/>
          <w:lang w:val="pl-PL"/>
        </w:rPr>
        <w:t xml:space="preserve"> dnia 27 listopada 2023 r. w sprawie zawarcia, w imieniu Unii, Umowy o wolnym handlu między Unią Europejską a Nową Zelandią (Dz.U. L 244 z 28.2.2024, </w:t>
      </w:r>
      <w:proofErr w:type="gramStart"/>
      <w:r w:rsidRPr="001360FC">
        <w:rPr>
          <w:sz w:val="24"/>
          <w:lang w:val="pl-PL"/>
        </w:rPr>
        <w:t>s</w:t>
      </w:r>
      <w:proofErr w:type="gramEnd"/>
      <w:r w:rsidRPr="001360FC">
        <w:rPr>
          <w:sz w:val="24"/>
          <w:lang w:val="pl-PL"/>
        </w:rPr>
        <w:t>. 1).</w:t>
      </w:r>
    </w:p>
  </w:footnote>
  <w:footnote w:id="3">
    <w:p w:rsidR="00DB21FA" w:rsidRPr="001360FC" w:rsidRDefault="00DB21FA" w:rsidP="001360FC">
      <w:pPr>
        <w:pStyle w:val="FootnoteText"/>
        <w:ind w:left="567" w:hanging="567"/>
        <w:rPr>
          <w:sz w:val="24"/>
          <w:lang w:val="pl-PL"/>
        </w:rPr>
      </w:pPr>
      <w:r w:rsidRPr="001360FC">
        <w:rPr>
          <w:rStyle w:val="FootnoteReference"/>
          <w:sz w:val="24"/>
          <w:lang w:val="pl-PL"/>
        </w:rPr>
        <w:footnoteRef/>
      </w:r>
      <w:r w:rsidR="001360FC" w:rsidRPr="001360FC">
        <w:rPr>
          <w:sz w:val="24"/>
          <w:lang w:val="pl-PL"/>
        </w:rPr>
        <w:t xml:space="preserve"> </w:t>
      </w:r>
      <w:r w:rsidR="001360FC" w:rsidRPr="001360FC">
        <w:rPr>
          <w:sz w:val="24"/>
          <w:lang w:val="pl-PL"/>
        </w:rPr>
        <w:tab/>
      </w:r>
      <w:r w:rsidRPr="001360FC">
        <w:rPr>
          <w:sz w:val="24"/>
          <w:lang w:val="pl-PL"/>
        </w:rPr>
        <w:t xml:space="preserve">Rozporządzenie delegowane Komisji (UE) 2020/760 z dnia 17 grudnia 2019 r. uzupełniające rozporządzenie Parlamentu Europejskiego i Rady (UE) nr 1308/2013 w odniesieniu do zasad administrowania kontyngentami taryfowymi na przywóz i wywóz podlegającymi systemowi pozwoleń oraz uzupełniające rozporządzenie Parlamentu Europejskiego i Rady (UE) nr 1306/2013 w odniesieniu do wnoszenia zabezpieczeń w ramach administrowania kontyngentami taryfowymi (Dz.U. L 185 z 12.6.2020, </w:t>
      </w:r>
      <w:proofErr w:type="gramStart"/>
      <w:r w:rsidRPr="001360FC">
        <w:rPr>
          <w:sz w:val="24"/>
          <w:lang w:val="pl-PL"/>
        </w:rPr>
        <w:t>s</w:t>
      </w:r>
      <w:proofErr w:type="gramEnd"/>
      <w:r w:rsidRPr="001360FC">
        <w:rPr>
          <w:sz w:val="24"/>
          <w:lang w:val="pl-PL"/>
        </w:rPr>
        <w:t>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0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0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0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PL"/>
    <w:docVar w:name="dvnumam" w:val="0"/>
    <w:docVar w:name="dvpe" w:val="759.963"/>
    <w:docVar w:name="dvtitre" w:val="Decyzja Parlamentu Europejskiego z dnia  2024 r. w sprawie niewyrażania sprzeciwu wobec rozporządzenia delegowanego Komisji z dnia 13 marca 2024 r. zmieniającego rozporządzenie delegowane Komisji (UE) 2020/760 w odniesieniu do niektórych przepisów umowy o wolnym handlu między Unią Europejską a Nową Zelandią oraz uchylającego nieaktualne przepisy dotyczące kontyngentów taryfowych na wywóz mleka w proszku(C(2024)01499 – 2024/2677(DEA))"/>
  </w:docVars>
  <w:rsids>
    <w:rsidRoot w:val="00C808C1"/>
    <w:rsid w:val="00002272"/>
    <w:rsid w:val="0006220A"/>
    <w:rsid w:val="00064002"/>
    <w:rsid w:val="000677B9"/>
    <w:rsid w:val="000831BA"/>
    <w:rsid w:val="000A42CC"/>
    <w:rsid w:val="000E7DD9"/>
    <w:rsid w:val="0010095E"/>
    <w:rsid w:val="00125B37"/>
    <w:rsid w:val="001360FC"/>
    <w:rsid w:val="00187494"/>
    <w:rsid w:val="001F32AE"/>
    <w:rsid w:val="002767FF"/>
    <w:rsid w:val="002B18FE"/>
    <w:rsid w:val="002B5493"/>
    <w:rsid w:val="003037F8"/>
    <w:rsid w:val="00343214"/>
    <w:rsid w:val="00361C00"/>
    <w:rsid w:val="0037771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1E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08C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1FA"/>
    <w:rsid w:val="00DE7D3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80C7E"/>
  <w15:chartTrackingRefBased/>
  <w15:docId w15:val="{0D879B41-36CA-4C6C-8EB6-520FCC1D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B21FA"/>
    <w:pPr>
      <w:spacing w:before="480" w:after="240"/>
    </w:pPr>
  </w:style>
  <w:style w:type="paragraph" w:customStyle="1" w:styleId="NormalHanging12a">
    <w:name w:val="NormalHanging12a"/>
    <w:basedOn w:val="Normal"/>
    <w:rsid w:val="00DB21FA"/>
    <w:pPr>
      <w:spacing w:after="240"/>
      <w:ind w:left="567" w:hanging="567"/>
    </w:pPr>
  </w:style>
  <w:style w:type="paragraph" w:customStyle="1" w:styleId="Normal12Hanging">
    <w:name w:val="Normal12Hanging"/>
    <w:basedOn w:val="Normal"/>
    <w:link w:val="Normal12HangingChar"/>
    <w:rsid w:val="0006220A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06220A"/>
    <w:rPr>
      <w:snapToGrid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A3BD6-6D8C-4401-9466-66C628661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2599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2024-04-22T18:01:00Z</dcterms:created>
  <dcterms:modified xsi:type="dcterms:W3CDTF">2024-04-22T18:01:00Z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