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7FF8" w14:paraId="07FF3DB8" w14:textId="77777777" w:rsidTr="0010095E">
        <w:trPr>
          <w:trHeight w:hRule="exact" w:val="1418"/>
        </w:trPr>
        <w:tc>
          <w:tcPr>
            <w:tcW w:w="6804" w:type="dxa"/>
            <w:shd w:val="clear" w:color="auto" w:fill="auto"/>
            <w:vAlign w:val="center"/>
          </w:tcPr>
          <w:p w14:paraId="6C15BC19" w14:textId="77777777" w:rsidR="00751A4A" w:rsidRPr="00B27FF8" w:rsidRDefault="00507868" w:rsidP="0010095E">
            <w:pPr>
              <w:pStyle w:val="EPName"/>
            </w:pPr>
            <w:r w:rsidRPr="00B27FF8">
              <w:t>Parlamentul European</w:t>
            </w:r>
          </w:p>
          <w:p w14:paraId="18DDF422" w14:textId="77777777" w:rsidR="00751A4A" w:rsidRPr="00B27FF8" w:rsidRDefault="00817416" w:rsidP="00756632">
            <w:pPr>
              <w:pStyle w:val="EPTerm"/>
              <w:rPr>
                <w:rStyle w:val="HideTWBExt"/>
                <w:noProof w:val="0"/>
                <w:vanish w:val="0"/>
                <w:color w:val="auto"/>
              </w:rPr>
            </w:pPr>
            <w:r w:rsidRPr="00B27FF8">
              <w:t>2019-2024</w:t>
            </w:r>
          </w:p>
        </w:tc>
        <w:tc>
          <w:tcPr>
            <w:tcW w:w="2268" w:type="dxa"/>
            <w:shd w:val="clear" w:color="auto" w:fill="auto"/>
          </w:tcPr>
          <w:p w14:paraId="15EB894E" w14:textId="77777777" w:rsidR="00751A4A" w:rsidRPr="00B27FF8" w:rsidRDefault="00187494" w:rsidP="0010095E">
            <w:pPr>
              <w:pStyle w:val="EPLogo"/>
            </w:pPr>
            <w:r w:rsidRPr="00B27FF8">
              <w:rPr>
                <w:noProof/>
                <w:lang w:val="en-GB"/>
              </w:rPr>
              <w:drawing>
                <wp:inline distT="0" distB="0" distL="0" distR="0" wp14:anchorId="7C8FE2B1" wp14:editId="36F8A2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EF8127" w14:textId="77777777" w:rsidR="00D058B8" w:rsidRPr="00B27FF8" w:rsidRDefault="00D058B8" w:rsidP="004C5D52">
      <w:pPr>
        <w:pStyle w:val="LineTop"/>
      </w:pPr>
    </w:p>
    <w:p w14:paraId="303A8FAF" w14:textId="77777777" w:rsidR="00680577" w:rsidRPr="00B27FF8" w:rsidRDefault="00507868" w:rsidP="00680577">
      <w:pPr>
        <w:pStyle w:val="EPBodyTA1"/>
      </w:pPr>
      <w:r w:rsidRPr="00B27FF8">
        <w:t>TEXTE ADOPTATE</w:t>
      </w:r>
    </w:p>
    <w:p w14:paraId="51A6F03C" w14:textId="77777777" w:rsidR="00D058B8" w:rsidRPr="00B27FF8" w:rsidRDefault="00D058B8" w:rsidP="00D058B8">
      <w:pPr>
        <w:pStyle w:val="LineBottom"/>
      </w:pPr>
    </w:p>
    <w:p w14:paraId="0C5B0877" w14:textId="4AC8565E" w:rsidR="00507868" w:rsidRPr="00B27FF8" w:rsidRDefault="00507868" w:rsidP="00507868">
      <w:pPr>
        <w:pStyle w:val="ATHeading1"/>
      </w:pPr>
      <w:bookmarkStart w:id="0" w:name="TANumber"/>
      <w:r w:rsidRPr="00B27FF8">
        <w:t>P9_TA(2024)0</w:t>
      </w:r>
      <w:bookmarkEnd w:id="0"/>
      <w:r w:rsidR="00B27FF8" w:rsidRPr="00B27FF8">
        <w:t>287</w:t>
      </w:r>
    </w:p>
    <w:p w14:paraId="1B606877" w14:textId="2A165B1C" w:rsidR="00507868" w:rsidRPr="00B27FF8" w:rsidRDefault="008F64D9" w:rsidP="00507868">
      <w:pPr>
        <w:pStyle w:val="ATHeading2"/>
      </w:pPr>
      <w:bookmarkStart w:id="1" w:name="title"/>
      <w:r w:rsidRPr="00B27FF8">
        <w:t xml:space="preserve">Decizia de a nu formula obiecții la un act delegat: </w:t>
      </w:r>
      <w:r w:rsidR="008C6E83" w:rsidRPr="00B27FF8">
        <w:t>a</w:t>
      </w:r>
      <w:r w:rsidRPr="00B27FF8">
        <w:t>cordul de liber schimb între Uniunea Europeană și Noua Zeelandă</w:t>
      </w:r>
      <w:bookmarkEnd w:id="1"/>
    </w:p>
    <w:p w14:paraId="5C946FA6" w14:textId="77777777" w:rsidR="00507868" w:rsidRPr="00B27FF8" w:rsidRDefault="00507868" w:rsidP="00507868">
      <w:pPr>
        <w:rPr>
          <w:i/>
          <w:vanish/>
        </w:rPr>
      </w:pPr>
      <w:r w:rsidRPr="00B27FF8">
        <w:rPr>
          <w:i/>
        </w:rPr>
        <w:fldChar w:fldCharType="begin"/>
      </w:r>
      <w:r w:rsidRPr="00B27FF8">
        <w:rPr>
          <w:i/>
        </w:rPr>
        <w:instrText xml:space="preserve"> TC"(</w:instrText>
      </w:r>
      <w:bookmarkStart w:id="2" w:name="DocNumber"/>
      <w:r w:rsidRPr="00B27FF8">
        <w:rPr>
          <w:i/>
        </w:rPr>
        <w:instrText>B9-0200/2024</w:instrText>
      </w:r>
      <w:bookmarkEnd w:id="2"/>
      <w:r w:rsidRPr="00B27FF8">
        <w:rPr>
          <w:i/>
        </w:rPr>
        <w:instrText xml:space="preserve">)"\l3 \n&gt; \* MERGEFORMAT </w:instrText>
      </w:r>
      <w:r w:rsidRPr="00B27FF8">
        <w:rPr>
          <w:i/>
        </w:rPr>
        <w:fldChar w:fldCharType="end"/>
      </w:r>
    </w:p>
    <w:p w14:paraId="458C2C04" w14:textId="77777777" w:rsidR="00507868" w:rsidRPr="00B27FF8" w:rsidRDefault="00507868" w:rsidP="00507868">
      <w:pPr>
        <w:rPr>
          <w:vanish/>
        </w:rPr>
      </w:pPr>
      <w:bookmarkStart w:id="3" w:name="PE"/>
      <w:r w:rsidRPr="00B27FF8">
        <w:rPr>
          <w:vanish/>
        </w:rPr>
        <w:t>PE759.963</w:t>
      </w:r>
      <w:bookmarkEnd w:id="3"/>
    </w:p>
    <w:p w14:paraId="576C9AE0" w14:textId="0C6C31F8" w:rsidR="00507868" w:rsidRPr="00B27FF8" w:rsidRDefault="00507868" w:rsidP="00CB3875">
      <w:pPr>
        <w:pStyle w:val="ATHeading3"/>
      </w:pPr>
      <w:bookmarkStart w:id="4" w:name="Sujet"/>
      <w:r w:rsidRPr="00B27FF8">
        <w:t>Decizia Parlamentului European de a nu formula obiecții la Regulamentul delegat al Comisiei din 13 martie 2024 de modificare a Regulamentului delegat (UE) 2020/760 al Comisiei în ceea ce privește unele dispoziții, în urma Acordului de liber schimb dintre Uniunea Europeană și Noua Zeelandă, și eliminarea unor dispoziții caduce referitoare la contingentul tarifar de export pentru lapte praf</w:t>
      </w:r>
      <w:bookmarkEnd w:id="4"/>
      <w:r w:rsidRPr="00B27FF8">
        <w:t xml:space="preserve"> </w:t>
      </w:r>
      <w:bookmarkStart w:id="5" w:name="References"/>
      <w:r w:rsidRPr="00B27FF8">
        <w:t>(C(2024)01499 – 2024/2677(DEA))</w:t>
      </w:r>
      <w:bookmarkStart w:id="6" w:name="_GoBack"/>
      <w:bookmarkEnd w:id="5"/>
      <w:bookmarkEnd w:id="6"/>
    </w:p>
    <w:p w14:paraId="7C7E78DC" w14:textId="77777777" w:rsidR="001B67C0" w:rsidRPr="00B27FF8" w:rsidRDefault="001B67C0" w:rsidP="001B67C0">
      <w:pPr>
        <w:pStyle w:val="EPComma"/>
      </w:pPr>
      <w:bookmarkStart w:id="7" w:name="TextBodyBegin"/>
      <w:bookmarkEnd w:id="7"/>
      <w:r w:rsidRPr="00B27FF8">
        <w:rPr>
          <w:i/>
          <w:iCs/>
        </w:rPr>
        <w:t>Parlamentul European</w:t>
      </w:r>
      <w:r w:rsidRPr="00B27FF8">
        <w:t>,</w:t>
      </w:r>
    </w:p>
    <w:p w14:paraId="1AEF88EF" w14:textId="77777777" w:rsidR="001B67C0" w:rsidRPr="00B27FF8" w:rsidRDefault="001B67C0" w:rsidP="001B67C0">
      <w:pPr>
        <w:pStyle w:val="NormalHanging12a"/>
      </w:pPr>
      <w:r w:rsidRPr="00B27FF8">
        <w:t>–</w:t>
      </w:r>
      <w:r w:rsidRPr="00B27FF8">
        <w:tab/>
        <w:t>având în vedere regulamentul delegat al Comisiei (C(2024)01499),</w:t>
      </w:r>
    </w:p>
    <w:p w14:paraId="7264F9C9" w14:textId="77777777" w:rsidR="001B67C0" w:rsidRPr="00B27FF8" w:rsidRDefault="001B67C0" w:rsidP="001B67C0">
      <w:pPr>
        <w:spacing w:after="240"/>
        <w:ind w:left="567" w:hanging="567"/>
      </w:pPr>
      <w:r w:rsidRPr="00B27FF8">
        <w:t>–</w:t>
      </w:r>
      <w:r w:rsidRPr="00B27FF8">
        <w:tab/>
        <w:t>având în vedere scrisoarea Comisiei din 13 martie 2024, care îi solicită Parlamentului să declare că nu va formula obiecții la regulamentul delegat,</w:t>
      </w:r>
    </w:p>
    <w:p w14:paraId="26CF805E" w14:textId="77777777" w:rsidR="001B67C0" w:rsidRPr="00B27FF8" w:rsidRDefault="001B67C0" w:rsidP="001B67C0">
      <w:pPr>
        <w:spacing w:after="240"/>
        <w:ind w:left="567" w:hanging="567"/>
      </w:pPr>
      <w:r w:rsidRPr="00B27FF8">
        <w:t>–</w:t>
      </w:r>
      <w:r w:rsidRPr="00B27FF8">
        <w:tab/>
        <w:t>având în vedere scrisoarea Comisiei pentru agricultură și dezvoltare rurală trimisă președintelui Conferinței președinților de comisie la 19 martie 2024,</w:t>
      </w:r>
    </w:p>
    <w:p w14:paraId="017C62CE" w14:textId="77777777" w:rsidR="001B67C0" w:rsidRPr="00B27FF8" w:rsidRDefault="001B67C0" w:rsidP="001B67C0">
      <w:pPr>
        <w:spacing w:after="240"/>
        <w:ind w:left="567" w:hanging="567"/>
      </w:pPr>
      <w:r w:rsidRPr="00B27FF8">
        <w:t>–</w:t>
      </w:r>
      <w:r w:rsidRPr="00B27FF8">
        <w:tab/>
        <w:t>având în vedere articolul 290 din Tratatul privind funcționarea Uniunii Europene,</w:t>
      </w:r>
    </w:p>
    <w:p w14:paraId="1BE72559" w14:textId="77777777" w:rsidR="001B67C0" w:rsidRPr="00B27FF8" w:rsidRDefault="001B67C0" w:rsidP="001B67C0">
      <w:pPr>
        <w:spacing w:after="240"/>
        <w:ind w:left="567" w:hanging="567"/>
      </w:pPr>
      <w:r w:rsidRPr="00B27FF8">
        <w:t>–</w:t>
      </w:r>
      <w:r w:rsidRPr="00B27FF8">
        <w:tab/>
        <w:t>având în vedere Regulamentul (UE) nr. 1308/2013 al Parlamentului European și al Consiliului din 17 decembrie 2013 de instituire a unei organizări comune a piețelor produselor agricole și de abrogare a Regulamentelor (CEE) nr. 922/72, (CEE) nr. 234/79, (CE) nr. 1037/2001 și (CE) nr. 1234/2007 ale Consiliului</w:t>
      </w:r>
      <w:r w:rsidRPr="00B27FF8">
        <w:rPr>
          <w:rStyle w:val="FootnoteReference"/>
        </w:rPr>
        <w:footnoteReference w:id="1"/>
      </w:r>
      <w:r w:rsidRPr="00B27FF8">
        <w:t xml:space="preserve">, în special articolul 186 și articolul 227 alineatul (5), </w:t>
      </w:r>
    </w:p>
    <w:p w14:paraId="0D9076C4" w14:textId="77777777" w:rsidR="001B67C0" w:rsidRPr="00B27FF8" w:rsidRDefault="001B67C0" w:rsidP="001B67C0">
      <w:pPr>
        <w:spacing w:after="240"/>
        <w:ind w:left="567" w:hanging="567"/>
      </w:pPr>
      <w:r w:rsidRPr="00B27FF8">
        <w:t>–</w:t>
      </w:r>
      <w:r w:rsidRPr="00B27FF8">
        <w:tab/>
        <w:t>având în vedere articolul 111 alineatul (6) din Regulamentul său de procedură,</w:t>
      </w:r>
    </w:p>
    <w:p w14:paraId="7A28FB5A" w14:textId="77777777" w:rsidR="001B67C0" w:rsidRPr="00B27FF8" w:rsidRDefault="001B67C0" w:rsidP="001B67C0">
      <w:pPr>
        <w:spacing w:after="240"/>
        <w:ind w:left="567" w:hanging="567"/>
      </w:pPr>
      <w:r w:rsidRPr="00B27FF8">
        <w:t>–</w:t>
      </w:r>
      <w:r w:rsidRPr="00B27FF8">
        <w:tab/>
        <w:t>având în vedere recomandarea de decizie a Comisiei pentru agricultură și dezvoltare rurală,</w:t>
      </w:r>
    </w:p>
    <w:p w14:paraId="113FB275" w14:textId="77777777" w:rsidR="008F64D9" w:rsidRPr="00B27FF8" w:rsidRDefault="008F64D9" w:rsidP="001B67C0">
      <w:pPr>
        <w:spacing w:before="120" w:after="120"/>
        <w:ind w:left="567" w:hanging="567"/>
      </w:pPr>
      <w:r w:rsidRPr="00B27FF8">
        <w:t>–</w:t>
      </w:r>
      <w:r w:rsidRPr="00B27FF8">
        <w:tab/>
        <w:t>având în vedere că nu a fost formulată nicio obiecție în termenul prevăzut la articolul 111 alineatul (6) liniuța a treia și a patra din Regulamentul său de procedură, termen care a expirat la 11 aprilie 2024,</w:t>
      </w:r>
    </w:p>
    <w:p w14:paraId="53ADED06" w14:textId="77777777" w:rsidR="001B67C0" w:rsidRPr="00B27FF8" w:rsidRDefault="001B67C0" w:rsidP="001B67C0">
      <w:pPr>
        <w:spacing w:before="120" w:after="120"/>
        <w:ind w:left="567" w:hanging="567"/>
        <w:rPr>
          <w:rFonts w:eastAsia="Calibri"/>
          <w:szCs w:val="22"/>
        </w:rPr>
      </w:pPr>
      <w:r w:rsidRPr="00B27FF8">
        <w:lastRenderedPageBreak/>
        <w:t>A.</w:t>
      </w:r>
      <w:r w:rsidRPr="00B27FF8">
        <w:tab/>
        <w:t>întrucât etapele procedurale ale Uniunii pentru punerea în aplicare a Acordului de liber schimb dintre Uniunea Europeană și Noua Zeelandă (denumit în continuare „acordul”) au fost finalizate prin publicarea Deciziei (UE) 2024/244 a Consiliului</w:t>
      </w:r>
      <w:r w:rsidRPr="00B27FF8">
        <w:rPr>
          <w:rStyle w:val="FootnoteReference"/>
          <w:rFonts w:eastAsia="Calibri"/>
          <w:szCs w:val="22"/>
        </w:rPr>
        <w:footnoteReference w:id="2"/>
      </w:r>
      <w:r w:rsidRPr="00B27FF8">
        <w:t xml:space="preserve"> în </w:t>
      </w:r>
      <w:r w:rsidRPr="00B27FF8">
        <w:rPr>
          <w:i/>
        </w:rPr>
        <w:t>Jurnalul Oficial al Uniunii Europene</w:t>
      </w:r>
      <w:r w:rsidRPr="00B27FF8">
        <w:t xml:space="preserve"> la 28 februarie 2024,</w:t>
      </w:r>
    </w:p>
    <w:p w14:paraId="526AD3B3" w14:textId="10F360F0" w:rsidR="001B67C0" w:rsidRPr="00B27FF8" w:rsidRDefault="001B67C0" w:rsidP="001B67C0">
      <w:pPr>
        <w:ind w:left="567" w:hanging="567"/>
      </w:pPr>
      <w:r w:rsidRPr="00B27FF8">
        <w:t>B.</w:t>
      </w:r>
      <w:r w:rsidRPr="00B27FF8">
        <w:tab/>
        <w:t xml:space="preserve">întrucât, potrivit celor mai recente informații primite, </w:t>
      </w:r>
      <w:r w:rsidR="008F64D9" w:rsidRPr="00B27FF8">
        <w:t>a fost</w:t>
      </w:r>
      <w:r w:rsidRPr="00B27FF8">
        <w:t xml:space="preserve"> probabil ca, în ceea ce privește Noua Zeelandă, legislația necesară pentru punerea în aplicare a acordului să fie adoptată până la sfârșitul lunii martie 2024, ceea ce ar permite intrarea în vigoare a acordului la 1 mai 2024;</w:t>
      </w:r>
    </w:p>
    <w:p w14:paraId="67484FAB" w14:textId="77777777" w:rsidR="001B67C0" w:rsidRPr="00B27FF8" w:rsidRDefault="001B67C0" w:rsidP="001B67C0">
      <w:pPr>
        <w:spacing w:before="120" w:after="120"/>
        <w:ind w:left="567" w:hanging="567"/>
        <w:rPr>
          <w:rFonts w:eastAsia="Calibri"/>
          <w:szCs w:val="22"/>
        </w:rPr>
      </w:pPr>
      <w:r w:rsidRPr="00B27FF8">
        <w:t>C.</w:t>
      </w:r>
      <w:r w:rsidRPr="00B27FF8">
        <w:tab/>
        <w:t>întrucât acordul introduce mai multe contingente tarifare noi și modifică unele contingente tarifare existente ale OMC specifice țării pentru produse originare din Noua Zeelandă, printre altele;</w:t>
      </w:r>
    </w:p>
    <w:p w14:paraId="5C254490" w14:textId="77777777" w:rsidR="001B67C0" w:rsidRPr="00B27FF8" w:rsidRDefault="001B67C0" w:rsidP="001B67C0">
      <w:pPr>
        <w:spacing w:before="120" w:after="120"/>
        <w:ind w:left="567" w:hanging="567"/>
        <w:rPr>
          <w:rFonts w:eastAsia="Calibri"/>
          <w:szCs w:val="22"/>
        </w:rPr>
      </w:pPr>
      <w:r w:rsidRPr="00B27FF8">
        <w:t>D.</w:t>
      </w:r>
      <w:r w:rsidRPr="00B27FF8">
        <w:tab/>
        <w:t>întrucât acele schimbări se vor reflecta în Regulamentul delegat (UE) 2020/760 al Comisiei</w:t>
      </w:r>
      <w:r w:rsidRPr="00B27FF8">
        <w:rPr>
          <w:rStyle w:val="FootnoteReference"/>
          <w:rFonts w:eastAsia="Calibri"/>
          <w:szCs w:val="22"/>
        </w:rPr>
        <w:footnoteReference w:id="3"/>
      </w:r>
      <w:r w:rsidRPr="00B27FF8">
        <w:t>, care completează Regulamentul (UE) nr. 1308/2013 în ceea ce privește normele referitoare la gestionarea contingentelor tarifare de import și de export pentru produsele agricole care fac obiectul licențelor;</w:t>
      </w:r>
    </w:p>
    <w:p w14:paraId="1CC4224E" w14:textId="77777777" w:rsidR="001B67C0" w:rsidRPr="00B27FF8" w:rsidRDefault="001B67C0" w:rsidP="001B67C0">
      <w:pPr>
        <w:spacing w:before="120" w:after="120"/>
        <w:ind w:left="567" w:hanging="567"/>
        <w:rPr>
          <w:rFonts w:eastAsia="Calibri"/>
          <w:szCs w:val="22"/>
        </w:rPr>
      </w:pPr>
      <w:r w:rsidRPr="00B27FF8">
        <w:t>E.</w:t>
      </w:r>
      <w:r w:rsidRPr="00B27FF8">
        <w:tab/>
        <w:t>întrucât Regulamentul delegat (UE) 2020/760 ar trebui, prin urmare, modificat până la data intrării în vigoare a acordului,</w:t>
      </w:r>
    </w:p>
    <w:p w14:paraId="2B64C395" w14:textId="63DA91B4" w:rsidR="001B67C0" w:rsidRPr="00B27FF8" w:rsidRDefault="001B67C0" w:rsidP="001B67C0">
      <w:pPr>
        <w:spacing w:after="240"/>
        <w:ind w:left="567" w:hanging="567"/>
      </w:pPr>
      <w:r w:rsidRPr="00B27FF8">
        <w:t>1.</w:t>
      </w:r>
      <w:r w:rsidRPr="00B27FF8">
        <w:tab/>
        <w:t>declară că nu formulează obiecți</w:t>
      </w:r>
      <w:r w:rsidR="008F64D9" w:rsidRPr="00B27FF8">
        <w:t xml:space="preserve">i </w:t>
      </w:r>
      <w:r w:rsidRPr="00B27FF8">
        <w:t>la regulamentul delegat;</w:t>
      </w:r>
    </w:p>
    <w:p w14:paraId="53AFFC46" w14:textId="77777777" w:rsidR="001B67C0" w:rsidRPr="00B27FF8" w:rsidRDefault="001B67C0" w:rsidP="001B67C0">
      <w:pPr>
        <w:tabs>
          <w:tab w:val="left" w:pos="567"/>
        </w:tabs>
      </w:pPr>
      <w:r w:rsidRPr="00B27FF8">
        <w:t>2.</w:t>
      </w:r>
      <w:r w:rsidRPr="00B27FF8">
        <w:tab/>
        <w:t>încredințează Președintei sarcina de a transmite prezenta decizie Consiliului și Comisiei.</w:t>
      </w:r>
    </w:p>
    <w:sectPr w:rsidR="001B67C0" w:rsidRPr="00B27FF8" w:rsidSect="00EE2E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97725" w14:textId="77777777" w:rsidR="00507868" w:rsidRPr="00EE2EE1" w:rsidRDefault="00507868">
      <w:r w:rsidRPr="00EE2EE1">
        <w:separator/>
      </w:r>
    </w:p>
  </w:endnote>
  <w:endnote w:type="continuationSeparator" w:id="0">
    <w:p w14:paraId="60CBF5D2" w14:textId="77777777" w:rsidR="00507868" w:rsidRPr="00EE2EE1" w:rsidRDefault="00507868">
      <w:r w:rsidRPr="00EE2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D7290" w14:textId="77777777" w:rsidR="00064002" w:rsidRPr="00EE2E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85092" w14:textId="77777777" w:rsidR="00064002" w:rsidRPr="00EE2E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098AB" w14:textId="77777777" w:rsidR="00064002" w:rsidRPr="00EE2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6B548" w14:textId="77777777" w:rsidR="00507868" w:rsidRPr="00EE2EE1" w:rsidRDefault="00507868">
      <w:r w:rsidRPr="00EE2EE1">
        <w:separator/>
      </w:r>
    </w:p>
  </w:footnote>
  <w:footnote w:type="continuationSeparator" w:id="0">
    <w:p w14:paraId="1118EB5F" w14:textId="77777777" w:rsidR="00507868" w:rsidRPr="00EE2EE1" w:rsidRDefault="00507868">
      <w:r w:rsidRPr="00EE2EE1">
        <w:continuationSeparator/>
      </w:r>
    </w:p>
  </w:footnote>
  <w:footnote w:id="1">
    <w:p w14:paraId="1AA95E15" w14:textId="77777777" w:rsidR="001B67C0" w:rsidRPr="00EE2EE1" w:rsidRDefault="001B67C0" w:rsidP="00EE2EE1">
      <w:pPr>
        <w:pStyle w:val="FootnoteText"/>
        <w:ind w:left="567" w:hanging="567"/>
        <w:rPr>
          <w:sz w:val="24"/>
          <w:lang w:val="ro-RO"/>
        </w:rPr>
      </w:pPr>
      <w:r w:rsidRPr="00EE2EE1">
        <w:rPr>
          <w:rStyle w:val="FootnoteReference"/>
          <w:sz w:val="24"/>
          <w:lang w:val="ro-RO"/>
        </w:rPr>
        <w:footnoteRef/>
      </w:r>
      <w:r w:rsidR="00EE2EE1" w:rsidRPr="00EE2EE1">
        <w:rPr>
          <w:sz w:val="24"/>
          <w:lang w:val="ro-RO"/>
        </w:rPr>
        <w:t xml:space="preserve"> </w:t>
      </w:r>
      <w:r w:rsidR="00EE2EE1" w:rsidRPr="00EE2EE1">
        <w:rPr>
          <w:sz w:val="24"/>
          <w:lang w:val="ro-RO"/>
        </w:rPr>
        <w:tab/>
      </w:r>
      <w:r w:rsidRPr="00EE2EE1">
        <w:rPr>
          <w:sz w:val="24"/>
          <w:lang w:val="ro-RO"/>
        </w:rPr>
        <w:t>JO L 347, 20.12.2013, p. 671.</w:t>
      </w:r>
    </w:p>
  </w:footnote>
  <w:footnote w:id="2">
    <w:p w14:paraId="6E8B05D8" w14:textId="77777777" w:rsidR="001B67C0" w:rsidRPr="00EE2EE1" w:rsidRDefault="001B67C0" w:rsidP="00EE2EE1">
      <w:pPr>
        <w:pStyle w:val="FootnoteText"/>
        <w:ind w:left="567" w:hanging="567"/>
        <w:rPr>
          <w:sz w:val="24"/>
          <w:lang w:val="ro-RO"/>
        </w:rPr>
      </w:pPr>
      <w:r w:rsidRPr="00EE2EE1">
        <w:rPr>
          <w:rStyle w:val="FootnoteReference"/>
          <w:sz w:val="24"/>
          <w:lang w:val="ro-RO"/>
        </w:rPr>
        <w:footnoteRef/>
      </w:r>
      <w:r w:rsidR="00EE2EE1" w:rsidRPr="00EE2EE1">
        <w:rPr>
          <w:sz w:val="24"/>
          <w:lang w:val="ro-RO"/>
        </w:rPr>
        <w:t xml:space="preserve"> </w:t>
      </w:r>
      <w:r w:rsidR="00EE2EE1" w:rsidRPr="00EE2EE1">
        <w:rPr>
          <w:sz w:val="24"/>
          <w:lang w:val="ro-RO"/>
        </w:rPr>
        <w:tab/>
      </w:r>
      <w:r w:rsidRPr="00EE2EE1">
        <w:rPr>
          <w:sz w:val="24"/>
          <w:lang w:val="ro-RO"/>
        </w:rPr>
        <w:t>Decizia (UE) 2024/244 a Consiliului din 27 noiembrie 2023 privind încheierea, în numele Uniunii, a Acordului de liber schimb dintre Uniunea Europeană și Noua Zeelandă (JO L 244, 28.2.2024, p. 1).</w:t>
      </w:r>
    </w:p>
  </w:footnote>
  <w:footnote w:id="3">
    <w:p w14:paraId="666C34D7" w14:textId="77777777" w:rsidR="001B67C0" w:rsidRPr="00EE2EE1" w:rsidRDefault="001B67C0" w:rsidP="00EE2EE1">
      <w:pPr>
        <w:pStyle w:val="FootnoteText"/>
        <w:ind w:left="567" w:hanging="567"/>
        <w:rPr>
          <w:sz w:val="24"/>
          <w:lang w:val="ro-RO"/>
        </w:rPr>
      </w:pPr>
      <w:r w:rsidRPr="00EE2EE1">
        <w:rPr>
          <w:rStyle w:val="FootnoteReference"/>
          <w:sz w:val="24"/>
          <w:lang w:val="ro-RO"/>
        </w:rPr>
        <w:footnoteRef/>
      </w:r>
      <w:r w:rsidR="00EE2EE1" w:rsidRPr="00EE2EE1">
        <w:rPr>
          <w:sz w:val="24"/>
          <w:lang w:val="ro-RO"/>
        </w:rPr>
        <w:t xml:space="preserve"> </w:t>
      </w:r>
      <w:r w:rsidR="00EE2EE1" w:rsidRPr="00EE2EE1">
        <w:rPr>
          <w:sz w:val="24"/>
          <w:lang w:val="ro-RO"/>
        </w:rPr>
        <w:tab/>
      </w:r>
      <w:r w:rsidRPr="00EE2EE1">
        <w:rPr>
          <w:sz w:val="24"/>
          <w:lang w:val="ro-RO"/>
        </w:rPr>
        <w:t>Regulamentul delegat (UE) 2020/760 al Comisiei din 17 decembrie 2019 de completare a Regulamentului (UE) nr. 1308/2013 al Parlamentului European și al Consiliului în ceea ce privește normele referitoare la gestionarea contingentelor tarifare de import și de export care fac obiectul licențelor și de completare a Regulamentului (UE) nr. 1306/2013 al Parlamentului European și al Consiliului în ceea ce privește constituirea garanțiilor în cadrul gestionării contingentelor tarifare (JO L 185, 12.6.2020,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4841E" w14:textId="77777777" w:rsidR="00064002" w:rsidRPr="00EE2E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2FFBE" w14:textId="77777777" w:rsidR="00064002" w:rsidRPr="00EE2E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297D" w14:textId="77777777" w:rsidR="00064002" w:rsidRPr="00EE2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RO"/>
    <w:docVar w:name="dvnumam" w:val="0"/>
    <w:docVar w:name="dvpe" w:val="759.963"/>
    <w:docVar w:name="dvtitre" w:val="Decizia Parlamentului European din aprilie 2024 privind de a nu formula obiecții la Regulamentul delegat al Comisiei din 13 martie 2024 de modificare a Regulamentului delegat (UE) 2020/760 al Comisiei în ceea ce privește unele dispoziții, în urma Acordului de liber schimb dintre Uniunea Europeană și Noua Zeelandă, și eliminarea unor dispoziții caduce referitoare la contingentul tarifar de export pentru lapte praf(C(2024)01499 – 2024/2677(DEA))"/>
  </w:docVars>
  <w:rsids>
    <w:rsidRoot w:val="00507868"/>
    <w:rsid w:val="00002272"/>
    <w:rsid w:val="00064002"/>
    <w:rsid w:val="000677B9"/>
    <w:rsid w:val="000831BA"/>
    <w:rsid w:val="000A42CC"/>
    <w:rsid w:val="000E7DD9"/>
    <w:rsid w:val="0010095E"/>
    <w:rsid w:val="00125B37"/>
    <w:rsid w:val="00187494"/>
    <w:rsid w:val="001B67C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868"/>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E83"/>
    <w:rsid w:val="008F64D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FF8"/>
    <w:rsid w:val="00B558F0"/>
    <w:rsid w:val="00BD48FE"/>
    <w:rsid w:val="00BD7BD8"/>
    <w:rsid w:val="00BE6ADC"/>
    <w:rsid w:val="00C05BFE"/>
    <w:rsid w:val="00C23CD4"/>
    <w:rsid w:val="00C61C0C"/>
    <w:rsid w:val="00C941CB"/>
    <w:rsid w:val="00CB387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EE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AF002"/>
  <w15:chartTrackingRefBased/>
  <w15:docId w15:val="{340C0B43-2008-4A36-AB7F-083CF184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67C0"/>
    <w:pPr>
      <w:spacing w:before="480" w:after="240"/>
    </w:pPr>
  </w:style>
  <w:style w:type="paragraph" w:customStyle="1" w:styleId="NormalHanging12a">
    <w:name w:val="NormalHanging12a"/>
    <w:basedOn w:val="Normal"/>
    <w:rsid w:val="001B67C0"/>
    <w:pPr>
      <w:spacing w:after="240"/>
      <w:ind w:left="567" w:hanging="567"/>
    </w:pPr>
  </w:style>
  <w:style w:type="character" w:styleId="CommentReference">
    <w:name w:val="annotation reference"/>
    <w:basedOn w:val="DefaultParagraphFont"/>
    <w:rsid w:val="008F64D9"/>
    <w:rPr>
      <w:sz w:val="16"/>
      <w:szCs w:val="16"/>
    </w:rPr>
  </w:style>
  <w:style w:type="paragraph" w:styleId="CommentText">
    <w:name w:val="annotation text"/>
    <w:basedOn w:val="Normal"/>
    <w:link w:val="CommentTextChar"/>
    <w:rsid w:val="008F64D9"/>
    <w:rPr>
      <w:sz w:val="20"/>
    </w:rPr>
  </w:style>
  <w:style w:type="character" w:customStyle="1" w:styleId="CommentTextChar">
    <w:name w:val="Comment Text Char"/>
    <w:basedOn w:val="DefaultParagraphFont"/>
    <w:link w:val="CommentText"/>
    <w:rsid w:val="008F64D9"/>
    <w:rPr>
      <w:lang w:val="ro-RO"/>
    </w:rPr>
  </w:style>
  <w:style w:type="paragraph" w:styleId="BalloonText">
    <w:name w:val="Balloon Text"/>
    <w:basedOn w:val="Normal"/>
    <w:link w:val="BalloonTextChar"/>
    <w:rsid w:val="008F64D9"/>
    <w:rPr>
      <w:rFonts w:ascii="Segoe UI" w:hAnsi="Segoe UI" w:cs="Segoe UI"/>
      <w:sz w:val="18"/>
      <w:szCs w:val="18"/>
    </w:rPr>
  </w:style>
  <w:style w:type="character" w:customStyle="1" w:styleId="BalloonTextChar">
    <w:name w:val="Balloon Text Char"/>
    <w:basedOn w:val="DefaultParagraphFont"/>
    <w:link w:val="BalloonText"/>
    <w:rsid w:val="008F64D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4A775-D646-49D8-BF71-CF5D67C8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472</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3</cp:revision>
  <cp:lastPrinted>2004-11-19T15:42:00Z</cp:lastPrinted>
  <dcterms:created xsi:type="dcterms:W3CDTF">2024-04-22T15:50:00Z</dcterms:created>
  <dcterms:modified xsi:type="dcterms:W3CDTF">2024-04-22T16:33:00Z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B9-0200/2024</vt:lpwstr>
  </property>
  <property fmtid="{D5CDD505-2E9C-101B-9397-08002B2CF9AE}" pid="4" name="&lt;Type&gt;">
    <vt:lpwstr>RR</vt:lpwstr>
  </property>
</Properties>
</file>