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541CE" w:rsidTr="0010095E">
        <w:trPr>
          <w:trHeight w:hRule="exact" w:val="1418"/>
        </w:trPr>
        <w:tc>
          <w:tcPr>
            <w:tcW w:w="6804" w:type="dxa"/>
            <w:shd w:val="clear" w:color="auto" w:fill="auto"/>
            <w:vAlign w:val="center"/>
          </w:tcPr>
          <w:p w:rsidR="00751A4A" w:rsidRPr="008541CE" w:rsidRDefault="00D263C3" w:rsidP="0010095E">
            <w:pPr>
              <w:pStyle w:val="EPName"/>
            </w:pPr>
            <w:r w:rsidRPr="008541CE">
              <w:t>Европейски</w:t>
            </w:r>
            <w:r w:rsidR="00A86ACE" w:rsidRPr="008541CE">
              <w:t xml:space="preserve"> парламент</w:t>
            </w:r>
          </w:p>
          <w:p w:rsidR="00751A4A" w:rsidRPr="008541CE" w:rsidRDefault="00D263C3" w:rsidP="00756632">
            <w:pPr>
              <w:pStyle w:val="EPTerm"/>
              <w:rPr>
                <w:rStyle w:val="HideTWBExt"/>
                <w:noProof w:val="0"/>
                <w:vanish w:val="0"/>
                <w:color w:val="auto"/>
              </w:rPr>
            </w:pPr>
            <w:r>
              <w:t>2019 – </w:t>
            </w:r>
            <w:r w:rsidR="00817416" w:rsidRPr="008541CE">
              <w:t>2024</w:t>
            </w:r>
          </w:p>
        </w:tc>
        <w:tc>
          <w:tcPr>
            <w:tcW w:w="2268" w:type="dxa"/>
            <w:shd w:val="clear" w:color="auto" w:fill="auto"/>
          </w:tcPr>
          <w:p w:rsidR="00751A4A" w:rsidRPr="008541CE" w:rsidRDefault="00187494" w:rsidP="0010095E">
            <w:pPr>
              <w:pStyle w:val="EPLogo"/>
            </w:pPr>
            <w:r w:rsidRPr="008541C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541CE" w:rsidRDefault="00D058B8" w:rsidP="004C5D52">
      <w:pPr>
        <w:pStyle w:val="LineTop"/>
      </w:pPr>
    </w:p>
    <w:p w:rsidR="00680577" w:rsidRPr="008541CE" w:rsidRDefault="00A86ACE" w:rsidP="00680577">
      <w:pPr>
        <w:pStyle w:val="EPBodyTA1"/>
      </w:pPr>
      <w:r w:rsidRPr="008541CE">
        <w:t>ПРИЕТИ ТЕКСТОВЕ</w:t>
      </w:r>
    </w:p>
    <w:p w:rsidR="00D058B8" w:rsidRPr="008541CE" w:rsidRDefault="00D058B8" w:rsidP="00D058B8">
      <w:pPr>
        <w:pStyle w:val="LineBottom"/>
      </w:pPr>
    </w:p>
    <w:p w:rsidR="00A86ACE" w:rsidRPr="00B97F92" w:rsidRDefault="00A86ACE" w:rsidP="00A86ACE">
      <w:pPr>
        <w:pStyle w:val="ATHeading1"/>
        <w:rPr>
          <w:lang w:val="en-GB"/>
        </w:rPr>
      </w:pPr>
      <w:bookmarkStart w:id="0" w:name="TANumber"/>
      <w:r w:rsidRPr="008541CE">
        <w:t>P9_TA(2024)0</w:t>
      </w:r>
      <w:r w:rsidR="00B97F92">
        <w:rPr>
          <w:lang w:val="en-GB"/>
        </w:rPr>
        <w:t>288</w:t>
      </w:r>
      <w:bookmarkEnd w:id="0"/>
    </w:p>
    <w:p w:rsidR="00A86ACE" w:rsidRPr="008541CE" w:rsidRDefault="00A86ACE" w:rsidP="00A86ACE">
      <w:pPr>
        <w:pStyle w:val="ATHeading2"/>
      </w:pPr>
      <w:bookmarkStart w:id="1" w:name="title"/>
      <w:r w:rsidRPr="008541CE">
        <w:t>Освобождаване от отговорност във връзка с изпълнението на бюджета за 2022 г.: Общ бюджет на ЕС – Европейски съвет и Съвет</w:t>
      </w:r>
      <w:bookmarkEnd w:id="1"/>
    </w:p>
    <w:p w:rsidR="00A86ACE" w:rsidRPr="008541CE" w:rsidRDefault="00A86ACE" w:rsidP="00A86ACE">
      <w:pPr>
        <w:rPr>
          <w:i/>
          <w:vanish/>
        </w:rPr>
      </w:pPr>
      <w:r w:rsidRPr="008541CE">
        <w:rPr>
          <w:i/>
        </w:rPr>
        <w:fldChar w:fldCharType="begin"/>
      </w:r>
      <w:r w:rsidRPr="008541CE">
        <w:rPr>
          <w:i/>
        </w:rPr>
        <w:instrText xml:space="preserve"> TC"(</w:instrText>
      </w:r>
      <w:bookmarkStart w:id="2" w:name="DocNumber"/>
      <w:r w:rsidRPr="008541CE">
        <w:rPr>
          <w:i/>
        </w:rPr>
        <w:instrText>A9-0071/2024</w:instrText>
      </w:r>
      <w:bookmarkEnd w:id="2"/>
      <w:r w:rsidRPr="008541CE">
        <w:rPr>
          <w:i/>
        </w:rPr>
        <w:instrText xml:space="preserve"> - Докладчик: Люк </w:instrText>
      </w:r>
      <w:proofErr w:type="spellStart"/>
      <w:r w:rsidRPr="008541CE">
        <w:rPr>
          <w:i/>
        </w:rPr>
        <w:instrText>Минг</w:instrText>
      </w:r>
      <w:proofErr w:type="spellEnd"/>
      <w:r w:rsidRPr="008541CE">
        <w:rPr>
          <w:i/>
        </w:rPr>
        <w:instrText xml:space="preserve"> </w:instrText>
      </w:r>
      <w:proofErr w:type="spellStart"/>
      <w:r w:rsidRPr="008541CE">
        <w:rPr>
          <w:i/>
        </w:rPr>
        <w:instrText>Фланаган</w:instrText>
      </w:r>
      <w:proofErr w:type="spellEnd"/>
      <w:r w:rsidRPr="008541CE">
        <w:rPr>
          <w:i/>
        </w:rPr>
        <w:instrText xml:space="preserve">)"\l3 \n&gt; \* MERGEFORMAT </w:instrText>
      </w:r>
      <w:r w:rsidRPr="008541CE">
        <w:rPr>
          <w:i/>
        </w:rPr>
        <w:fldChar w:fldCharType="end"/>
      </w:r>
    </w:p>
    <w:p w:rsidR="00A86ACE" w:rsidRPr="008541CE" w:rsidRDefault="00A86ACE" w:rsidP="00A86ACE">
      <w:pPr>
        <w:rPr>
          <w:vanish/>
        </w:rPr>
      </w:pPr>
      <w:bookmarkStart w:id="3" w:name="Commission"/>
      <w:r w:rsidRPr="008541CE">
        <w:rPr>
          <w:vanish/>
        </w:rPr>
        <w:t>Комисия по бюджетен контрол</w:t>
      </w:r>
      <w:bookmarkEnd w:id="3"/>
    </w:p>
    <w:p w:rsidR="00A86ACE" w:rsidRPr="008541CE" w:rsidRDefault="00A86ACE" w:rsidP="00A86ACE">
      <w:pPr>
        <w:rPr>
          <w:vanish/>
        </w:rPr>
      </w:pPr>
      <w:bookmarkStart w:id="4" w:name="PE"/>
      <w:r w:rsidRPr="008541CE">
        <w:rPr>
          <w:vanish/>
        </w:rPr>
        <w:t>PE753.479</w:t>
      </w:r>
      <w:bookmarkEnd w:id="4"/>
    </w:p>
    <w:p w:rsidR="00A86ACE" w:rsidRPr="008541CE" w:rsidRDefault="00D263C3" w:rsidP="00D263C3">
      <w:pPr>
        <w:pStyle w:val="ATHeading3"/>
      </w:pPr>
      <w:bookmarkStart w:id="5" w:name="Sujet"/>
      <w:r>
        <w:t xml:space="preserve">1. </w:t>
      </w:r>
      <w:r w:rsidR="00A86ACE" w:rsidRPr="008541CE">
        <w:t xml:space="preserve">Решение на Европейския парламент от </w:t>
      </w:r>
      <w:r w:rsidR="006F06C3">
        <w:t>2</w:t>
      </w:r>
      <w:r w:rsidR="00B97F92">
        <w:rPr>
          <w:lang w:val="en-GB"/>
        </w:rPr>
        <w:t>3</w:t>
      </w:r>
      <w:r>
        <w:t xml:space="preserve"> април</w:t>
      </w:r>
      <w:r w:rsidRPr="008541CE">
        <w:t xml:space="preserve"> </w:t>
      </w:r>
      <w:r w:rsidR="00A86ACE" w:rsidRPr="008541CE">
        <w:t>2024 г. относно освобождаването от отговорност във връзка с изпълнението на общия бюджет на Европейския съюз за финансовата 2022 година, раздел II – Европейски съвет и Съвет</w:t>
      </w:r>
      <w:bookmarkEnd w:id="5"/>
      <w:r w:rsidR="00A86ACE" w:rsidRPr="008541CE">
        <w:t xml:space="preserve"> </w:t>
      </w:r>
      <w:bookmarkStart w:id="6" w:name="References"/>
      <w:r w:rsidR="00A86ACE" w:rsidRPr="008541CE">
        <w:t>(2023/2131(DEC))</w:t>
      </w:r>
      <w:bookmarkEnd w:id="6"/>
    </w:p>
    <w:p w:rsidR="0019743A" w:rsidRPr="008541CE" w:rsidRDefault="0019743A" w:rsidP="0019743A">
      <w:pPr>
        <w:pStyle w:val="EPComma"/>
      </w:pPr>
      <w:bookmarkStart w:id="7" w:name="TextBodyBegin"/>
      <w:bookmarkEnd w:id="7"/>
      <w:r w:rsidRPr="008541CE">
        <w:rPr>
          <w:i/>
        </w:rPr>
        <w:t>Европейският парламент</w:t>
      </w:r>
      <w:r w:rsidRPr="008541CE">
        <w:t>,</w:t>
      </w:r>
    </w:p>
    <w:p w:rsidR="0019743A" w:rsidRPr="008541CE" w:rsidRDefault="0019743A" w:rsidP="0019743A">
      <w:pPr>
        <w:pStyle w:val="NormalHanging12a"/>
      </w:pPr>
      <w:r w:rsidRPr="008541CE">
        <w:t>–</w:t>
      </w:r>
      <w:r w:rsidRPr="008541CE">
        <w:tab/>
        <w:t>като взе предвид общия бюджет на Европейския съюз за финансовата 2022 година</w:t>
      </w:r>
      <w:r w:rsidRPr="008541CE">
        <w:rPr>
          <w:rStyle w:val="FootnoteReference"/>
        </w:rPr>
        <w:footnoteReference w:id="1"/>
      </w:r>
      <w:r w:rsidRPr="008541CE">
        <w:t>,</w:t>
      </w:r>
    </w:p>
    <w:p w:rsidR="0019743A" w:rsidRPr="008541CE" w:rsidRDefault="0019743A" w:rsidP="0019743A">
      <w:pPr>
        <w:pStyle w:val="NormalHanging12a"/>
      </w:pPr>
      <w:r w:rsidRPr="008541CE">
        <w:t>–</w:t>
      </w:r>
      <w:r w:rsidRPr="008541CE">
        <w:tab/>
        <w:t>като взе предвид консолидираните годишни отчети на Европейския съюз за финансовата 2022 година (COM(2023)0391 – C9</w:t>
      </w:r>
      <w:r w:rsidRPr="008541CE">
        <w:noBreakHyphen/>
        <w:t>0250/2023)</w:t>
      </w:r>
      <w:r w:rsidRPr="008541CE">
        <w:rPr>
          <w:rStyle w:val="FootnoteReference"/>
        </w:rPr>
        <w:footnoteReference w:id="2"/>
      </w:r>
      <w:r w:rsidRPr="008541CE">
        <w:t>,</w:t>
      </w:r>
    </w:p>
    <w:p w:rsidR="0019743A" w:rsidRPr="008541CE" w:rsidRDefault="0019743A" w:rsidP="0019743A">
      <w:pPr>
        <w:pStyle w:val="NormalHanging12a"/>
      </w:pPr>
      <w:r w:rsidRPr="008541CE">
        <w:t>–</w:t>
      </w:r>
      <w:r w:rsidRPr="008541CE">
        <w:tab/>
        <w:t>като взе предвид годишния доклад на Съвета пред органа по освобождаване от отговорност относно вътрешните одити, осъществени през 2022 г.,</w:t>
      </w:r>
    </w:p>
    <w:p w:rsidR="0019743A" w:rsidRPr="008541CE" w:rsidRDefault="0019743A" w:rsidP="0019743A">
      <w:pPr>
        <w:pStyle w:val="NormalHanging12a"/>
      </w:pPr>
      <w:r w:rsidRPr="008541CE">
        <w:t>–</w:t>
      </w:r>
      <w:r w:rsidRPr="008541CE">
        <w:tab/>
        <w:t>като взе предвид годишния доклад на Сметната палата относно изпълнението на бюджета за финансовата 2022 година, придружен от отговорите на институциите</w:t>
      </w:r>
      <w:r w:rsidRPr="008541CE">
        <w:rPr>
          <w:rStyle w:val="FootnoteReference"/>
        </w:rPr>
        <w:footnoteReference w:id="3"/>
      </w:r>
      <w:r w:rsidRPr="008541CE">
        <w:t>,</w:t>
      </w:r>
    </w:p>
    <w:p w:rsidR="0019743A" w:rsidRPr="008541CE" w:rsidRDefault="0019743A" w:rsidP="0019743A">
      <w:pPr>
        <w:pStyle w:val="NormalHanging12a"/>
      </w:pPr>
      <w:r w:rsidRPr="008541CE">
        <w:t>–</w:t>
      </w:r>
      <w:r w:rsidRPr="008541CE">
        <w:tab/>
        <w:t>като взе предвид декларацията за достоверност</w:t>
      </w:r>
      <w:r w:rsidRPr="008541CE">
        <w:rPr>
          <w:rStyle w:val="FootnoteReference"/>
        </w:rPr>
        <w:footnoteReference w:id="4"/>
      </w:r>
      <w:r w:rsidRPr="008541CE">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19743A" w:rsidRPr="008541CE" w:rsidRDefault="0019743A" w:rsidP="0019743A">
      <w:pPr>
        <w:pStyle w:val="NormalHanging12a"/>
      </w:pPr>
      <w:r w:rsidRPr="008541CE">
        <w:t>–</w:t>
      </w:r>
      <w:r w:rsidRPr="008541CE">
        <w:tab/>
        <w:t>като взе предвид член 314, параграф 10 и членове 317, 318 и 319 от Договора за функционирането на Европейския съюз,</w:t>
      </w:r>
    </w:p>
    <w:p w:rsidR="0019743A" w:rsidRPr="008541CE" w:rsidRDefault="0019743A" w:rsidP="0019743A">
      <w:pPr>
        <w:pStyle w:val="NormalHanging12a"/>
      </w:pPr>
      <w:r w:rsidRPr="008541CE">
        <w:t>–</w:t>
      </w:r>
      <w:r w:rsidRPr="008541CE">
        <w:tab/>
        <w:t xml:space="preserve">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w:t>
      </w:r>
      <w:r w:rsidRPr="008541CE">
        <w:lastRenderedPageBreak/>
        <w:t>№ 1301/2013, (ЕС) № 1303/2013, (ЕС) № 1304/2013, (ЕС) № 1309/2013, (ЕС) № 1316/2013, (ЕС) № 223/2014 и (ЕС) № 283/2014 и на Решение № 541/2014/ЕС и за отмяна на Регламент (ЕС, Евратом) № 966/2012</w:t>
      </w:r>
      <w:r w:rsidRPr="008541CE">
        <w:rPr>
          <w:rStyle w:val="FootnoteReference"/>
        </w:rPr>
        <w:footnoteReference w:id="5"/>
      </w:r>
      <w:r w:rsidRPr="008541CE">
        <w:t>, и по-специално членове 59, 118, 260, 261 и 262 от него,</w:t>
      </w:r>
    </w:p>
    <w:p w:rsidR="0019743A" w:rsidRPr="008541CE" w:rsidRDefault="0019743A" w:rsidP="0019743A">
      <w:pPr>
        <w:pStyle w:val="NormalHanging12a"/>
      </w:pPr>
      <w:r w:rsidRPr="008541CE">
        <w:t>–</w:t>
      </w:r>
      <w:r w:rsidRPr="008541CE">
        <w:tab/>
        <w:t>като взе предвид член 100 и приложение V към своя Правилник за дейността,</w:t>
      </w:r>
    </w:p>
    <w:p w:rsidR="0019743A" w:rsidRPr="008541CE" w:rsidRDefault="0019743A" w:rsidP="0019743A">
      <w:pPr>
        <w:pStyle w:val="NormalHanging12a"/>
      </w:pPr>
      <w:r w:rsidRPr="008541CE">
        <w:t>–</w:t>
      </w:r>
      <w:r w:rsidRPr="008541CE">
        <w:tab/>
        <w:t>като взе предвид писмото на комисията по конституционни въпроси,</w:t>
      </w:r>
    </w:p>
    <w:p w:rsidR="0019743A" w:rsidRPr="008541CE" w:rsidRDefault="0019743A" w:rsidP="0019743A">
      <w:pPr>
        <w:pStyle w:val="NormalHanging12a"/>
      </w:pPr>
      <w:r w:rsidRPr="008541CE">
        <w:t>–</w:t>
      </w:r>
      <w:r w:rsidRPr="008541CE">
        <w:tab/>
        <w:t>като взе предвид доклада на комисията по бюджетен контрол (A9-0071/2024),</w:t>
      </w:r>
    </w:p>
    <w:p w:rsidR="0019743A" w:rsidRPr="008541CE" w:rsidRDefault="0019743A" w:rsidP="0019743A">
      <w:pPr>
        <w:pStyle w:val="NormalHanging12a"/>
      </w:pPr>
      <w:r w:rsidRPr="008541CE">
        <w:t>1.</w:t>
      </w:r>
      <w:r w:rsidRPr="008541CE">
        <w:tab/>
        <w:t>отсрочва своето решение за освобождаване от отговорност на генералния секретар на Съвета във връзка с изпълнението на бюджета на Европейския съвет и Съвета за финансовата 2022 година;</w:t>
      </w:r>
    </w:p>
    <w:p w:rsidR="0019743A" w:rsidRPr="008541CE" w:rsidRDefault="0019743A" w:rsidP="0019743A">
      <w:pPr>
        <w:pStyle w:val="NormalHanging12a"/>
      </w:pPr>
      <w:r w:rsidRPr="008541CE">
        <w:t>2.</w:t>
      </w:r>
      <w:r w:rsidRPr="008541CE">
        <w:tab/>
        <w:t>представя своите забележки в резолюцията по-долу;</w:t>
      </w:r>
    </w:p>
    <w:p w:rsidR="0019743A" w:rsidRPr="008541CE" w:rsidRDefault="0019743A" w:rsidP="0019743A">
      <w:pPr>
        <w:pStyle w:val="NormalHanging12a"/>
      </w:pPr>
      <w:r w:rsidRPr="008541CE">
        <w:t>3.</w:t>
      </w:r>
      <w:r w:rsidRPr="008541CE">
        <w:tab/>
        <w:t xml:space="preserve">възлага на своя председател да предаде настоящото решение, както и резолюцията, която е неразделна част от него, на Европейския съвет, Съвета, Комисията и Сметната палата и да осигури публикуването им в </w:t>
      </w:r>
      <w:r w:rsidRPr="008541CE">
        <w:rPr>
          <w:i/>
        </w:rPr>
        <w:t>Официален вестник на Европейския съюз</w:t>
      </w:r>
      <w:r w:rsidRPr="008541CE">
        <w:t xml:space="preserve"> (серия L).</w:t>
      </w:r>
    </w:p>
    <w:p w:rsidR="0019743A" w:rsidRPr="008541CE" w:rsidRDefault="0019743A" w:rsidP="0019743A"/>
    <w:p w:rsidR="0019743A" w:rsidRPr="008541CE" w:rsidRDefault="0019743A" w:rsidP="0019743A">
      <w:pPr>
        <w:pStyle w:val="PageHeading"/>
        <w:sectPr w:rsidR="0019743A" w:rsidRPr="008541CE" w:rsidSect="008541CE">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19743A" w:rsidRPr="008541CE" w:rsidRDefault="0019743A" w:rsidP="00D263C3">
      <w:pPr>
        <w:pStyle w:val="ATHeading3"/>
      </w:pPr>
      <w:bookmarkStart w:id="8" w:name="_Toc161819250"/>
      <w:r w:rsidRPr="008541CE">
        <w:lastRenderedPageBreak/>
        <w:t xml:space="preserve">2. </w:t>
      </w:r>
      <w:r w:rsidR="00D263C3" w:rsidRPr="008541CE">
        <w:t>Резолюция на Европейския парламент</w:t>
      </w:r>
      <w:r w:rsidR="006F06C3">
        <w:t xml:space="preserve"> от 2</w:t>
      </w:r>
      <w:r w:rsidR="00B97F92">
        <w:rPr>
          <w:lang w:val="en-GB"/>
        </w:rPr>
        <w:t>3</w:t>
      </w:r>
      <w:r w:rsidR="00D263C3">
        <w:t xml:space="preserve"> април 2024 г.</w:t>
      </w:r>
      <w:r w:rsidRPr="008541CE">
        <w:t>,</w:t>
      </w:r>
      <w:bookmarkEnd w:id="8"/>
      <w:r w:rsidR="00D263C3">
        <w:t xml:space="preserve"> </w:t>
      </w:r>
      <w:r w:rsidRPr="008541CE">
        <w:t>съдържащ</w:t>
      </w:r>
      <w:r w:rsidR="00D263C3">
        <w:t>а</w:t>
      </w:r>
      <w:r w:rsidRPr="008541CE">
        <w:t xml:space="preserve"> забележките, които са неразделна част от решението за освобождаване от отговорност във връзка с изпълнението на общия бюджет на Европейския съюз за финансовата 2022 година, раздел II – Европейски съвет и Съвет</w:t>
      </w:r>
      <w:r w:rsidR="00D263C3">
        <w:t xml:space="preserve"> </w:t>
      </w:r>
      <w:r w:rsidRPr="008541CE">
        <w:t>(2023/2131(DEC))</w:t>
      </w:r>
    </w:p>
    <w:p w:rsidR="0019743A" w:rsidRPr="008541CE" w:rsidRDefault="0019743A" w:rsidP="0019743A">
      <w:pPr>
        <w:pStyle w:val="EPComma"/>
        <w:spacing w:before="0"/>
      </w:pPr>
      <w:r w:rsidRPr="008541CE">
        <w:rPr>
          <w:i/>
        </w:rPr>
        <w:t>Европейският парламент</w:t>
      </w:r>
      <w:r w:rsidRPr="008541CE">
        <w:t>,</w:t>
      </w:r>
    </w:p>
    <w:p w:rsidR="0019743A" w:rsidRPr="008541CE" w:rsidRDefault="0019743A" w:rsidP="0019743A">
      <w:pPr>
        <w:pStyle w:val="NormalHanging12a"/>
        <w:rPr>
          <w:szCs w:val="24"/>
        </w:rPr>
      </w:pPr>
      <w:r w:rsidRPr="008541CE">
        <w:t>–</w:t>
      </w:r>
      <w:r w:rsidRPr="008541CE">
        <w:tab/>
        <w:t>като взе предвид своето решение за освобождаване от отговорност във връзка с изпълнението на общия бюджет на Европейския съюз за финансовата 2022 година, раздел II ‒ Европейски съвет и Съвет,</w:t>
      </w:r>
    </w:p>
    <w:p w:rsidR="0019743A" w:rsidRPr="008541CE" w:rsidRDefault="0019743A" w:rsidP="0019743A">
      <w:pPr>
        <w:pStyle w:val="NormalHanging12a"/>
        <w:rPr>
          <w:szCs w:val="24"/>
        </w:rPr>
      </w:pPr>
      <w:r w:rsidRPr="008541CE">
        <w:t>–</w:t>
      </w:r>
      <w:r w:rsidRPr="008541CE">
        <w:tab/>
        <w:t>като взе предвид член 100 и приложение V към своя Правилник за дейността,</w:t>
      </w:r>
    </w:p>
    <w:p w:rsidR="0019743A" w:rsidRPr="008541CE" w:rsidRDefault="0019743A" w:rsidP="0019743A">
      <w:pPr>
        <w:pStyle w:val="NormalHanging12a"/>
        <w:rPr>
          <w:szCs w:val="24"/>
        </w:rPr>
      </w:pPr>
      <w:r w:rsidRPr="008541CE">
        <w:t>–</w:t>
      </w:r>
      <w:r w:rsidRPr="008541CE">
        <w:tab/>
        <w:t>като взе предвид писмото на комисията по конституционни въпроси,</w:t>
      </w:r>
    </w:p>
    <w:p w:rsidR="0019743A" w:rsidRPr="008541CE" w:rsidRDefault="0019743A" w:rsidP="0019743A">
      <w:pPr>
        <w:pStyle w:val="NormalHanging12a"/>
        <w:rPr>
          <w:szCs w:val="24"/>
        </w:rPr>
      </w:pPr>
      <w:r w:rsidRPr="008541CE">
        <w:t>–</w:t>
      </w:r>
      <w:r w:rsidRPr="008541CE">
        <w:tab/>
        <w:t>като взе предвид доклада на комисията по бюджетен контрол (A9-0071/2024),</w:t>
      </w:r>
    </w:p>
    <w:p w:rsidR="0019743A" w:rsidRPr="008541CE" w:rsidRDefault="0019743A" w:rsidP="0019743A">
      <w:pPr>
        <w:pStyle w:val="NormalHanging12a"/>
        <w:rPr>
          <w:szCs w:val="24"/>
        </w:rPr>
      </w:pPr>
      <w:r w:rsidRPr="008541CE">
        <w:t>А.</w:t>
      </w:r>
      <w:r w:rsidRPr="008541CE">
        <w:tab/>
        <w:t>като има предвид, че в контекста на процедурата по освобождаване от отговорност органът по освобождаване от отговорност желае да подчертае особеното значение на по-нататъшното укрепване на демократичната легитимност на институциите на Съюза чрез повишаване на прозрачността и отчетността и прилагане на концепцията за бюджетиране, основано на изпълнението, и добро управление на човешките ресурси;</w:t>
      </w:r>
    </w:p>
    <w:p w:rsidR="0019743A" w:rsidRPr="008541CE" w:rsidRDefault="0019743A" w:rsidP="0019743A">
      <w:pPr>
        <w:pStyle w:val="NormalHanging12a"/>
        <w:rPr>
          <w:szCs w:val="24"/>
        </w:rPr>
      </w:pPr>
      <w:r w:rsidRPr="008541CE">
        <w:t>Б.</w:t>
      </w:r>
      <w:r w:rsidRPr="008541CE">
        <w:tab/>
        <w:t>като има предвид, че съгласно член 319 от Договора за функционирането на Европейския съюз (ДФЕС) отговорността за освобождаването от отговорност във връзка с изпълнението на общия бюджет на Съюза се носи изключително от Парламента, и като има предвид, че бюджетът на Европейския съвет и на Съвета е раздел от бюджета на Съюза;</w:t>
      </w:r>
    </w:p>
    <w:p w:rsidR="0019743A" w:rsidRPr="008541CE" w:rsidRDefault="0019743A" w:rsidP="0019743A">
      <w:pPr>
        <w:pStyle w:val="NormalHanging12a"/>
        <w:rPr>
          <w:szCs w:val="24"/>
        </w:rPr>
      </w:pPr>
      <w:r w:rsidRPr="008541CE">
        <w:t>В.</w:t>
      </w:r>
      <w:r w:rsidRPr="008541CE">
        <w:tab/>
        <w:t>като има предвид, че съгласно член 15, параграф 1 от Договора за Европейския съюз (ДЕС) Европейският съвет не упражнява законодателни функции;</w:t>
      </w:r>
    </w:p>
    <w:p w:rsidR="0019743A" w:rsidRPr="008541CE" w:rsidRDefault="0019743A" w:rsidP="0019743A">
      <w:pPr>
        <w:pStyle w:val="NormalHanging12a"/>
        <w:rPr>
          <w:szCs w:val="24"/>
        </w:rPr>
      </w:pPr>
      <w:r w:rsidRPr="008541CE">
        <w:t>Г.</w:t>
      </w:r>
      <w:r w:rsidRPr="008541CE">
        <w:tab/>
        <w:t>като има предвид, че съгласно член 317 от ДФЕС Комисията изпълнява бюджета на Съюза на своя собствена отговорност, като взема предвид принципите на добро финансово управление, и като има предвид, че съгласно действащата рамка Комисията предоставя на останалите институции на Съюза необходимите правомощия за изпълнението на бюджетните раздели, които се отнасят за тях;</w:t>
      </w:r>
    </w:p>
    <w:p w:rsidR="0019743A" w:rsidRPr="008541CE" w:rsidRDefault="0019743A" w:rsidP="0019743A">
      <w:pPr>
        <w:pStyle w:val="NormalHanging12a"/>
        <w:rPr>
          <w:szCs w:val="24"/>
        </w:rPr>
      </w:pPr>
      <w:r w:rsidRPr="008541CE">
        <w:t>Д.</w:t>
      </w:r>
      <w:r w:rsidRPr="008541CE">
        <w:tab/>
        <w:t>като има предвид, че съгласно член 235, параграф 4 и член 240, параграф 2 от ДФЕС Европейският съвет и Съветът („Съветът“) се подпомагат от Генералния секретариат на Съвета, и като има предвид, че генералният секретар на Съвета отговаря изцяло за доброто управление на бюджетните кредити, записани в раздел II на бюджета на Съюза;</w:t>
      </w:r>
    </w:p>
    <w:p w:rsidR="0019743A" w:rsidRPr="008541CE" w:rsidRDefault="0019743A" w:rsidP="0019743A">
      <w:pPr>
        <w:pStyle w:val="NormalHanging12a"/>
        <w:rPr>
          <w:szCs w:val="24"/>
        </w:rPr>
      </w:pPr>
      <w:r w:rsidRPr="008541CE">
        <w:t>Е.</w:t>
      </w:r>
      <w:r w:rsidRPr="008541CE">
        <w:tab/>
        <w:t>като има предвид, че от почти двадесет години Парламентът прилага утвърдената и уважавана практика на освобождаване от отговорност на всички институции, органи, служби и агенции на Съюза, и като има предвид, че Комисията подкрепя запазването на практиката на освобождаване от отговорност на всяка институция, орган, служба и агенция на Съюза във връзка с административните ѝ разходи;</w:t>
      </w:r>
    </w:p>
    <w:p w:rsidR="0019743A" w:rsidRPr="008541CE" w:rsidRDefault="0019743A" w:rsidP="0019743A">
      <w:pPr>
        <w:pStyle w:val="NormalHanging12a"/>
        <w:rPr>
          <w:szCs w:val="24"/>
        </w:rPr>
      </w:pPr>
      <w:r w:rsidRPr="008541CE">
        <w:t>Ж.</w:t>
      </w:r>
      <w:r w:rsidRPr="008541CE">
        <w:tab/>
        <w:t xml:space="preserve">като има предвид, че съгласно член 59, параграф 1 от Финансовия регламент Комисията предоставя на останалите институции на Съюза необходимите </w:t>
      </w:r>
      <w:r w:rsidRPr="008541CE">
        <w:lastRenderedPageBreak/>
        <w:t>правомощия за изпълнението на бюджетните раздели, които се отнасят за тях;</w:t>
      </w:r>
    </w:p>
    <w:p w:rsidR="0019743A" w:rsidRPr="008541CE" w:rsidRDefault="0019743A" w:rsidP="0019743A">
      <w:pPr>
        <w:pStyle w:val="NormalHanging12a"/>
        <w:rPr>
          <w:szCs w:val="24"/>
        </w:rPr>
      </w:pPr>
      <w:r w:rsidRPr="008541CE">
        <w:t>З.</w:t>
      </w:r>
      <w:r w:rsidRPr="008541CE">
        <w:tab/>
        <w:t>като има предвид, че от 2009 г. насам липсата на сътрудничество от страна на Съвета в рамките на процедурата по освобождаване от отговорност води до отказ от страна на Парламента да освободи от отговорност генералния секретар на Съвета;</w:t>
      </w:r>
    </w:p>
    <w:p w:rsidR="0019743A" w:rsidRPr="008541CE" w:rsidRDefault="0019743A" w:rsidP="0019743A">
      <w:pPr>
        <w:pStyle w:val="NormalHanging12a"/>
        <w:rPr>
          <w:szCs w:val="24"/>
        </w:rPr>
      </w:pPr>
      <w:r w:rsidRPr="008541CE">
        <w:t>И.</w:t>
      </w:r>
      <w:r w:rsidRPr="008541CE">
        <w:tab/>
        <w:t>като има предвид, че Европейският съвет и Съветът, в качеството си на институции на Съюза и получатели на средства от общия бюджет на Съюза, следва да подлежат на изискванията за прозрачност и демократична отчетност пред гражданите на Съюза, както и на демократичен контрол върху изразходването на публични средства;</w:t>
      </w:r>
    </w:p>
    <w:p w:rsidR="0019743A" w:rsidRPr="008541CE" w:rsidRDefault="0019743A" w:rsidP="0019743A">
      <w:pPr>
        <w:pStyle w:val="NormalHanging12a"/>
        <w:rPr>
          <w:szCs w:val="24"/>
        </w:rPr>
      </w:pPr>
      <w:r w:rsidRPr="008541CE">
        <w:t>Й.</w:t>
      </w:r>
      <w:r w:rsidRPr="008541CE">
        <w:tab/>
        <w:t>като има предвид, че в препоръката на Европейския омбудсман („Омбудсмана“) в Стратегическа проверка OI/2/2017/TE относно прозрачността на законодателния процес на Съвета се посочва, че практиката на Съвета във връзка с прозрачността в законодателния процес съставлява лошо управление и следва да ѝ се обърне внимание с цел гражданите да могат да проследяват законодателния процес на Съюза;</w:t>
      </w:r>
    </w:p>
    <w:p w:rsidR="0019743A" w:rsidRPr="008541CE" w:rsidRDefault="0019743A" w:rsidP="0019743A">
      <w:pPr>
        <w:pStyle w:val="NormalHanging12a"/>
        <w:rPr>
          <w:szCs w:val="24"/>
        </w:rPr>
      </w:pPr>
      <w:r w:rsidRPr="008541CE">
        <w:t xml:space="preserve">К. </w:t>
      </w:r>
      <w:r w:rsidRPr="008541CE">
        <w:tab/>
        <w:t>като има предвид, че съдебната практика на Съда на Европейския съюз потвърждава правото на данъкоплатците и обществеността да бъдат информирани за използването на публичните приходи и че в своето решение от 25 януари 2023 г. по дело T-163/21</w:t>
      </w:r>
      <w:r w:rsidRPr="008541CE">
        <w:rPr>
          <w:rStyle w:val="FootnoteReference"/>
          <w:szCs w:val="24"/>
        </w:rPr>
        <w:footnoteReference w:id="6"/>
      </w:r>
      <w:r w:rsidRPr="008541CE">
        <w:t xml:space="preserve">, </w:t>
      </w:r>
      <w:r w:rsidRPr="008541CE">
        <w:rPr>
          <w:i/>
        </w:rPr>
        <w:t xml:space="preserve">De </w:t>
      </w:r>
      <w:proofErr w:type="spellStart"/>
      <w:r w:rsidRPr="008541CE">
        <w:rPr>
          <w:i/>
        </w:rPr>
        <w:t>Capitani</w:t>
      </w:r>
      <w:proofErr w:type="spellEnd"/>
      <w:r w:rsidRPr="008541CE">
        <w:t>/</w:t>
      </w:r>
      <w:r w:rsidRPr="008541CE">
        <w:rPr>
          <w:i/>
        </w:rPr>
        <w:t>Съвет</w:t>
      </w:r>
      <w:r w:rsidRPr="008541CE">
        <w:t>, Общият съд се произнесе във връзка с прозрачността на законодателния процес на Съюза, че документите, изготвени от работните групи на Съвета нямат технически, а законодателен характер и следователно подлежат на искания за достъп до документи;</w:t>
      </w:r>
    </w:p>
    <w:p w:rsidR="0019743A" w:rsidRPr="008541CE" w:rsidRDefault="0019743A" w:rsidP="0019743A">
      <w:pPr>
        <w:pStyle w:val="NormalHanging12a"/>
        <w:rPr>
          <w:szCs w:val="24"/>
        </w:rPr>
      </w:pPr>
      <w:r w:rsidRPr="008541CE">
        <w:t>1.</w:t>
      </w:r>
      <w:r w:rsidRPr="008541CE">
        <w:tab/>
        <w:t>отбелязва, че бюджетът на Съвета попада в обхвата на функция 7 от МФР „Европейска публична администрация“, възлизаща на 11,6 милиарда евро през 2022 г. (което представлява 5,9% от разходите на Съюза); отбелязва, че бюджетът на Съвета в размер на приблизително 0,6 милиарда евро представлява приблизително 5,3% от общите административни разходи на Съюза;</w:t>
      </w:r>
    </w:p>
    <w:p w:rsidR="0019743A" w:rsidRPr="008541CE" w:rsidRDefault="0019743A" w:rsidP="0019743A">
      <w:pPr>
        <w:pStyle w:val="NormalHanging12a"/>
        <w:rPr>
          <w:szCs w:val="24"/>
        </w:rPr>
      </w:pPr>
      <w:r w:rsidRPr="008541CE">
        <w:t>2.</w:t>
      </w:r>
      <w:r w:rsidRPr="008541CE">
        <w:tab/>
        <w:t>отбелязва, че в своя годишен доклад за финансовата 2022 година Сметната палата („Палатата“) посочва, че е проверила извадка от 60 операции в обхвата на функция „Администрация“, което е същият брой като проверените през 2021 г. операции; отбелязва освен това, че Палатата посочва, че административните разходи включват разходи за човешки ресурси, в т.ч. разходи за пенсии, които през 2022 г. представляват около 70% от общия размер на административните разходи, и разходи за сгради, оборудване, енергия, комуникации и информационни технологии, и че дългогодишната ѝ работа показва, че разходите в тази област като цяло се характеризират с ниско ниво на риск;</w:t>
      </w:r>
    </w:p>
    <w:p w:rsidR="0019743A" w:rsidRPr="008541CE" w:rsidRDefault="0019743A" w:rsidP="0019743A">
      <w:pPr>
        <w:pStyle w:val="NormalHanging12a"/>
        <w:rPr>
          <w:szCs w:val="24"/>
        </w:rPr>
      </w:pPr>
      <w:r w:rsidRPr="008541CE">
        <w:t>3.</w:t>
      </w:r>
      <w:r w:rsidRPr="008541CE">
        <w:tab/>
        <w:t xml:space="preserve">отбелязва, че 14 (23%) от 60-те операции съдържат грешки, но че въз основа на петте </w:t>
      </w:r>
      <w:proofErr w:type="spellStart"/>
      <w:r w:rsidRPr="008541CE">
        <w:t>остойностени</w:t>
      </w:r>
      <w:proofErr w:type="spellEnd"/>
      <w:r w:rsidRPr="008541CE">
        <w:t xml:space="preserve"> грешки изчисленият от Палатата процент грешки е под прага на същественост;</w:t>
      </w:r>
    </w:p>
    <w:p w:rsidR="0019743A" w:rsidRPr="008541CE" w:rsidRDefault="0019743A" w:rsidP="0019743A">
      <w:pPr>
        <w:pStyle w:val="NormalHanging12a"/>
        <w:rPr>
          <w:szCs w:val="24"/>
        </w:rPr>
      </w:pPr>
      <w:r w:rsidRPr="008541CE">
        <w:t>4.</w:t>
      </w:r>
      <w:r w:rsidRPr="008541CE">
        <w:tab/>
        <w:t xml:space="preserve">отбелязва със задоволство, че в годишния си доклад за финансовата 2022 година </w:t>
      </w:r>
      <w:r w:rsidRPr="008541CE">
        <w:lastRenderedPageBreak/>
        <w:t>Палатата заявява, че не е установила никакви конкретни проблеми по отношение на Съвета;</w:t>
      </w:r>
    </w:p>
    <w:p w:rsidR="0019743A" w:rsidRPr="00ED5513" w:rsidRDefault="0019743A" w:rsidP="00ED5513">
      <w:pPr>
        <w:pStyle w:val="NormalHanging12a"/>
        <w:ind w:left="0" w:firstLine="0"/>
        <w:rPr>
          <w:b/>
          <w:i/>
          <w:szCs w:val="24"/>
        </w:rPr>
      </w:pPr>
      <w:r w:rsidRPr="00ED5513">
        <w:rPr>
          <w:b/>
          <w:i/>
        </w:rPr>
        <w:t>Актуално състояние на процедурата по освобождаване от отговорност във връзка с изпълнението на бюджета</w:t>
      </w:r>
    </w:p>
    <w:p w:rsidR="0019743A" w:rsidRPr="008541CE" w:rsidRDefault="0019743A" w:rsidP="0019743A">
      <w:pPr>
        <w:pStyle w:val="NormalHanging12a"/>
        <w:rPr>
          <w:szCs w:val="24"/>
        </w:rPr>
      </w:pPr>
      <w:r w:rsidRPr="008541CE">
        <w:t>5.</w:t>
      </w:r>
      <w:r w:rsidRPr="008541CE">
        <w:tab/>
        <w:t>изразява дълбоко съжаление, че от 2009 г. насам и отново за финансовата 2021 година Парламентът трябваше да откаже освобождаване от отговорност на Съвета, тъй като Съветът продължава да отказва да сътрудничи на Парламента във връзка с процедурата по освобождаване от отговорност, което възпрепятства Парламента да вземе информирано решение въз основа на сериозен и задълбочен контрол на изпълнението на бюджета на Съвета;</w:t>
      </w:r>
    </w:p>
    <w:p w:rsidR="0019743A" w:rsidRPr="008541CE" w:rsidRDefault="0019743A" w:rsidP="0019743A">
      <w:pPr>
        <w:pStyle w:val="NormalHanging12a"/>
        <w:rPr>
          <w:szCs w:val="24"/>
        </w:rPr>
      </w:pPr>
      <w:r w:rsidRPr="008541CE">
        <w:t xml:space="preserve">6. </w:t>
      </w:r>
      <w:r w:rsidRPr="008541CE">
        <w:tab/>
        <w:t>отбелязва, че на 28 септември 2023 г. компетентните служби на Парламента изпратиха от името на докладчика по процедурата по освобождаване от отговорност до Генералния секретариат на Съвета въпросник, съдържащ 74 важни въпроса от Парламента, за да се даде възможност за задълбочен контрол на изпълнението на бюджета на Съвета и на управлението на Съвета; отбелязва освен това, че подобни въпросници бяха изпратени на всички останали институции, като всички те предоставиха на Парламента подробни отговори на всички въпроси;</w:t>
      </w:r>
    </w:p>
    <w:p w:rsidR="0019743A" w:rsidRPr="008541CE" w:rsidRDefault="0019743A" w:rsidP="0019743A">
      <w:pPr>
        <w:pStyle w:val="NormalHanging12a"/>
        <w:rPr>
          <w:szCs w:val="24"/>
        </w:rPr>
      </w:pPr>
      <w:r w:rsidRPr="008541CE">
        <w:t xml:space="preserve">7. </w:t>
      </w:r>
      <w:r w:rsidRPr="008541CE">
        <w:tab/>
        <w:t>изразява съжаление, че на 12 октомври 2023 г. Генералният секретариат на Съвета отново информира Парламента, че няма да отговори на въпросника на Парламента и че Съветът няма да участва в изслушването, планирано да се проведе на 25 октомври 2023 г. като част от процедурата по освобождаване от отговорност във връзка с изпълнението на бюджета и в което участваха всички други поканени институции;</w:t>
      </w:r>
    </w:p>
    <w:p w:rsidR="0019743A" w:rsidRPr="008541CE" w:rsidRDefault="0019743A" w:rsidP="0019743A">
      <w:pPr>
        <w:pStyle w:val="NormalHanging12a"/>
        <w:rPr>
          <w:szCs w:val="24"/>
        </w:rPr>
      </w:pPr>
      <w:r w:rsidRPr="008541CE">
        <w:t>8.</w:t>
      </w:r>
      <w:r w:rsidRPr="008541CE">
        <w:tab/>
        <w:t>подчертава правомощията на Парламента за освобождаване от отговорност съгласно член 319 от ДФЕС, както и приложимите разпоредби на Финансовия регламент и Правилника за дейността на Парламента, в съответствие с настоящото тълкуване и практика, а именно правомощието за освобождаване от отговорност с цел поддържане на прозрачността и гарантиране на демократичната отчетност пред данъкоплатците в Съюза;</w:t>
      </w:r>
    </w:p>
    <w:p w:rsidR="0019743A" w:rsidRPr="008541CE" w:rsidRDefault="0019743A" w:rsidP="0019743A">
      <w:pPr>
        <w:pStyle w:val="NormalHanging12a"/>
        <w:rPr>
          <w:szCs w:val="24"/>
        </w:rPr>
      </w:pPr>
      <w:r w:rsidRPr="008541CE">
        <w:t>9.</w:t>
      </w:r>
      <w:r w:rsidRPr="008541CE">
        <w:tab/>
        <w:t>подчертава, че съгласно член 59, параграф 1 от Финансовия регламент Комисията предоставя на останалите институции на Съюза необходимите правомощия за изпълнение на бюджетните раздели, които се отнасят за тях, и поради това счита, че е неразбираемо защо Съветът приема за целесъобразно освобождаването от отговорност на Комисията във връзка с изпълнението на бюджета на Съвета;</w:t>
      </w:r>
    </w:p>
    <w:p w:rsidR="0019743A" w:rsidRPr="008541CE" w:rsidRDefault="0019743A" w:rsidP="0019743A">
      <w:pPr>
        <w:pStyle w:val="NormalHanging12a"/>
        <w:rPr>
          <w:szCs w:val="24"/>
        </w:rPr>
      </w:pPr>
      <w:r w:rsidRPr="008541CE">
        <w:t>10.</w:t>
      </w:r>
      <w:r w:rsidRPr="008541CE">
        <w:tab/>
        <w:t>подчертава утвърдената и уважавана практика на Парламента от почти двадесет години за освобождаване от отговорност на всички институции, органи, служби и агенции на Съюза; припомня, че Комисията обяви невъзможността си да упражнява надзор върху изпълнението на бюджетите на другите институции на Съюза; подчертава изразеното отново виждане на Комисията, че практиката на освобождаване от отговорност на всяка институция на Съюза във връзка с административните ѝ разходи следва да продължи да бъде прилагана от Парламента;</w:t>
      </w:r>
    </w:p>
    <w:p w:rsidR="0019743A" w:rsidRPr="008541CE" w:rsidRDefault="0019743A" w:rsidP="0019743A">
      <w:pPr>
        <w:pStyle w:val="NormalHanging12a"/>
        <w:rPr>
          <w:szCs w:val="24"/>
        </w:rPr>
      </w:pPr>
      <w:r w:rsidRPr="008541CE">
        <w:t>11.</w:t>
      </w:r>
      <w:r w:rsidRPr="008541CE">
        <w:tab/>
        <w:t xml:space="preserve">подчертава, че при настоящото положение Парламентът може да провери само </w:t>
      </w:r>
      <w:r w:rsidRPr="008541CE">
        <w:lastRenderedPageBreak/>
        <w:t>докладите на Палатата и на Омбудсмана, както и публично достъпната информация на уебсайта на Съвета, тъй като Съветът продължава недобросъвестната си практика да не сътрудничи на Парламента, което прави невъзможно за Парламента да изпълнява надлежно задълженията си и да вземе информирано решение за освобождаване от отговорност във връзка с изпълнението на бюджета;</w:t>
      </w:r>
    </w:p>
    <w:p w:rsidR="0019743A" w:rsidRPr="008541CE" w:rsidRDefault="0019743A" w:rsidP="0019743A">
      <w:pPr>
        <w:pStyle w:val="NormalHanging12a"/>
        <w:rPr>
          <w:szCs w:val="24"/>
        </w:rPr>
      </w:pPr>
      <w:r w:rsidRPr="008541CE">
        <w:t>12.</w:t>
      </w:r>
      <w:r w:rsidRPr="008541CE">
        <w:tab/>
        <w:t>изразява съжаление, че в продължение на повече от десетилетие Съветът показва, че няма политическа воля да си сътрудничи с Парламента в контекста на годишната процедура по освобождаване от отговорност във връзка с изпълнението на бюджета; подчертава, че това отношение има траен отрицателен ефект върху всяка от двете институции, дискредитира управлението и демократичния контрол на бюджета на Съюза и нарушава доверието на гражданите в Съюза като прозрачен субект;</w:t>
      </w:r>
    </w:p>
    <w:p w:rsidR="0019743A" w:rsidRPr="008541CE" w:rsidRDefault="0019743A" w:rsidP="0019743A">
      <w:pPr>
        <w:pStyle w:val="NormalHanging12a"/>
        <w:rPr>
          <w:szCs w:val="24"/>
        </w:rPr>
      </w:pPr>
      <w:r w:rsidRPr="008541CE">
        <w:t>13.</w:t>
      </w:r>
      <w:r w:rsidRPr="008541CE">
        <w:tab/>
        <w:t>припомня, че съдебната практика на Съда на Европейския съюз подкрепя правото на данъкоплатците и обществеността да бъдат информирани за използването на публичните приходи; поради това изисква пълно зачитане на правомощията и ролята на Парламента като гарант на принципа на демократична отчетност; призовава Съвета да следва надлежно приетите от Парламента препоръки в контекста на процедурата по освобождаване от отговорност във връзка с изпълнението на бюджета;</w:t>
      </w:r>
    </w:p>
    <w:p w:rsidR="0019743A" w:rsidRPr="008541CE" w:rsidRDefault="0019743A" w:rsidP="0019743A">
      <w:pPr>
        <w:pStyle w:val="NormalHanging12a"/>
        <w:rPr>
          <w:szCs w:val="24"/>
        </w:rPr>
      </w:pPr>
      <w:r w:rsidRPr="008541CE">
        <w:t>14.</w:t>
      </w:r>
      <w:r w:rsidRPr="008541CE">
        <w:tab/>
        <w:t>призовава Съвета да възобнови преговорите с Парламента на най-високо равнище възможно най-скоро, с участието на генералните секретари и председателите на двете институции, за да се преодолее безизходицата и да се намери решение, като същевременно се зачитат съответните роли на Парламента и на Съвета в процедурата по освобождаване от отговорност във връзка с изпълнението на бюджета и се осигурят прозрачност и надлежен демократичен контрол върху изпълнението на бюджета;</w:t>
      </w:r>
    </w:p>
    <w:p w:rsidR="0019743A" w:rsidRPr="008541CE" w:rsidRDefault="0019743A" w:rsidP="0019743A">
      <w:pPr>
        <w:pStyle w:val="NormalHanging12a"/>
        <w:rPr>
          <w:szCs w:val="24"/>
        </w:rPr>
      </w:pPr>
      <w:r w:rsidRPr="008541CE">
        <w:t>15.</w:t>
      </w:r>
      <w:r w:rsidRPr="008541CE">
        <w:tab/>
        <w:t>подчертава, че въпреки че настоящото положение трябва да се подобри чрез по-добро междуинституционално сътрудничество в рамките на Договорите, преразглеждането на Договорите би могло да направи процедурата по освобождаване от отговорност във връзка с изпълнението на бюджета по-ясна и по-прозрачна, като се даде на Парламента изрично правомощие да освобождава от отговорност във връзка с изпълнението на бюджета всички институции, органи, служби и агенции на Съюза поотделно; подчертава обаче, че в очакване на такова преразглеждане настоящото положение трябва да бъде подобрено чрез по-добро междуинституционално сътрудничество съобразно настоящата рамка на Договорите, и настоятелно призовава Съвета да работи активно с Парламента за справяне с настоящото положение;</w:t>
      </w:r>
    </w:p>
    <w:p w:rsidR="0019743A" w:rsidRDefault="0019743A" w:rsidP="0019743A">
      <w:pPr>
        <w:pStyle w:val="NormalHanging12a"/>
      </w:pPr>
      <w:r w:rsidRPr="008541CE">
        <w:t>16.</w:t>
      </w:r>
      <w:r w:rsidRPr="008541CE">
        <w:tab/>
        <w:t>отбелязва, че въпреки че Съветът не желае да сътрудничи в процедурата по освобождаване от отговорност във връзка с изпълнението на бюджета, в настоящата резолюция Парламентът все пак подчертава някои политически приоритети и излага някои забележки относно бюджетното и финансовото управление на Съвета, както и други забележки, свързани с процедурата по освобождаване от отговорност;</w:t>
      </w:r>
    </w:p>
    <w:p w:rsidR="00444DBB" w:rsidRPr="00011BA8" w:rsidRDefault="00444DBB" w:rsidP="0019743A">
      <w:pPr>
        <w:pStyle w:val="NormalHanging12a"/>
        <w:rPr>
          <w:szCs w:val="24"/>
        </w:rPr>
      </w:pPr>
      <w:r w:rsidRPr="00ED5513">
        <w:rPr>
          <w:szCs w:val="24"/>
        </w:rPr>
        <w:t>17.</w:t>
      </w:r>
      <w:r w:rsidRPr="00ED5513">
        <w:rPr>
          <w:szCs w:val="24"/>
        </w:rPr>
        <w:tab/>
        <w:t xml:space="preserve">припомня, че тъй като Русия </w:t>
      </w:r>
      <w:r w:rsidR="00720FAC">
        <w:rPr>
          <w:szCs w:val="24"/>
        </w:rPr>
        <w:t>започна</w:t>
      </w:r>
      <w:r w:rsidRPr="00ED5513">
        <w:rPr>
          <w:szCs w:val="24"/>
        </w:rPr>
        <w:t xml:space="preserve"> незаконна, </w:t>
      </w:r>
      <w:proofErr w:type="spellStart"/>
      <w:r w:rsidRPr="00ED5513">
        <w:rPr>
          <w:szCs w:val="24"/>
        </w:rPr>
        <w:t>непровокирана</w:t>
      </w:r>
      <w:proofErr w:type="spellEnd"/>
      <w:r w:rsidRPr="00ED5513">
        <w:rPr>
          <w:szCs w:val="24"/>
        </w:rPr>
        <w:t xml:space="preserve"> и неоправдана </w:t>
      </w:r>
      <w:proofErr w:type="spellStart"/>
      <w:r w:rsidRPr="00ED5513">
        <w:rPr>
          <w:szCs w:val="24"/>
        </w:rPr>
        <w:t>пълномащабна</w:t>
      </w:r>
      <w:proofErr w:type="spellEnd"/>
      <w:r w:rsidRPr="00ED5513">
        <w:rPr>
          <w:szCs w:val="24"/>
        </w:rPr>
        <w:t xml:space="preserve"> агресивна война срещу Украйна </w:t>
      </w:r>
      <w:r w:rsidR="00720FAC">
        <w:rPr>
          <w:szCs w:val="24"/>
        </w:rPr>
        <w:t>на</w:t>
      </w:r>
      <w:r w:rsidR="00ED5513">
        <w:rPr>
          <w:szCs w:val="24"/>
        </w:rPr>
        <w:t xml:space="preserve"> 24 февруари 2022 г.</w:t>
      </w:r>
      <w:r w:rsidRPr="00ED5513">
        <w:rPr>
          <w:szCs w:val="24"/>
        </w:rPr>
        <w:t>, С</w:t>
      </w:r>
      <w:r w:rsidR="00720FAC">
        <w:rPr>
          <w:szCs w:val="24"/>
        </w:rPr>
        <w:t>ъюзът</w:t>
      </w:r>
      <w:r w:rsidRPr="00ED5513">
        <w:rPr>
          <w:szCs w:val="24"/>
        </w:rPr>
        <w:t xml:space="preserve"> и </w:t>
      </w:r>
      <w:r w:rsidRPr="00ED5513">
        <w:rPr>
          <w:szCs w:val="24"/>
        </w:rPr>
        <w:lastRenderedPageBreak/>
        <w:t xml:space="preserve">неговите държави членки поеха ангажимент да помогнат на Украйна и нейния народ; припомня инициативата за боеприпаси, която първоначално имаше за цел да се осигурят на Украйна </w:t>
      </w:r>
      <w:r w:rsidR="00720FAC">
        <w:rPr>
          <w:szCs w:val="24"/>
        </w:rPr>
        <w:t>един</w:t>
      </w:r>
      <w:r w:rsidRPr="00ED5513">
        <w:rPr>
          <w:szCs w:val="24"/>
        </w:rPr>
        <w:t xml:space="preserve"> милион 155-милиметрови патрона до март 2024 г., но до посочената дата беше доставена само приблизително половината от тази бройка; настоятелно призовава Комисията и държавите членки без забавяне да ускорят значително производството, възлагането на общест</w:t>
      </w:r>
      <w:bookmarkStart w:id="9" w:name="_GoBack"/>
      <w:bookmarkEnd w:id="9"/>
      <w:r w:rsidRPr="00ED5513">
        <w:rPr>
          <w:szCs w:val="24"/>
        </w:rPr>
        <w:t xml:space="preserve">вени поръчки и доставката на боеприпаси за Украйна; посочва, че украинското правителство поиска от европейските </w:t>
      </w:r>
      <w:r w:rsidR="00720FAC">
        <w:rPr>
          <w:szCs w:val="24"/>
        </w:rPr>
        <w:t xml:space="preserve">си </w:t>
      </w:r>
      <w:r w:rsidRPr="00ED5513">
        <w:rPr>
          <w:szCs w:val="24"/>
        </w:rPr>
        <w:t xml:space="preserve">съюзници да доставят </w:t>
      </w:r>
      <w:r w:rsidR="00720FAC">
        <w:rPr>
          <w:szCs w:val="24"/>
        </w:rPr>
        <w:t xml:space="preserve">на Украйна </w:t>
      </w:r>
      <w:r w:rsidRPr="00ED5513">
        <w:rPr>
          <w:szCs w:val="24"/>
        </w:rPr>
        <w:t>седем от около 30 противоракетни системи „Патриот“, налични в държавите  членки, за по-адекватна защита на гражданската инфраструктура срещу руската агресия; изразява съжаление, че към днешна дата само една държава членка пое ангажимент за предоставянето на допълнителна система, и настоятелно призовава Европейския съвет да ускори процеса на вземане на решения и да разпредели ресурси, за да предостави на Украйна необходимите способности за въздушна отбрана; подчертава, че Парламентът няма да освободи от отговорност Съвета във връзка с изпълнението на бюджета поради неизпълнение на препоръките на Парламента и докато необходимата подкрепа за Украйна не бъде адекватно отразена в бюджета; отново потвърждава солидарността си с Украйна и подчертава, че е важно европейските лидери да предприемат решителни действия за удовлетворяване на неотложните потребности в областта на сигурността на украинските партньори на ЕС;</w:t>
      </w:r>
    </w:p>
    <w:p w:rsidR="0019743A" w:rsidRPr="00ED5513" w:rsidRDefault="0019743A" w:rsidP="0019743A">
      <w:pPr>
        <w:pStyle w:val="NormalHanging12a"/>
        <w:ind w:left="0" w:firstLine="0"/>
        <w:rPr>
          <w:b/>
          <w:i/>
          <w:szCs w:val="24"/>
        </w:rPr>
      </w:pPr>
      <w:r w:rsidRPr="00ED5513">
        <w:rPr>
          <w:b/>
          <w:i/>
        </w:rPr>
        <w:t>Политически приоритети</w:t>
      </w:r>
    </w:p>
    <w:p w:rsidR="0019743A" w:rsidRPr="008541CE" w:rsidRDefault="00674126" w:rsidP="0019743A">
      <w:pPr>
        <w:pStyle w:val="NormalHanging12a"/>
        <w:rPr>
          <w:szCs w:val="24"/>
        </w:rPr>
      </w:pPr>
      <w:r>
        <w:t>18</w:t>
      </w:r>
      <w:r w:rsidR="0019743A" w:rsidRPr="008541CE">
        <w:t>.</w:t>
      </w:r>
      <w:r w:rsidR="0019743A" w:rsidRPr="008541CE">
        <w:tab/>
        <w:t>изразява съжаление, че при процедурите за номиниране и назначаване на служители в множество институции, органи, служби и агенции на Съюза Съветът упражнява своите правомощия, без да взема предвид становищата на заинтересованите лица или препоръките на Европейската служба за борба с измамите (OLAF);</w:t>
      </w:r>
    </w:p>
    <w:p w:rsidR="0019743A" w:rsidRPr="008541CE" w:rsidRDefault="00674126" w:rsidP="0019743A">
      <w:pPr>
        <w:pStyle w:val="NormalHanging12a"/>
        <w:rPr>
          <w:szCs w:val="24"/>
        </w:rPr>
      </w:pPr>
      <w:r>
        <w:t>19</w:t>
      </w:r>
      <w:r w:rsidR="0019743A" w:rsidRPr="008541CE">
        <w:t xml:space="preserve">. </w:t>
      </w:r>
      <w:r w:rsidR="0019743A" w:rsidRPr="008541CE">
        <w:tab/>
        <w:t>подчертава, че традицията на Съвета да не поставя под въпрос номинираните от отделните държави членки лица за повечето длъжности означава, че професионалните квалификации на кандидатите не се проверяват задълбочено; настоява следователно, че е необходимо преразглеждане на правомощията на Съвета с оглед на гарантиране и засилване на участието на съответните институции, органи, служби и агенции и повишаване на легитимността на назначените лица; предлага, като една от възможностите да се гарантира, че кандидатите притежават необходимата квалификация, създаването на независими експертни групи, които да извършват такива проверки;</w:t>
      </w:r>
    </w:p>
    <w:p w:rsidR="0019743A" w:rsidRPr="008541CE" w:rsidRDefault="00674126" w:rsidP="0019743A">
      <w:pPr>
        <w:pStyle w:val="NormalHanging12a"/>
        <w:rPr>
          <w:szCs w:val="24"/>
        </w:rPr>
      </w:pPr>
      <w:r>
        <w:t>20</w:t>
      </w:r>
      <w:r w:rsidR="0019743A" w:rsidRPr="008541CE">
        <w:t>.</w:t>
      </w:r>
      <w:r w:rsidR="0019743A" w:rsidRPr="008541CE">
        <w:tab/>
        <w:t>припомня, че съгласно член 286, параграф 2 от ДФЕС Съветът назначава членовете на Палатата след консултация с Парламента; изразява съжаление, че Съветът многократно не взе предвид препоръките на Парламента в консултативната му роля по отношение на назначаването на членове на Палатата;</w:t>
      </w:r>
    </w:p>
    <w:p w:rsidR="0019743A" w:rsidRPr="008541CE" w:rsidRDefault="00674126" w:rsidP="0019743A">
      <w:pPr>
        <w:pStyle w:val="NormalHanging12a"/>
        <w:rPr>
          <w:szCs w:val="24"/>
        </w:rPr>
      </w:pPr>
      <w:r>
        <w:t>21</w:t>
      </w:r>
      <w:r w:rsidR="0019743A" w:rsidRPr="008541CE">
        <w:t>.</w:t>
      </w:r>
      <w:r w:rsidR="0019743A" w:rsidRPr="008541CE">
        <w:tab/>
        <w:t xml:space="preserve">посочва сериозния дисбаланс между половете в Палатата, където в края на 2022 г. имаше само девет жени членове спрямо 17 мъже; отбелязва трудностите при постигането на баланс между половете в Палатата поради действащата процедура за номиниране на кандидати; отново призовава Съвета да преразгледа процедурата за номиниране на кандидати с цел решаване на този проблем чрез конкретни действия, например чрез задължаване на държавите членки да номинират най-малко по двама кандидати от различен пол за всяко свободно </w:t>
      </w:r>
      <w:r w:rsidR="0019743A" w:rsidRPr="008541CE">
        <w:lastRenderedPageBreak/>
        <w:t>място;</w:t>
      </w:r>
    </w:p>
    <w:p w:rsidR="0019743A" w:rsidRPr="008541CE" w:rsidRDefault="00674126" w:rsidP="0019743A">
      <w:pPr>
        <w:pStyle w:val="NormalHanging12a"/>
        <w:rPr>
          <w:szCs w:val="24"/>
        </w:rPr>
      </w:pPr>
      <w:r>
        <w:t>22</w:t>
      </w:r>
      <w:r w:rsidR="0019743A" w:rsidRPr="008541CE">
        <w:t>.</w:t>
      </w:r>
      <w:r w:rsidR="0019743A" w:rsidRPr="008541CE">
        <w:tab/>
        <w:t>изразява съжаление, че до този момент Съветът пренебрегва резолюцията на Парламента от 17 декември 2020 г. относно необходимостта от специален състав на Съвета относно равенството между половете</w:t>
      </w:r>
      <w:r w:rsidR="0019743A" w:rsidRPr="008541CE">
        <w:rPr>
          <w:rStyle w:val="FootnoteReference"/>
          <w:szCs w:val="24"/>
        </w:rPr>
        <w:footnoteReference w:id="7"/>
      </w:r>
      <w:r w:rsidR="0019743A" w:rsidRPr="008541CE">
        <w:t>, и настоява, че наличието на специален институционален форум ще осигури по-силна интеграция на принципа на равенство между половете в политиките и стратегиите на Съюза, както и съществена координация и напредък по основните досиета, свързани с равенството между половете;</w:t>
      </w:r>
    </w:p>
    <w:p w:rsidR="0019743A" w:rsidRPr="008541CE" w:rsidRDefault="00674126" w:rsidP="0019743A">
      <w:pPr>
        <w:pStyle w:val="NormalHanging12a"/>
        <w:rPr>
          <w:szCs w:val="24"/>
        </w:rPr>
      </w:pPr>
      <w:r>
        <w:t>23</w:t>
      </w:r>
      <w:r w:rsidR="0019743A" w:rsidRPr="008541CE">
        <w:t>.</w:t>
      </w:r>
      <w:r w:rsidR="0019743A" w:rsidRPr="008541CE">
        <w:tab/>
        <w:t xml:space="preserve">изразява съжаление, че процесът на вземане на решения в Съвета все още не е напълно прозрачен, което засяга доверието на гражданите в Съюза като прозрачен субект и по този начин застрашава репутацията на Съюза като цяло; припомня и подкрепя препоръките на Омбудсмана относно прозрачността на законодателния процес на Съвета, посочени в Стратегическа проверка OI/2/2017/TE; настоятелно призовава Съвета да предприеме без ненужно забавяне всички необходими мерки за изпълнение на препоръките на Омбудсмана и съответните решения на Съда на Европейския съюз; припомня, че в решението си по дело T-163/21, </w:t>
      </w:r>
      <w:r w:rsidR="0019743A" w:rsidRPr="008541CE">
        <w:rPr>
          <w:i/>
        </w:rPr>
        <w:t xml:space="preserve">De </w:t>
      </w:r>
      <w:proofErr w:type="spellStart"/>
      <w:r w:rsidR="0019743A" w:rsidRPr="008541CE">
        <w:rPr>
          <w:i/>
        </w:rPr>
        <w:t>Capitani</w:t>
      </w:r>
      <w:proofErr w:type="spellEnd"/>
      <w:r w:rsidR="0019743A" w:rsidRPr="008541CE">
        <w:t>/</w:t>
      </w:r>
      <w:r w:rsidR="0019743A" w:rsidRPr="008541CE">
        <w:rPr>
          <w:i/>
        </w:rPr>
        <w:t>Съвет</w:t>
      </w:r>
      <w:r w:rsidR="0019743A" w:rsidRPr="008541CE">
        <w:t xml:space="preserve">, Общият съд подчерта, че Съветът ще се нуждае от по-ясна законодателна прозрачност, за да се осигури достъп до законодателни документи, което съответства на задължението на Съвета по отношение на обществения контрол и отчетността на </w:t>
      </w:r>
      <w:proofErr w:type="spellStart"/>
      <w:r w:rsidR="0019743A" w:rsidRPr="008541CE">
        <w:t>съзаконодателите</w:t>
      </w:r>
      <w:proofErr w:type="spellEnd"/>
      <w:r w:rsidR="0019743A" w:rsidRPr="008541CE">
        <w:t xml:space="preserve"> като основа на всяка демократична легитимност;</w:t>
      </w:r>
    </w:p>
    <w:p w:rsidR="0019743A" w:rsidRPr="008541CE" w:rsidRDefault="00674126" w:rsidP="0019743A">
      <w:pPr>
        <w:pStyle w:val="NormalHanging12a"/>
        <w:rPr>
          <w:szCs w:val="24"/>
        </w:rPr>
      </w:pPr>
      <w:r>
        <w:t>24</w:t>
      </w:r>
      <w:r w:rsidR="0019743A" w:rsidRPr="008541CE">
        <w:t xml:space="preserve">. </w:t>
      </w:r>
      <w:r w:rsidR="0019743A" w:rsidRPr="008541CE">
        <w:tab/>
        <w:t>изразява дълбока загриженост относно нарастващата роля на Европейския съвет в законодателните досиета, въпреки факта, че той няма нито законодателна, нито изпълнителна функция и че не прилага същите стандарти за прозрачност като Съвета, което означава, че не може да му се търси отговорност;</w:t>
      </w:r>
    </w:p>
    <w:p w:rsidR="0019743A" w:rsidRPr="008541CE" w:rsidRDefault="00674126" w:rsidP="0019743A">
      <w:pPr>
        <w:pStyle w:val="NormalHanging12a"/>
        <w:rPr>
          <w:szCs w:val="24"/>
        </w:rPr>
      </w:pPr>
      <w:r>
        <w:t>25</w:t>
      </w:r>
      <w:r w:rsidR="0019743A" w:rsidRPr="008541CE">
        <w:t>.</w:t>
      </w:r>
      <w:r w:rsidR="0019743A" w:rsidRPr="008541CE">
        <w:tab/>
        <w:t>отбелязва, че използването на процедурата за гласуване с единодушие в Съвета в определени области на политиката може да окаже отрицателно въздействие върху процеса на вземане на решения в Съюза и следователно го прави податлив на изнудване от страна на държавите членки, и особено тези, които не спазват принципите на правовата държава; призовава Съвета да прилага процедурите за гласуване с квалифицирано мнозинство, когато това е предвидено в Договорите; отбелязва, че преминаването към процедура на гласуване с квалифицирано мнозинство в Съвета може да бъде един от пътищата към по-ефикасно изготвяне на политики;</w:t>
      </w:r>
    </w:p>
    <w:p w:rsidR="0019743A" w:rsidRPr="008541CE" w:rsidRDefault="00674126" w:rsidP="0019743A">
      <w:pPr>
        <w:pStyle w:val="NormalHanging12a"/>
        <w:rPr>
          <w:szCs w:val="24"/>
        </w:rPr>
      </w:pPr>
      <w:r>
        <w:t>26</w:t>
      </w:r>
      <w:r w:rsidR="0019743A" w:rsidRPr="008541CE">
        <w:t>.</w:t>
      </w:r>
      <w:r w:rsidR="0019743A" w:rsidRPr="008541CE">
        <w:tab/>
        <w:t>изразява съжаление относно факта, че участието на постоянните представители на държавите членки в задължителния регистър за прозрачност, създаден с Междуинституционалното споразумение от 20 май 2021 г. между Европейския парламент, Съвета на Европейския съюз и Европейската комисия за задължителен регистър за прозрачност</w:t>
      </w:r>
      <w:r w:rsidR="0019743A" w:rsidRPr="008541CE">
        <w:rPr>
          <w:szCs w:val="24"/>
          <w:vertAlign w:val="superscript"/>
        </w:rPr>
        <w:footnoteReference w:id="8"/>
      </w:r>
      <w:r w:rsidR="0019743A" w:rsidRPr="008541CE">
        <w:t xml:space="preserve">, е напълно доброволно, и настоява всички постоянни представителства да участват активно в задължителния регистър за прозрачност преди, по време на и след председателството на Съвета на своята държава членка; счита, че съществуващите етични правила относно конфликтите на интереси, кадровата въртележка между държавния и частния сектор и прозрачността относно лобирането следва да бъдат подсилени и хармонизирани и че </w:t>
      </w:r>
      <w:r w:rsidR="0019743A" w:rsidRPr="008541CE">
        <w:lastRenderedPageBreak/>
        <w:t>представителите на държавите членки, които се възползват пряко от субсидии от Съюза чрез притежаваните от тях предприятия, не следва да имат право да участват в дискусии и гласувания относно политиките или бюджета, свързани с тези субсидии;</w:t>
      </w:r>
    </w:p>
    <w:p w:rsidR="0019743A" w:rsidRPr="008541CE" w:rsidRDefault="00674126" w:rsidP="0019743A">
      <w:pPr>
        <w:pStyle w:val="NormalHanging12a"/>
        <w:rPr>
          <w:szCs w:val="24"/>
        </w:rPr>
      </w:pPr>
      <w:r>
        <w:t>27</w:t>
      </w:r>
      <w:r w:rsidR="0019743A" w:rsidRPr="008541CE">
        <w:t>.</w:t>
      </w:r>
      <w:r w:rsidR="0019743A" w:rsidRPr="008541CE">
        <w:tab/>
        <w:t>изразява съжаление, че Съветът не използва пълноценно задължителния регистър за прозрачност отвъд настоящите му ограничения, като отхвърля всяка препоръка за подобрения; отново призовава Съвета да отказва срещи с нерегистрирани лобисти;</w:t>
      </w:r>
    </w:p>
    <w:p w:rsidR="0019743A" w:rsidRPr="008541CE" w:rsidRDefault="00674126" w:rsidP="0019743A">
      <w:pPr>
        <w:pStyle w:val="NormalHanging12a"/>
        <w:rPr>
          <w:szCs w:val="24"/>
        </w:rPr>
      </w:pPr>
      <w:r>
        <w:t>28</w:t>
      </w:r>
      <w:r w:rsidR="0019743A" w:rsidRPr="008541CE">
        <w:t>.</w:t>
      </w:r>
      <w:r w:rsidR="0019743A" w:rsidRPr="008541CE">
        <w:tab/>
        <w:t xml:space="preserve">в съответствие със заключенията от семинара, проведен на 27 юни 2023 г. от комисията по бюджетен контрол на Парламента, призовава ротационните председателства на Съвета да престанат да използват корпоративно спонсориране, чрез което допринасят за покриването на своите разходи; разбира, че финансовите ресурси от националните бюджети се различават значително в отделните държави членки и че всяка държава членка, независимо от своя размер и наличен бюджет, следва да има равна възможност да организира успешно председателство на Съвета, но счита, че приемането на корпоративно спонсориране вреди на репутацията на Съвета, тъй като рискува да създаде конфликти на интереси; отново призовава Съвета да обезпечи бюджет за председателствата на Съвета, за да се осигурят подходящи и единни стандарти за ефикасност и ефективност на работата в Съвета като цяло; изразява във връзка с това разочарование относно </w:t>
      </w:r>
      <w:proofErr w:type="spellStart"/>
      <w:r w:rsidR="0019743A" w:rsidRPr="008541CE">
        <w:t>необвързващите</w:t>
      </w:r>
      <w:proofErr w:type="spellEnd"/>
      <w:r w:rsidR="0019743A" w:rsidRPr="008541CE">
        <w:t xml:space="preserve"> насоки, издадени от Съвета по отношение на корпоративното спонсориране;</w:t>
      </w:r>
    </w:p>
    <w:p w:rsidR="0019743A" w:rsidRPr="008541CE" w:rsidRDefault="00674126" w:rsidP="0019743A">
      <w:pPr>
        <w:pStyle w:val="NormalHanging12a"/>
        <w:rPr>
          <w:szCs w:val="24"/>
        </w:rPr>
      </w:pPr>
      <w:r>
        <w:t>29</w:t>
      </w:r>
      <w:r w:rsidR="0019743A" w:rsidRPr="008541CE">
        <w:t>.</w:t>
      </w:r>
      <w:r w:rsidR="0019743A" w:rsidRPr="008541CE">
        <w:tab/>
        <w:t>изразява съжаление, че въпреки многократните искания на Парламента, кодексът за поведение на председателя на Европейския съвет не е приведен в съответствие с кодексите за поведение на Парламента и на Комисията, по-специално по отношение на дейностите, които трябва да бъдат одобрени, след като председателят напусне своя пост;</w:t>
      </w:r>
    </w:p>
    <w:p w:rsidR="0019743A" w:rsidRPr="008541CE" w:rsidRDefault="00674126" w:rsidP="0019743A">
      <w:pPr>
        <w:pStyle w:val="NormalHanging12a"/>
        <w:rPr>
          <w:szCs w:val="24"/>
        </w:rPr>
      </w:pPr>
      <w:r>
        <w:t>30</w:t>
      </w:r>
      <w:r w:rsidR="0019743A" w:rsidRPr="008541CE">
        <w:t>.</w:t>
      </w:r>
      <w:r w:rsidR="0019743A" w:rsidRPr="008541CE">
        <w:tab/>
        <w:t>отново заявява, че Решение(ЕС)</w:t>
      </w:r>
      <w:r w:rsidR="0019743A" w:rsidRPr="008541CE">
        <w:rPr>
          <w:b/>
          <w:color w:val="333333"/>
          <w:shd w:val="clear" w:color="auto" w:fill="FFFFFF"/>
        </w:rPr>
        <w:t xml:space="preserve"> </w:t>
      </w:r>
      <w:r w:rsidR="0019743A" w:rsidRPr="008541CE">
        <w:t>2023/2061 на Съвета от 22 септември 2023 г. за определяне на състава на Европейския парламент</w:t>
      </w:r>
      <w:r w:rsidR="0019743A" w:rsidRPr="008541CE">
        <w:rPr>
          <w:rStyle w:val="FootnoteReference"/>
          <w:szCs w:val="24"/>
        </w:rPr>
        <w:footnoteReference w:id="9"/>
      </w:r>
      <w:r w:rsidR="0019743A" w:rsidRPr="008541CE">
        <w:t xml:space="preserve"> не засяга правомощията на Европейския парламент и на Съвета в рамките на годишната бюджетна процедура и че съображение 5 от това решение се отнася за въпроси, които не попадат в обхвата на правомощията на Европейския съвет съгласно член 15, параграф 1 от ДЕС и правното основание за определянето на състава на Парламента съгласно член 14, параграф 2 от ДЕС; настоява, че единствено Парламентът и Съветът могат да вземат решения относно съдържанието на бюджета на Съюза в съответствие с процедурата, предвидена в член 314 от ДФЕС;</w:t>
      </w:r>
    </w:p>
    <w:p w:rsidR="0019743A" w:rsidRPr="00ED5513" w:rsidRDefault="0019743A" w:rsidP="0019743A">
      <w:pPr>
        <w:pStyle w:val="NormalHanging12a"/>
        <w:rPr>
          <w:b/>
          <w:i/>
          <w:szCs w:val="24"/>
        </w:rPr>
      </w:pPr>
      <w:r w:rsidRPr="00ED5513">
        <w:rPr>
          <w:b/>
          <w:i/>
        </w:rPr>
        <w:t>Бюджетно и финансово управление</w:t>
      </w:r>
    </w:p>
    <w:p w:rsidR="0019743A" w:rsidRPr="008541CE" w:rsidRDefault="00674126" w:rsidP="0019743A">
      <w:pPr>
        <w:pStyle w:val="NormalHanging12a"/>
        <w:rPr>
          <w:szCs w:val="24"/>
        </w:rPr>
      </w:pPr>
      <w:r>
        <w:t>31</w:t>
      </w:r>
      <w:r w:rsidR="0019743A" w:rsidRPr="008541CE">
        <w:t>.</w:t>
      </w:r>
      <w:r w:rsidR="0019743A" w:rsidRPr="008541CE">
        <w:tab/>
        <w:t>отбелязва, че бюджетът на Съвета за 2022 г. възлиза на 611 473 556 EUR, което представлява увеличение с 2,9% спрямо 2021 г. — значително по-високо от увеличението между 2020 и 2021 г., което беше 0,6%;</w:t>
      </w:r>
    </w:p>
    <w:p w:rsidR="0019743A" w:rsidRPr="008541CE" w:rsidRDefault="00674126" w:rsidP="0019743A">
      <w:pPr>
        <w:pStyle w:val="NormalHanging12a"/>
        <w:rPr>
          <w:szCs w:val="24"/>
        </w:rPr>
      </w:pPr>
      <w:r>
        <w:t>32</w:t>
      </w:r>
      <w:r w:rsidR="0019743A" w:rsidRPr="008541CE">
        <w:t>.</w:t>
      </w:r>
      <w:r w:rsidR="0019743A" w:rsidRPr="008541CE">
        <w:tab/>
        <w:t xml:space="preserve">отново изразява съжаление, че бюджетът на Европейския съвет и Съвета не беше разделен на два ясно отделени бюджета, както беше препоръчано от Парламента в предходните му резолюции за освобождаване от отговорност, с цел да се </w:t>
      </w:r>
      <w:r w:rsidR="0019743A" w:rsidRPr="008541CE">
        <w:lastRenderedPageBreak/>
        <w:t>подобрят прозрачността и отчетността, не на последно място по отношение на Европейския съвет, като се има предвид, че понастоящем е невъзможно да се получи надеждна информация за неговите разходи;</w:t>
      </w:r>
    </w:p>
    <w:p w:rsidR="0019743A" w:rsidRPr="008541CE" w:rsidRDefault="00674126" w:rsidP="0019743A">
      <w:pPr>
        <w:pStyle w:val="NormalHanging12a"/>
        <w:rPr>
          <w:szCs w:val="24"/>
        </w:rPr>
      </w:pPr>
      <w:r>
        <w:t>33</w:t>
      </w:r>
      <w:r w:rsidR="0019743A" w:rsidRPr="008541CE">
        <w:t>.</w:t>
      </w:r>
      <w:r w:rsidR="0019743A" w:rsidRPr="008541CE">
        <w:tab/>
        <w:t>отбелязва със съжаление, че Генералният секретариат на Съвета публикува доклад относно годишните счетоводни отчети и поредица от годишни отчети за дейността на различни части на Генералния секретариат, но че е трудно да се получи сбита и лесно достъпна цялостна представа за всички дейности на Генералния секретариат на Съвета, тъй като не съществува доклад, който обобщава и представя последователен преглед на дейностите на Съвета;</w:t>
      </w:r>
    </w:p>
    <w:p w:rsidR="0019743A" w:rsidRPr="008541CE" w:rsidRDefault="00674126" w:rsidP="0019743A">
      <w:pPr>
        <w:pStyle w:val="NormalHanging12a"/>
        <w:rPr>
          <w:szCs w:val="24"/>
        </w:rPr>
      </w:pPr>
      <w:r>
        <w:t>34</w:t>
      </w:r>
      <w:r w:rsidR="0019743A" w:rsidRPr="008541CE">
        <w:t>.</w:t>
      </w:r>
      <w:r w:rsidR="0019743A" w:rsidRPr="008541CE">
        <w:tab/>
        <w:t>отбелязва със задоволство, че счетоводителят на Съвета е в състояние да удостовери, че годишните отчети на Съвета за 2022 г. са изготвени в съответствие с дял XIII от Финансовия регламент и счетоводните правила, приети от счетоводителя на Комисията, както се изисква от всички институции и органи, служби и агенции на Съюза, и че счетоводителят има достатъчна увереност, че отчетите за 2022 г. дават вярна представа във всички съществени аспекти за финансовото състояние, резултатите от операциите и паричните потоци на Съвета;</w:t>
      </w:r>
    </w:p>
    <w:p w:rsidR="0019743A" w:rsidRPr="008541CE" w:rsidRDefault="00674126" w:rsidP="0019743A">
      <w:pPr>
        <w:pStyle w:val="NormalHanging12a"/>
        <w:rPr>
          <w:szCs w:val="24"/>
        </w:rPr>
      </w:pPr>
      <w:r>
        <w:t>35</w:t>
      </w:r>
      <w:r w:rsidR="0019743A" w:rsidRPr="008541CE">
        <w:t>.</w:t>
      </w:r>
      <w:r w:rsidR="0019743A" w:rsidRPr="008541CE">
        <w:tab/>
        <w:t>отбелязва, че през 2022 г. Съветът е извършил 64 бюджетни трансфера, всички въз основа на член 29 от Финансовия регламент, значително повече от 43-те трансфера през 2021 г.; отбелязва освен това, че шест от трансферите са включвали информиране на бюджетния орган и че основната причина за тези трансфери е увеличаването на разходите за вода, газ, електричество и отопление и увеличенията на заплатите;</w:t>
      </w:r>
    </w:p>
    <w:p w:rsidR="0019743A" w:rsidRPr="008541CE" w:rsidRDefault="00674126" w:rsidP="0019743A">
      <w:pPr>
        <w:pStyle w:val="NormalHanging12a"/>
        <w:rPr>
          <w:szCs w:val="24"/>
        </w:rPr>
      </w:pPr>
      <w:r>
        <w:t>36</w:t>
      </w:r>
      <w:r w:rsidR="0019743A" w:rsidRPr="008541CE">
        <w:t>.</w:t>
      </w:r>
      <w:r w:rsidR="0019743A" w:rsidRPr="008541CE">
        <w:tab/>
        <w:t>отбелязва, че трансферите са били свързани също така с намаляване на разходите за командировки на Генералния секретариат на Съвета с 300 000 EUR, което се равнява на 9%, и със сходно увеличение с 300 000 EUR на разходите за командировки на служителите, свързани с Европейския съвет, което се равнява на 20%; изисква от Съвета да осигури пълна прозрачност по отношение на пътуванията на председателя на Европейския съвет, включително транспортните средства, обосновката за избора на транспортните средства и придружаващите служители;</w:t>
      </w:r>
    </w:p>
    <w:p w:rsidR="0019743A" w:rsidRPr="008541CE" w:rsidRDefault="00674126" w:rsidP="0019743A">
      <w:pPr>
        <w:pStyle w:val="NormalHanging12a"/>
        <w:rPr>
          <w:szCs w:val="24"/>
        </w:rPr>
      </w:pPr>
      <w:r>
        <w:t>37</w:t>
      </w:r>
      <w:r w:rsidR="0019743A" w:rsidRPr="008541CE">
        <w:t>.</w:t>
      </w:r>
      <w:r w:rsidR="0019743A" w:rsidRPr="008541CE">
        <w:tab/>
        <w:t>критикува значителното увеличение на бюджета за пътувания на председателя на Европейския съвет в продължение на няколко години и изразява загриженост, че според съобщения в пресата председателят на Европейския съвет е използвал търговски самолети само при 18 от общо 112-те командировки, предприети между началото на мандата му през 2019 г. и декември 2022 г.; подчертава, че търговските самолети следва да бъдат стандартният вариант и за председателя на Европейския съвет, когато тази алтернатива съществува и е в съответствие с дневния ред и мястото на съответните заседания, и подчертава, че ръководителите на институциите на Съюза следва да действат като добър пример за обществеността, не на последно място във връзка с осигуряване на прилагането на политики за устойчивост в областта на климата;</w:t>
      </w:r>
    </w:p>
    <w:p w:rsidR="0019743A" w:rsidRPr="00ED5513" w:rsidRDefault="0019743A" w:rsidP="0019743A">
      <w:pPr>
        <w:pStyle w:val="NormalHanging12a"/>
        <w:rPr>
          <w:b/>
          <w:i/>
          <w:szCs w:val="24"/>
        </w:rPr>
      </w:pPr>
      <w:r w:rsidRPr="00ED5513">
        <w:rPr>
          <w:b/>
          <w:i/>
        </w:rPr>
        <w:t>Вътрешно управление, резултати от дейността и вътрешен контрол</w:t>
      </w:r>
    </w:p>
    <w:p w:rsidR="0019743A" w:rsidRPr="008541CE" w:rsidRDefault="00674126" w:rsidP="0019743A">
      <w:pPr>
        <w:pStyle w:val="NormalHanging12a"/>
        <w:rPr>
          <w:szCs w:val="24"/>
        </w:rPr>
      </w:pPr>
      <w:r>
        <w:t>38</w:t>
      </w:r>
      <w:r w:rsidR="0019743A" w:rsidRPr="008541CE">
        <w:t>.</w:t>
      </w:r>
      <w:r w:rsidR="0019743A" w:rsidRPr="008541CE">
        <w:tab/>
        <w:t xml:space="preserve">отбелязва, че през 2022 г. извънредните мерки, свързани с пандемията от COVID-19, бяха постепенно премахнати и се възстанови нормалното провеждане на </w:t>
      </w:r>
      <w:r w:rsidR="0019743A" w:rsidRPr="008541CE">
        <w:lastRenderedPageBreak/>
        <w:t>дейностите във връзка със заседанията; отбелязва в това отношение, че броят на видеоконференциите е намалял в полза на присъствените заседания между 2021 г., когато 35% от заседанията са били провеждани чрез видеоконферентна връзка, а 65% — с физическо присъствие, и 2022 г., когато 15% от заседанията са били провеждани чрез видеоконферентна връзка, а 85% — с физическо присъствие;</w:t>
      </w:r>
    </w:p>
    <w:p w:rsidR="0019743A" w:rsidRPr="008541CE" w:rsidRDefault="00674126" w:rsidP="0019743A">
      <w:pPr>
        <w:pStyle w:val="NormalHanging12a"/>
        <w:rPr>
          <w:szCs w:val="24"/>
        </w:rPr>
      </w:pPr>
      <w:r>
        <w:t>39</w:t>
      </w:r>
      <w:r w:rsidR="0019743A" w:rsidRPr="008541CE">
        <w:t>.</w:t>
      </w:r>
      <w:r w:rsidR="0019743A" w:rsidRPr="008541CE">
        <w:tab/>
        <w:t>отбелязва, че общият брой на официалните заседания през 2022 г. е 4 415, което представлява увеличение с 2,9% спрямо 4 291 през 2021 г. и което включва значително увеличение на присъствените заседания с над 150%;</w:t>
      </w:r>
    </w:p>
    <w:p w:rsidR="0019743A" w:rsidRPr="008541CE" w:rsidRDefault="00674126" w:rsidP="0019743A">
      <w:pPr>
        <w:pStyle w:val="NormalHanging12a"/>
        <w:rPr>
          <w:szCs w:val="24"/>
        </w:rPr>
      </w:pPr>
      <w:r>
        <w:t>40</w:t>
      </w:r>
      <w:r w:rsidR="0019743A" w:rsidRPr="008541CE">
        <w:t>.</w:t>
      </w:r>
      <w:r w:rsidR="0019743A" w:rsidRPr="008541CE">
        <w:tab/>
        <w:t>отбелязва, че през 2022 г. Генералният секретариат на Съвета е започнал 44 нови процедури за възлагане на обществени поръчки и че са подписани 42 договора на обща стойност 123 863 392 EUR, което представлява значително намаление спрямо 2021 г., когато са започнати 62 нови процедури за възлагане на обществени поръчки и са подписани 102 договора на обща стойност 416 013 813 EUR;</w:t>
      </w:r>
    </w:p>
    <w:p w:rsidR="0019743A" w:rsidRPr="008541CE" w:rsidRDefault="00674126" w:rsidP="0019743A">
      <w:pPr>
        <w:pStyle w:val="NormalHanging12a"/>
        <w:rPr>
          <w:szCs w:val="24"/>
        </w:rPr>
      </w:pPr>
      <w:r>
        <w:t>41</w:t>
      </w:r>
      <w:r w:rsidR="0019743A" w:rsidRPr="008541CE">
        <w:t>.</w:t>
      </w:r>
      <w:r w:rsidR="0019743A" w:rsidRPr="008541CE">
        <w:tab/>
        <w:t>приветства факта, че Генералният секретариат на Съвета предостави обобщение на броя и вида на вътрешните одити, осъществени в Генералния секретариат през 2022 г., и обобщение на препоръките и действията, предприети по тези препоръки, в съответствие с член 118, параграф 8 от Финансовия регламент; отбелязва, че вътрешният одитор е изготвил тригодишна работна програма за периода 2022 — 2024 г., която се подразделя на годишни работни програми; отбелязва, че през 2022 г. са осъществени седем вътрешни одита; отбелязва със загриженост, че в края на 2022 г. само 72% от препоръките от работната програма за периода 2019 — 2021 г. са изпълнени, а 27% все още не са изпълнени;</w:t>
      </w:r>
    </w:p>
    <w:p w:rsidR="0019743A" w:rsidRPr="008541CE" w:rsidRDefault="00674126" w:rsidP="0019743A">
      <w:pPr>
        <w:pStyle w:val="NormalHanging12a"/>
        <w:rPr>
          <w:szCs w:val="24"/>
        </w:rPr>
      </w:pPr>
      <w:r>
        <w:t>42</w:t>
      </w:r>
      <w:r w:rsidR="0019743A" w:rsidRPr="008541CE">
        <w:t>.</w:t>
      </w:r>
      <w:r w:rsidR="0019743A" w:rsidRPr="008541CE">
        <w:tab/>
        <w:t xml:space="preserve">приветства факта, че вътрешните одити са обхванали широк спектър от области; приветства освен това факта, че всички препоръки, засягащи шест от седемте одита, са били приети; изразява съжаление, че резултатите от одита на управлението на </w:t>
      </w:r>
      <w:proofErr w:type="spellStart"/>
      <w:r w:rsidR="0019743A" w:rsidRPr="008541CE">
        <w:t>криптографските</w:t>
      </w:r>
      <w:proofErr w:type="spellEnd"/>
      <w:r w:rsidR="0019743A" w:rsidRPr="008541CE">
        <w:t xml:space="preserve"> материали не са съобщени, тъй като одитният доклад е класифициран; подчертава, че Парламентът разполага със системи за работа с класифицирана информация и че резултатите от одита на управлението на </w:t>
      </w:r>
      <w:proofErr w:type="spellStart"/>
      <w:r w:rsidR="0019743A" w:rsidRPr="008541CE">
        <w:t>криптографските</w:t>
      </w:r>
      <w:proofErr w:type="spellEnd"/>
      <w:r w:rsidR="0019743A" w:rsidRPr="008541CE">
        <w:t xml:space="preserve"> материали е можело да бъдат съобщени чрез тези системи;</w:t>
      </w:r>
    </w:p>
    <w:p w:rsidR="0019743A" w:rsidRPr="00ED5513" w:rsidRDefault="0019743A" w:rsidP="0019743A">
      <w:pPr>
        <w:pStyle w:val="NormalHanging12a"/>
        <w:rPr>
          <w:b/>
          <w:i/>
          <w:szCs w:val="24"/>
        </w:rPr>
      </w:pPr>
      <w:r w:rsidRPr="00ED5513">
        <w:rPr>
          <w:b/>
          <w:i/>
        </w:rPr>
        <w:t>Човешки ресурси, равенство и благосъстояние на служителите</w:t>
      </w:r>
    </w:p>
    <w:p w:rsidR="0019743A" w:rsidRPr="008541CE" w:rsidRDefault="00674126" w:rsidP="0019743A">
      <w:pPr>
        <w:pStyle w:val="NormalHanging12a"/>
        <w:rPr>
          <w:szCs w:val="24"/>
        </w:rPr>
      </w:pPr>
      <w:r>
        <w:t>43</w:t>
      </w:r>
      <w:r w:rsidR="0019743A" w:rsidRPr="008541CE">
        <w:t>.</w:t>
      </w:r>
      <w:r w:rsidR="0019743A" w:rsidRPr="008541CE">
        <w:tab/>
        <w:t>отбелязва, че предвид липсата на сътрудничество от страна на Съвета с Парламента, забележките в настоящия раздел се основават предимно на обобщена информация, публикувана на уебсайта на Съвета, която предоставя ограничени подробности;</w:t>
      </w:r>
    </w:p>
    <w:p w:rsidR="0019743A" w:rsidRPr="008541CE" w:rsidRDefault="00674126" w:rsidP="0019743A">
      <w:pPr>
        <w:pStyle w:val="NormalHanging12a"/>
        <w:rPr>
          <w:szCs w:val="24"/>
        </w:rPr>
      </w:pPr>
      <w:r>
        <w:t>44</w:t>
      </w:r>
      <w:r w:rsidR="0019743A" w:rsidRPr="008541CE">
        <w:t>.</w:t>
      </w:r>
      <w:r w:rsidR="0019743A" w:rsidRPr="008541CE">
        <w:tab/>
        <w:t>отбелязва, че в бюджета на Съвета за 2022 г. са предвидени 3 029 длъжности, което е същият брой като предвидения за 2021 г., но разпределението между категориите се е променило, като броят на длъжностите за администратори (AD) се е увеличил от 1 493 на 1 519, броят на длъжностите за асистенти (AST) е намалял от 1 320 на 1 284, а броят на секретарските длъжности (SC) се е увеличил от 180 на 190; изисква от Съвета да предостави повече подробности относно превенцията на професионалното изчерпване на неговите служители, особено като се има предвид, че броят на сътрудниците намалява;</w:t>
      </w:r>
    </w:p>
    <w:p w:rsidR="0019743A" w:rsidRPr="008541CE" w:rsidRDefault="00674126" w:rsidP="0019743A">
      <w:pPr>
        <w:pStyle w:val="NormalHanging12a"/>
        <w:rPr>
          <w:szCs w:val="24"/>
        </w:rPr>
      </w:pPr>
      <w:r>
        <w:lastRenderedPageBreak/>
        <w:t>45</w:t>
      </w:r>
      <w:r w:rsidR="0019743A" w:rsidRPr="008541CE">
        <w:t>.</w:t>
      </w:r>
      <w:r w:rsidR="0019743A" w:rsidRPr="008541CE">
        <w:tab/>
        <w:t>отбелязва, че според доклада за финансовата му дейност за 2022 г. към 31 декември 2022 г. в Генералния секретариат на Съвета са били заети 2 924 длъжности; отбелязва освен това, че на уебсайта на Съвета се посочва, че към 1 януари 2023 г. Генералният секретариат на Съвета е разполагал с 3 108 служители (длъжностни лица, срочно и договорно наети служители и командировани национални експерти); призовава Съвета да избягва публикуването на противоречива информация в своите отворени източници;</w:t>
      </w:r>
    </w:p>
    <w:p w:rsidR="0019743A" w:rsidRPr="008541CE" w:rsidRDefault="00674126" w:rsidP="0019743A">
      <w:pPr>
        <w:pStyle w:val="NormalHanging12a"/>
        <w:rPr>
          <w:szCs w:val="24"/>
        </w:rPr>
      </w:pPr>
      <w:r>
        <w:t>46</w:t>
      </w:r>
      <w:r w:rsidR="0019743A" w:rsidRPr="008541CE">
        <w:t>.</w:t>
      </w:r>
      <w:r w:rsidR="0019743A" w:rsidRPr="008541CE">
        <w:tab/>
        <w:t>отбелязва, че от 3 108-те служители 1 783 (57%) са жени, а 1 325 (43%) — мъже; изразява съжаление, че в категорията „висше ръководство“ само 18 от общо 51 длъжности, или 35%, са заети от жени; освен това изразява съжаление, че това представлява спад в дела на жените на висши ръководни длъжности, който е бил 38% през 2021 г.;</w:t>
      </w:r>
    </w:p>
    <w:p w:rsidR="0019743A" w:rsidRPr="008541CE" w:rsidRDefault="00674126" w:rsidP="0019743A">
      <w:pPr>
        <w:pStyle w:val="NormalHanging12a"/>
        <w:rPr>
          <w:szCs w:val="24"/>
        </w:rPr>
      </w:pPr>
      <w:r>
        <w:t>47</w:t>
      </w:r>
      <w:r w:rsidR="0019743A" w:rsidRPr="008541CE">
        <w:t>.</w:t>
      </w:r>
      <w:r w:rsidR="0019743A" w:rsidRPr="008541CE">
        <w:tab/>
        <w:t>отбелязва, че 37 от общо 83 длъжности, или 45%, в категорията „средно управленско равнище“ са заети от жени, което представлява леко увеличение спрямо отчетените през предходната година 44%; отбелязва накрая, че 814 от общо 1 462 длъжности в категорията AD, или 56%, са заети от жени, което също представлява леко увеличение спрямо отчетените през 2021 г. 55%, и отбелязва, че 882 от общо 1 411 длъжности в категориите AST и SC, или 63%, са заети от жени, което е същото като през 2021 г.;</w:t>
      </w:r>
    </w:p>
    <w:p w:rsidR="0019743A" w:rsidRPr="008541CE" w:rsidRDefault="00674126" w:rsidP="0019743A">
      <w:pPr>
        <w:pStyle w:val="NormalHanging12a"/>
        <w:rPr>
          <w:szCs w:val="24"/>
        </w:rPr>
      </w:pPr>
      <w:r>
        <w:t>48</w:t>
      </w:r>
      <w:r w:rsidR="0019743A" w:rsidRPr="008541CE">
        <w:t>.</w:t>
      </w:r>
      <w:r w:rsidR="0019743A" w:rsidRPr="008541CE">
        <w:tab/>
        <w:t>изразява съжаление относно дисбаланса между половете сред висшите ръководни длъжности в Генералния секретариат на Съвета; призовава Съвета да предприеме незабавни и конкретни мерки за постигане на баланс между половете на всички йерархични нива;</w:t>
      </w:r>
    </w:p>
    <w:p w:rsidR="0019743A" w:rsidRPr="008541CE" w:rsidRDefault="00674126" w:rsidP="0019743A">
      <w:pPr>
        <w:pStyle w:val="NormalHanging12a"/>
        <w:rPr>
          <w:szCs w:val="24"/>
        </w:rPr>
      </w:pPr>
      <w:r>
        <w:t>49</w:t>
      </w:r>
      <w:r w:rsidR="0019743A" w:rsidRPr="008541CE">
        <w:t>.</w:t>
      </w:r>
      <w:r w:rsidR="0019743A" w:rsidRPr="008541CE">
        <w:tab/>
        <w:t>отбелязва, че всички 27 държави членки са представени сред служителите, но че съществуват сериозни географски дисбаланси с 527 белгийски служители, или 17%, докато само 0,2% са кипърци и 0,3% граждани на Люксембург; подчертава значението на справедливия географски баланс сред служителите на всички равнища, и по-специално на средно и висше управленско равнище, като едновременно с това се изпълняват изискванията в Правилника за персонала относно квалификацията и заслугите на кандидатите;</w:t>
      </w:r>
    </w:p>
    <w:p w:rsidR="0019743A" w:rsidRPr="008541CE" w:rsidRDefault="00674126" w:rsidP="0019743A">
      <w:pPr>
        <w:pStyle w:val="NormalHanging12a"/>
        <w:rPr>
          <w:szCs w:val="24"/>
        </w:rPr>
      </w:pPr>
      <w:r>
        <w:t>50</w:t>
      </w:r>
      <w:r w:rsidR="0019743A" w:rsidRPr="008541CE">
        <w:t>.</w:t>
      </w:r>
      <w:r w:rsidR="0019743A" w:rsidRPr="008541CE">
        <w:tab/>
        <w:t>изразява съжаление във връзка с липсата на информация за изпълнението на плана за действие на Съвета относно равенството между половете и за предприетите мерки за осигуряване на равни възможности за лицата с увреждания, работещи в Съвета; призовава Съвета да предостави на Парламента информация относно баланса между половете, географското разпределение и лицата с увреждания сред своите служители и относно свързаните с това вътрешни политики;</w:t>
      </w:r>
    </w:p>
    <w:p w:rsidR="0019743A" w:rsidRPr="008541CE" w:rsidRDefault="00674126" w:rsidP="0019743A">
      <w:pPr>
        <w:pStyle w:val="NormalHanging12a"/>
        <w:rPr>
          <w:szCs w:val="24"/>
        </w:rPr>
      </w:pPr>
      <w:r>
        <w:t>51</w:t>
      </w:r>
      <w:r w:rsidR="0019743A" w:rsidRPr="008541CE">
        <w:t>.</w:t>
      </w:r>
      <w:r w:rsidR="0019743A" w:rsidRPr="008541CE">
        <w:tab/>
        <w:t>изразява съжаление, че тъй като Съветът не отговаря на въпросника на Парламента, Парламентът не разполага с информация относно броя на стажантите в Съвета през 2022 г. и дали те са получавали или не възнаграждение по време на стажа си; припомня искането на Парламента към всички институции всички стажанти да получават заплата, освен ако вече не получават възнаграждение от други източници;</w:t>
      </w:r>
    </w:p>
    <w:p w:rsidR="0019743A" w:rsidRPr="00ED5513" w:rsidRDefault="0019743A" w:rsidP="0019743A">
      <w:pPr>
        <w:pStyle w:val="NormalHanging12a"/>
        <w:rPr>
          <w:b/>
          <w:i/>
          <w:szCs w:val="24"/>
        </w:rPr>
      </w:pPr>
      <w:r w:rsidRPr="00ED5513">
        <w:rPr>
          <w:b/>
          <w:i/>
        </w:rPr>
        <w:t>Етична рамка и прозрачност</w:t>
      </w:r>
    </w:p>
    <w:p w:rsidR="0019743A" w:rsidRPr="008541CE" w:rsidRDefault="00674126" w:rsidP="0019743A">
      <w:pPr>
        <w:pStyle w:val="NormalHanging12a"/>
        <w:rPr>
          <w:szCs w:val="24"/>
        </w:rPr>
      </w:pPr>
      <w:r>
        <w:lastRenderedPageBreak/>
        <w:t>52</w:t>
      </w:r>
      <w:r w:rsidR="0019743A" w:rsidRPr="008541CE">
        <w:t>.</w:t>
      </w:r>
      <w:r w:rsidR="0019743A" w:rsidRPr="008541CE">
        <w:tab/>
        <w:t>отново заявява, че етичното поведение допринася за доброто финансово управление и повишава общественото доверие, както и че, както подчертава Палатата в своя Специален доклад № 13/2019, съществуват възможности за подобрение на етичните рамки на институциите на Съюза — нещо, което е от изключително значение, тъй като всяко неетично поведение от страна на служителите и членовете привлича голям обществен интерес и намалява доверието в Съюза;</w:t>
      </w:r>
    </w:p>
    <w:p w:rsidR="0019743A" w:rsidRPr="008541CE" w:rsidRDefault="00674126" w:rsidP="0019743A">
      <w:pPr>
        <w:pStyle w:val="NormalHanging12a"/>
        <w:rPr>
          <w:szCs w:val="24"/>
        </w:rPr>
      </w:pPr>
      <w:r>
        <w:t>53</w:t>
      </w:r>
      <w:r w:rsidR="0019743A" w:rsidRPr="008541CE">
        <w:t>.</w:t>
      </w:r>
      <w:r w:rsidR="0019743A" w:rsidRPr="008541CE">
        <w:tab/>
        <w:t>изразява съжаление, че Парламентът няма възможност да задава въпроси относно съществуващата в Съвета етична рамка, тъй като Съветът не отговаря на въпроси от Парламента и следователно не е получена информация относно кодекса за поведение, приложим за всички служители на Съвета;</w:t>
      </w:r>
    </w:p>
    <w:p w:rsidR="0019743A" w:rsidRPr="008541CE" w:rsidRDefault="00674126" w:rsidP="0019743A">
      <w:pPr>
        <w:pStyle w:val="NormalHanging12a"/>
        <w:rPr>
          <w:szCs w:val="24"/>
        </w:rPr>
      </w:pPr>
      <w:r>
        <w:t>54</w:t>
      </w:r>
      <w:r w:rsidR="0019743A" w:rsidRPr="008541CE">
        <w:t>.</w:t>
      </w:r>
      <w:r w:rsidR="0019743A" w:rsidRPr="008541CE">
        <w:tab/>
        <w:t>припомня препоръката, отправена от Палатата в нейния Специален доклад № 13/2019 по отношение на подобряването на етичната рамка на Съвета; изразява загриженост относно установената от Палатата липса на обща етична рамка на Съюза, уреждаща работата на представителите на държавите членки в Съвета;</w:t>
      </w:r>
    </w:p>
    <w:p w:rsidR="0019743A" w:rsidRPr="008541CE" w:rsidRDefault="00674126" w:rsidP="0019743A">
      <w:pPr>
        <w:pStyle w:val="NormalHanging12a"/>
        <w:rPr>
          <w:szCs w:val="24"/>
        </w:rPr>
      </w:pPr>
      <w:r>
        <w:t>55</w:t>
      </w:r>
      <w:r w:rsidR="0019743A" w:rsidRPr="008541CE">
        <w:t>.</w:t>
      </w:r>
      <w:r w:rsidR="0019743A" w:rsidRPr="008541CE">
        <w:tab/>
        <w:t>отбелязва, че Генералният секретариат на Съвета публикува годишен доклад с информация относно професионалната дейност на бившите длъжностни лица на ръководна длъжност в Генералния секретариат на Съвета след прекратяване на служебното правоотношение (член 16, трета и четвърта алинея от Правилника за длъжностните лица); отбелязва, че според доклада за 2022 г. четирима служители на ръководна длъжност са заявили намерението си да извършват професионална дейност през 2022 г. и че двама бивши служители на ръководна длъжност са подали декларации в края на 2021 г., които също са били разгледани през 2022 г.; отбелязва, че за никое от исканията не е установено да попада в обхвата на член 16;</w:t>
      </w:r>
    </w:p>
    <w:p w:rsidR="0019743A" w:rsidRPr="008541CE" w:rsidRDefault="00674126" w:rsidP="0019743A">
      <w:pPr>
        <w:pStyle w:val="NormalHanging12a"/>
        <w:rPr>
          <w:szCs w:val="24"/>
        </w:rPr>
      </w:pPr>
      <w:r>
        <w:t>56</w:t>
      </w:r>
      <w:r w:rsidR="0019743A" w:rsidRPr="008541CE">
        <w:t>.</w:t>
      </w:r>
      <w:r w:rsidR="0019743A" w:rsidRPr="008541CE">
        <w:tab/>
        <w:t>отбелязва със задоволство, че в своите годишни отчети за дейността всички компетентни генерални директори на Съвета са декларирали, че през 2022 г. не са били уведомявани за случаи на измама или нередности;</w:t>
      </w:r>
    </w:p>
    <w:p w:rsidR="0019743A" w:rsidRPr="00ED5513" w:rsidRDefault="0019743A" w:rsidP="0019743A">
      <w:pPr>
        <w:spacing w:after="240"/>
        <w:rPr>
          <w:b/>
          <w:i/>
          <w:szCs w:val="24"/>
        </w:rPr>
      </w:pPr>
      <w:r w:rsidRPr="00ED5513">
        <w:rPr>
          <w:b/>
          <w:i/>
        </w:rPr>
        <w:t>Цифровизация, киберсигурност и защита на данните</w:t>
      </w:r>
    </w:p>
    <w:p w:rsidR="0019743A" w:rsidRPr="008541CE" w:rsidRDefault="00674126" w:rsidP="0019743A">
      <w:pPr>
        <w:pStyle w:val="NormalHanging12a"/>
        <w:rPr>
          <w:szCs w:val="24"/>
        </w:rPr>
      </w:pPr>
      <w:r>
        <w:t>57</w:t>
      </w:r>
      <w:r w:rsidR="0019743A" w:rsidRPr="008541CE">
        <w:t>.</w:t>
      </w:r>
      <w:r w:rsidR="0019743A" w:rsidRPr="008541CE">
        <w:tab/>
        <w:t>отбелязва, че първоначално бюджетът на Съвета за информационни системи и телекомуникации за 2022 г. възлиза на 48 115 000 EUR, което представлява увеличение с 2,1% спрямо 2021 г.; отбелязва обаче, че още 6 805 000 EUR са прехвърлени в бюджета през 2022 г., но че действителните плащания са значително по-ниски — 27 096 067 EUR, което представлява едва около 50% от общия размер на окончателните бюджетни кредити;</w:t>
      </w:r>
    </w:p>
    <w:p w:rsidR="0019743A" w:rsidRPr="008541CE" w:rsidRDefault="00674126" w:rsidP="0019743A">
      <w:pPr>
        <w:pStyle w:val="NormalHanging12a"/>
        <w:rPr>
          <w:szCs w:val="24"/>
        </w:rPr>
      </w:pPr>
      <w:r>
        <w:t>58</w:t>
      </w:r>
      <w:r w:rsidR="0019743A" w:rsidRPr="008541CE">
        <w:t>.</w:t>
      </w:r>
      <w:r w:rsidR="0019743A" w:rsidRPr="008541CE">
        <w:tab/>
        <w:t>приветства факта, че електронната обработка на фактури е достигнала 97% през 2022 г., което представлява значително увеличение спрямо отчетените през 2021 г. 89%;</w:t>
      </w:r>
    </w:p>
    <w:p w:rsidR="0019743A" w:rsidRPr="008541CE" w:rsidRDefault="00674126" w:rsidP="0019743A">
      <w:pPr>
        <w:pStyle w:val="NormalHanging12a"/>
        <w:rPr>
          <w:szCs w:val="24"/>
        </w:rPr>
      </w:pPr>
      <w:r>
        <w:t>59</w:t>
      </w:r>
      <w:r w:rsidR="0019743A" w:rsidRPr="008541CE">
        <w:t>.</w:t>
      </w:r>
      <w:r w:rsidR="0019743A" w:rsidRPr="008541CE">
        <w:tab/>
        <w:t>отново призовава Съвета да проучи начини за възможно най-широко използване на технологии с отворен код и да докладва за напредъка в използването на такива системи;</w:t>
      </w:r>
    </w:p>
    <w:p w:rsidR="0019743A" w:rsidRPr="00ED5513" w:rsidRDefault="0019743A" w:rsidP="0019743A">
      <w:pPr>
        <w:spacing w:after="240"/>
        <w:rPr>
          <w:b/>
          <w:bCs/>
          <w:i/>
          <w:iCs/>
          <w:szCs w:val="24"/>
        </w:rPr>
      </w:pPr>
      <w:r w:rsidRPr="00ED5513">
        <w:rPr>
          <w:b/>
          <w:i/>
        </w:rPr>
        <w:t>Сгради</w:t>
      </w:r>
    </w:p>
    <w:p w:rsidR="0019743A" w:rsidRPr="008541CE" w:rsidRDefault="00674126" w:rsidP="0019743A">
      <w:pPr>
        <w:pStyle w:val="NormalHanging12a"/>
        <w:rPr>
          <w:szCs w:val="24"/>
        </w:rPr>
      </w:pPr>
      <w:r>
        <w:t>60</w:t>
      </w:r>
      <w:r w:rsidR="0019743A" w:rsidRPr="008541CE">
        <w:t>.</w:t>
      </w:r>
      <w:r w:rsidR="0019743A" w:rsidRPr="008541CE">
        <w:tab/>
        <w:t xml:space="preserve">отбелязва, че общо плащанията за сградите възлизат на 45 435 994 EUR през </w:t>
      </w:r>
      <w:r w:rsidR="0019743A" w:rsidRPr="008541CE">
        <w:lastRenderedPageBreak/>
        <w:t>2022 г., значително повече спрямо 35 709 119 EUR през 2021 г., като това представлява увеличение с 27,2%; отбелязва, че основната причина за това увеличение са плащанията за вода, газ, електричество и отопление, които са се увеличили от 2 565 008 EUR през 2021 г. на 11 233 088 EUR през 2022 г., което се равнява на увеличение с 338%;</w:t>
      </w:r>
    </w:p>
    <w:p w:rsidR="0019743A" w:rsidRPr="008541CE" w:rsidRDefault="00674126" w:rsidP="0019743A">
      <w:pPr>
        <w:pStyle w:val="NormalHanging12a"/>
        <w:rPr>
          <w:szCs w:val="24"/>
        </w:rPr>
      </w:pPr>
      <w:r>
        <w:t>61</w:t>
      </w:r>
      <w:r w:rsidR="0019743A" w:rsidRPr="008541CE">
        <w:t>.</w:t>
      </w:r>
      <w:r w:rsidR="0019743A" w:rsidRPr="008541CE">
        <w:tab/>
        <w:t>приветства факта, че Съветът е успял да намали потреблението на енергия през 2022 г. в сравнение с предходните години, също и поради политиката, приета от всички институции на Съюза за намаляване на температурата в сградите на 19 градуса; въпреки това насърчава Генералния секретариат на Съвета да набележи допълнителни инициативи за намаляване на потреблението на енергия;</w:t>
      </w:r>
    </w:p>
    <w:p w:rsidR="0019743A" w:rsidRPr="008541CE" w:rsidRDefault="00674126" w:rsidP="0019743A">
      <w:pPr>
        <w:pStyle w:val="NormalHanging12a"/>
        <w:rPr>
          <w:szCs w:val="24"/>
        </w:rPr>
      </w:pPr>
      <w:r>
        <w:t>62</w:t>
      </w:r>
      <w:r w:rsidR="0019743A" w:rsidRPr="008541CE">
        <w:t>.</w:t>
      </w:r>
      <w:r w:rsidR="0019743A" w:rsidRPr="008541CE">
        <w:tab/>
        <w:t>изразява съжаление, че тъй като Съветът не отговаря на въпросника на Парламента, Парламентът не разполага с информация относно инициативи в Съвета през 2022 г. за подобряване на достъпа на хората с увреждания до неговите сгради и други възможни инициативи за хората с увреждания;</w:t>
      </w:r>
    </w:p>
    <w:p w:rsidR="0019743A" w:rsidRPr="00ED5513" w:rsidRDefault="0019743A" w:rsidP="0019743A">
      <w:pPr>
        <w:spacing w:after="240"/>
        <w:rPr>
          <w:b/>
          <w:i/>
          <w:szCs w:val="24"/>
        </w:rPr>
      </w:pPr>
      <w:r w:rsidRPr="00ED5513">
        <w:rPr>
          <w:b/>
          <w:i/>
        </w:rPr>
        <w:t>Околна среда и устойчивост</w:t>
      </w:r>
    </w:p>
    <w:p w:rsidR="0019743A" w:rsidRPr="008541CE" w:rsidRDefault="00674126" w:rsidP="0019743A">
      <w:pPr>
        <w:pStyle w:val="NormalHanging12a"/>
        <w:rPr>
          <w:szCs w:val="24"/>
        </w:rPr>
      </w:pPr>
      <w:r>
        <w:t>63</w:t>
      </w:r>
      <w:r w:rsidR="0019743A" w:rsidRPr="008541CE">
        <w:t>.</w:t>
      </w:r>
      <w:r w:rsidR="0019743A" w:rsidRPr="008541CE">
        <w:tab/>
        <w:t>отбелязва, че е все така трудно да се получи актуализирана и изчерпателна информация относно инициативи на Съвета, свързани с околната среда и устойчивостта и с развитието на общото потребление, включително използването на вода, газ, електричество и хартия; насърчава Съвета да докладва систематично относно елементите на своята работа, свързани с околната среда и устойчивостта, като част от годишните си доклади; отбелязва със задоволство няколко разпръснати инициативи, посочени в годишния доклад, като закупуването на четири електрически автомобила и насърчаването на интегрирането на клаузи, свързани с околната среда, в процедурите за възлагане на обществени поръчки;</w:t>
      </w:r>
    </w:p>
    <w:p w:rsidR="0019743A" w:rsidRPr="008541CE" w:rsidRDefault="00674126" w:rsidP="0019743A">
      <w:pPr>
        <w:pStyle w:val="NormalHanging12a"/>
        <w:rPr>
          <w:szCs w:val="24"/>
        </w:rPr>
      </w:pPr>
      <w:r>
        <w:t>64</w:t>
      </w:r>
      <w:r w:rsidR="0019743A" w:rsidRPr="008541CE">
        <w:t>.</w:t>
      </w:r>
      <w:r w:rsidR="0019743A" w:rsidRPr="008541CE">
        <w:tab/>
        <w:t>продължава да призовава Съвета да създаде система, ако все още не е създадена такива, за насърчаване на служителите да използват обществен транспорт или друг вид транспорт с ниски емисии, като велосипеди, с цел намаляване на въглеродния отпечатък на Съвета;</w:t>
      </w:r>
    </w:p>
    <w:p w:rsidR="0019743A" w:rsidRPr="008541CE" w:rsidRDefault="00674126" w:rsidP="0019743A">
      <w:pPr>
        <w:pStyle w:val="NormalHanging12a"/>
        <w:rPr>
          <w:szCs w:val="24"/>
        </w:rPr>
      </w:pPr>
      <w:r>
        <w:t>65</w:t>
      </w:r>
      <w:r w:rsidR="0019743A" w:rsidRPr="008541CE">
        <w:t>.</w:t>
      </w:r>
      <w:r w:rsidR="0019743A" w:rsidRPr="008541CE">
        <w:tab/>
        <w:t>отбелязва, че в годишните отчети на Съвета се посочва, че в края на 2022 г. Съветът е притежавал 773,4 сертификата за зелена енергия спрямо 2 589,2 в края на 2021 г. въз основа на добитата енергия от слънчевите панели, разположени на покрива на сградите на Съвета; отбелязва, че всеки сертификат е на стойност 65 EUR; продължава да изисква от Съвета да докладва по-подробно относно продажбата на тези сертификати на открития пазар и планираното използване на генерираните приходи;</w:t>
      </w:r>
    </w:p>
    <w:p w:rsidR="0019743A" w:rsidRPr="00ED5513" w:rsidRDefault="0019743A" w:rsidP="0019743A">
      <w:pPr>
        <w:spacing w:after="240"/>
        <w:rPr>
          <w:b/>
          <w:i/>
          <w:szCs w:val="24"/>
        </w:rPr>
      </w:pPr>
      <w:r w:rsidRPr="00ED5513">
        <w:rPr>
          <w:b/>
          <w:i/>
        </w:rPr>
        <w:t>Междуинституционално сътрудничество</w:t>
      </w:r>
    </w:p>
    <w:p w:rsidR="0019743A" w:rsidRPr="008541CE" w:rsidRDefault="00674126" w:rsidP="0019743A">
      <w:pPr>
        <w:pStyle w:val="NormalHanging12a"/>
        <w:rPr>
          <w:szCs w:val="24"/>
        </w:rPr>
      </w:pPr>
      <w:r>
        <w:t>66</w:t>
      </w:r>
      <w:r w:rsidR="0019743A" w:rsidRPr="008541CE">
        <w:t>.</w:t>
      </w:r>
      <w:r w:rsidR="0019743A" w:rsidRPr="008541CE">
        <w:tab/>
        <w:t>подчертава необходимостта от преразглеждане на член 319 от ДФЕС като част от изменение на този договор, за да се предвиди изрично, че освен че освобождава Комисията от отговорност във връзка с изпълнението на бюджета, Парламентът освобождава от отговорност и другите институции, органи, служби и агенции на Съюза във връзка с изпълнението на техните раздели от общия бюджет или на техните бюджети;</w:t>
      </w:r>
    </w:p>
    <w:p w:rsidR="0019743A" w:rsidRPr="00ED5513" w:rsidRDefault="0019743A" w:rsidP="0019743A">
      <w:pPr>
        <w:pStyle w:val="NormalHanging12a"/>
        <w:rPr>
          <w:b/>
          <w:i/>
          <w:szCs w:val="24"/>
        </w:rPr>
      </w:pPr>
      <w:r w:rsidRPr="00ED5513">
        <w:rPr>
          <w:b/>
          <w:i/>
        </w:rPr>
        <w:t>Комуникация</w:t>
      </w:r>
    </w:p>
    <w:p w:rsidR="0019743A" w:rsidRPr="008541CE" w:rsidRDefault="00674126" w:rsidP="0019743A">
      <w:pPr>
        <w:pStyle w:val="NormalHanging12a"/>
        <w:rPr>
          <w:szCs w:val="24"/>
        </w:rPr>
      </w:pPr>
      <w:r>
        <w:lastRenderedPageBreak/>
        <w:t>67</w:t>
      </w:r>
      <w:r w:rsidR="0019743A" w:rsidRPr="008541CE">
        <w:t>.</w:t>
      </w:r>
      <w:r w:rsidR="0019743A" w:rsidRPr="008541CE">
        <w:tab/>
        <w:t xml:space="preserve">отбелязва, че 2022 г. е рекордна година с над 24,5 милиона посещения на уебсайта на Съвета, което представлява увеличение с 16% спрямо 2020 г., и че броят на последователите във </w:t>
      </w:r>
      <w:proofErr w:type="spellStart"/>
      <w:r w:rsidR="0019743A" w:rsidRPr="008541CE">
        <w:rPr>
          <w:i/>
          <w:iCs/>
        </w:rPr>
        <w:t>Facebook</w:t>
      </w:r>
      <w:proofErr w:type="spellEnd"/>
      <w:r w:rsidR="0019743A" w:rsidRPr="008541CE">
        <w:t xml:space="preserve"> се е увеличил с 8%, докато броят на последователите в </w:t>
      </w:r>
      <w:r w:rsidR="0019743A" w:rsidRPr="008541CE">
        <w:rPr>
          <w:i/>
          <w:iCs/>
        </w:rPr>
        <w:t>X</w:t>
      </w:r>
      <w:r w:rsidR="0019743A" w:rsidRPr="008541CE">
        <w:t xml:space="preserve"> (бивш </w:t>
      </w:r>
      <w:proofErr w:type="spellStart"/>
      <w:r w:rsidR="0019743A" w:rsidRPr="008541CE">
        <w:rPr>
          <w:i/>
          <w:iCs/>
        </w:rPr>
        <w:t>Twitter</w:t>
      </w:r>
      <w:proofErr w:type="spellEnd"/>
      <w:r w:rsidR="0019743A" w:rsidRPr="008541CE">
        <w:t xml:space="preserve">), </w:t>
      </w:r>
      <w:proofErr w:type="spellStart"/>
      <w:r w:rsidR="0019743A" w:rsidRPr="008541CE">
        <w:rPr>
          <w:i/>
          <w:iCs/>
        </w:rPr>
        <w:t>Instagram</w:t>
      </w:r>
      <w:proofErr w:type="spellEnd"/>
      <w:r w:rsidR="0019743A" w:rsidRPr="008541CE">
        <w:t xml:space="preserve"> и </w:t>
      </w:r>
      <w:proofErr w:type="spellStart"/>
      <w:r w:rsidR="0019743A" w:rsidRPr="008541CE">
        <w:rPr>
          <w:i/>
          <w:iCs/>
        </w:rPr>
        <w:t>LinkedIn</w:t>
      </w:r>
      <w:proofErr w:type="spellEnd"/>
      <w:r w:rsidR="0019743A" w:rsidRPr="008541CE">
        <w:t xml:space="preserve"> се е увеличил съответно с 19, 17 и 33%;</w:t>
      </w:r>
    </w:p>
    <w:p w:rsidR="0019743A" w:rsidRPr="008541CE" w:rsidRDefault="00674126" w:rsidP="0019743A">
      <w:pPr>
        <w:pStyle w:val="NormalHanging12a"/>
        <w:rPr>
          <w:b/>
          <w:i/>
          <w:szCs w:val="24"/>
        </w:rPr>
      </w:pPr>
      <w:r>
        <w:t>68</w:t>
      </w:r>
      <w:r w:rsidR="0019743A" w:rsidRPr="008541CE">
        <w:t>.</w:t>
      </w:r>
      <w:r w:rsidR="0019743A" w:rsidRPr="008541CE">
        <w:tab/>
        <w:t xml:space="preserve">насърчава Съвета да си сътрудничи с Европейския надзорен орган по защита на данните с оглед на използването на двете платформи на социалните медии с отворен код, </w:t>
      </w:r>
      <w:r w:rsidR="0019743A" w:rsidRPr="008541CE">
        <w:rPr>
          <w:i/>
          <w:iCs/>
        </w:rPr>
        <w:t>EU </w:t>
      </w:r>
      <w:proofErr w:type="spellStart"/>
      <w:r w:rsidR="0019743A" w:rsidRPr="008541CE">
        <w:rPr>
          <w:i/>
          <w:iCs/>
        </w:rPr>
        <w:t>Voice</w:t>
      </w:r>
      <w:proofErr w:type="spellEnd"/>
      <w:r w:rsidR="0019743A" w:rsidRPr="008541CE">
        <w:t xml:space="preserve"> и </w:t>
      </w:r>
      <w:r w:rsidR="0019743A" w:rsidRPr="008541CE">
        <w:rPr>
          <w:i/>
          <w:iCs/>
        </w:rPr>
        <w:t>EU </w:t>
      </w:r>
      <w:proofErr w:type="spellStart"/>
      <w:r w:rsidR="0019743A" w:rsidRPr="008541CE">
        <w:rPr>
          <w:i/>
          <w:iCs/>
        </w:rPr>
        <w:t>Video</w:t>
      </w:r>
      <w:proofErr w:type="spellEnd"/>
      <w:r w:rsidR="0019743A" w:rsidRPr="008541CE">
        <w:t xml:space="preserve">, които бяха лансирани като публичен пилотен проект за насърчаване на използването на безплатни социални мрежи с отворен код; насърчава Съвета да използва децентрализирани социални мрежи, като </w:t>
      </w:r>
      <w:proofErr w:type="spellStart"/>
      <w:r w:rsidR="0019743A" w:rsidRPr="008541CE">
        <w:rPr>
          <w:i/>
          <w:iCs/>
        </w:rPr>
        <w:t>Mastodon</w:t>
      </w:r>
      <w:proofErr w:type="spellEnd"/>
      <w:r w:rsidR="0019743A" w:rsidRPr="008541CE">
        <w:t>, които са алтернатива на много големите онлайн платформи.</w:t>
      </w:r>
    </w:p>
    <w:sectPr w:rsidR="0019743A" w:rsidRPr="008541CE" w:rsidSect="00D263C3">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6ACE" w:rsidRPr="008541CE" w:rsidRDefault="00A86ACE">
      <w:r w:rsidRPr="008541CE">
        <w:separator/>
      </w:r>
    </w:p>
  </w:endnote>
  <w:endnote w:type="continuationSeparator" w:id="0">
    <w:p w:rsidR="00A86ACE" w:rsidRPr="008541CE" w:rsidRDefault="00A86ACE">
      <w:r w:rsidRPr="008541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743A" w:rsidRPr="008541CE" w:rsidRDefault="0019743A" w:rsidP="00E52C83">
    <w:pPr>
      <w:pStyle w:val="EPFooter"/>
    </w:pPr>
    <w:r w:rsidRPr="008541CE">
      <w:t>PE</w:t>
    </w:r>
    <w:r w:rsidRPr="008541CE">
      <w:rPr>
        <w:rStyle w:val="HideTWBExt"/>
      </w:rPr>
      <w:t>&lt;</w:t>
    </w:r>
    <w:proofErr w:type="spellStart"/>
    <w:r w:rsidRPr="008541CE">
      <w:rPr>
        <w:rStyle w:val="HideTWBExt"/>
      </w:rPr>
      <w:t>NoPE</w:t>
    </w:r>
    <w:proofErr w:type="spellEnd"/>
    <w:r w:rsidRPr="008541CE">
      <w:rPr>
        <w:rStyle w:val="HideTWBExt"/>
      </w:rPr>
      <w:t>&gt;</w:t>
    </w:r>
    <w:r w:rsidRPr="008541CE">
      <w:t>753.479</w:t>
    </w:r>
    <w:r w:rsidRPr="008541CE">
      <w:rPr>
        <w:rStyle w:val="HideTWBExt"/>
      </w:rPr>
      <w:t>&lt;/</w:t>
    </w:r>
    <w:proofErr w:type="spellStart"/>
    <w:r w:rsidRPr="008541CE">
      <w:rPr>
        <w:rStyle w:val="HideTWBExt"/>
      </w:rPr>
      <w:t>NoPE</w:t>
    </w:r>
    <w:proofErr w:type="spellEnd"/>
    <w:r w:rsidRPr="008541CE">
      <w:rPr>
        <w:rStyle w:val="HideTWBExt"/>
      </w:rPr>
      <w:t>&gt;&lt;Version&gt;</w:t>
    </w:r>
    <w:r w:rsidRPr="008541CE">
      <w:t>v02-00</w:t>
    </w:r>
    <w:r w:rsidRPr="008541CE">
      <w:rPr>
        <w:rStyle w:val="HideTWBExt"/>
      </w:rPr>
      <w:t>&lt;/</w:t>
    </w:r>
    <w:proofErr w:type="spellStart"/>
    <w:r w:rsidRPr="008541CE">
      <w:rPr>
        <w:rStyle w:val="HideTWBExt"/>
      </w:rPr>
      <w:t>Version</w:t>
    </w:r>
    <w:proofErr w:type="spellEnd"/>
    <w:r w:rsidRPr="008541CE">
      <w:rPr>
        <w:rStyle w:val="HideTWBExt"/>
      </w:rPr>
      <w:t>&gt;</w:t>
    </w:r>
    <w:r w:rsidRPr="008541CE">
      <w:tab/>
    </w:r>
    <w:r w:rsidRPr="008541CE">
      <w:fldChar w:fldCharType="begin"/>
    </w:r>
    <w:r w:rsidRPr="008541CE">
      <w:instrText xml:space="preserve"> PAGE  \* MERGEFORMAT </w:instrText>
    </w:r>
    <w:r w:rsidRPr="008541CE">
      <w:fldChar w:fldCharType="separate"/>
    </w:r>
    <w:r w:rsidR="008541CE" w:rsidRPr="008541CE">
      <w:rPr>
        <w:noProof/>
      </w:rPr>
      <w:t>2</w:t>
    </w:r>
    <w:r w:rsidRPr="008541CE">
      <w:fldChar w:fldCharType="end"/>
    </w:r>
    <w:r w:rsidRPr="008541CE">
      <w:t>/</w:t>
    </w:r>
    <w:r w:rsidR="00ED5513">
      <w:fldChar w:fldCharType="begin"/>
    </w:r>
    <w:r w:rsidR="00ED5513">
      <w:instrText xml:space="preserve"> NUMPAGES  \* MERGEFORMAT </w:instrText>
    </w:r>
    <w:r w:rsidR="00ED5513">
      <w:fldChar w:fldCharType="separate"/>
    </w:r>
    <w:r w:rsidR="008541CE" w:rsidRPr="008541CE">
      <w:rPr>
        <w:noProof/>
      </w:rPr>
      <w:t>3</w:t>
    </w:r>
    <w:r w:rsidR="00ED5513">
      <w:rPr>
        <w:noProof/>
      </w:rPr>
      <w:fldChar w:fldCharType="end"/>
    </w:r>
    <w:r w:rsidRPr="008541CE">
      <w:tab/>
    </w:r>
    <w:r w:rsidRPr="008541CE">
      <w:rPr>
        <w:rStyle w:val="HideTWBExt"/>
      </w:rPr>
      <w:t>&lt;PathFdR&gt;</w:t>
    </w:r>
    <w:r w:rsidRPr="008541CE">
      <w:t>RR\1298435BG.docx</w:t>
    </w:r>
    <w:r w:rsidRPr="008541CE">
      <w:rPr>
        <w:rStyle w:val="HideTWBExt"/>
      </w:rPr>
      <w:t>&lt;/</w:t>
    </w:r>
    <w:proofErr w:type="spellStart"/>
    <w:r w:rsidRPr="008541CE">
      <w:rPr>
        <w:rStyle w:val="HideTWBExt"/>
      </w:rPr>
      <w:t>PathFdR</w:t>
    </w:r>
    <w:proofErr w:type="spellEnd"/>
    <w:r w:rsidRPr="008541CE">
      <w:rPr>
        <w:rStyle w:val="HideTWBExt"/>
      </w:rPr>
      <w:t>&gt;</w:t>
    </w:r>
  </w:p>
  <w:p w:rsidR="0019743A" w:rsidRPr="008541CE" w:rsidRDefault="0019743A" w:rsidP="00E52C83">
    <w:pPr>
      <w:pStyle w:val="EPFooter2"/>
    </w:pPr>
    <w:r w:rsidRPr="008541CE">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743A" w:rsidRPr="008541CE" w:rsidRDefault="0019743A" w:rsidP="00E52C83">
    <w:pPr>
      <w:pStyle w:val="EPFooter"/>
    </w:pPr>
    <w:r w:rsidRPr="008541CE">
      <w:rPr>
        <w:rStyle w:val="HideTWBExt"/>
      </w:rPr>
      <w:t>&lt;PathFdR&gt;</w:t>
    </w:r>
    <w:r w:rsidRPr="008541CE">
      <w:t>RR\1298435BG.docx</w:t>
    </w:r>
    <w:r w:rsidRPr="008541CE">
      <w:rPr>
        <w:rStyle w:val="HideTWBExt"/>
      </w:rPr>
      <w:t>&lt;/</w:t>
    </w:r>
    <w:proofErr w:type="spellStart"/>
    <w:r w:rsidRPr="008541CE">
      <w:rPr>
        <w:rStyle w:val="HideTWBExt"/>
      </w:rPr>
      <w:t>PathFdR</w:t>
    </w:r>
    <w:proofErr w:type="spellEnd"/>
    <w:r w:rsidRPr="008541CE">
      <w:rPr>
        <w:rStyle w:val="HideTWBExt"/>
      </w:rPr>
      <w:t>&gt;</w:t>
    </w:r>
    <w:r w:rsidRPr="008541CE">
      <w:tab/>
    </w:r>
    <w:r w:rsidRPr="008541CE">
      <w:tab/>
      <w:t>PE</w:t>
    </w:r>
    <w:r w:rsidRPr="008541CE">
      <w:rPr>
        <w:rStyle w:val="HideTWBExt"/>
      </w:rPr>
      <w:t>&lt;</w:t>
    </w:r>
    <w:proofErr w:type="spellStart"/>
    <w:r w:rsidRPr="008541CE">
      <w:rPr>
        <w:rStyle w:val="HideTWBExt"/>
      </w:rPr>
      <w:t>NoPE</w:t>
    </w:r>
    <w:proofErr w:type="spellEnd"/>
    <w:r w:rsidRPr="008541CE">
      <w:rPr>
        <w:rStyle w:val="HideTWBExt"/>
      </w:rPr>
      <w:t>&gt;</w:t>
    </w:r>
    <w:r w:rsidRPr="008541CE">
      <w:t>753.479</w:t>
    </w:r>
    <w:r w:rsidRPr="008541CE">
      <w:rPr>
        <w:rStyle w:val="HideTWBExt"/>
      </w:rPr>
      <w:t>&lt;/</w:t>
    </w:r>
    <w:proofErr w:type="spellStart"/>
    <w:r w:rsidRPr="008541CE">
      <w:rPr>
        <w:rStyle w:val="HideTWBExt"/>
      </w:rPr>
      <w:t>NoPE</w:t>
    </w:r>
    <w:proofErr w:type="spellEnd"/>
    <w:r w:rsidRPr="008541CE">
      <w:rPr>
        <w:rStyle w:val="HideTWBExt"/>
      </w:rPr>
      <w:t>&gt;&lt;Version&gt;</w:t>
    </w:r>
    <w:r w:rsidRPr="008541CE">
      <w:t>v02-00</w:t>
    </w:r>
    <w:r w:rsidRPr="008541CE">
      <w:rPr>
        <w:rStyle w:val="HideTWBExt"/>
      </w:rPr>
      <w:t>&lt;/</w:t>
    </w:r>
    <w:proofErr w:type="spellStart"/>
    <w:r w:rsidRPr="008541CE">
      <w:rPr>
        <w:rStyle w:val="HideTWBExt"/>
      </w:rPr>
      <w:t>Version</w:t>
    </w:r>
    <w:proofErr w:type="spellEnd"/>
    <w:r w:rsidRPr="008541CE">
      <w:rPr>
        <w:rStyle w:val="HideTWBExt"/>
      </w:rPr>
      <w:t>&gt;</w:t>
    </w:r>
  </w:p>
  <w:p w:rsidR="0019743A" w:rsidRPr="008541CE" w:rsidRDefault="0019743A" w:rsidP="00E52C83">
    <w:pPr>
      <w:pStyle w:val="EPFooter2"/>
    </w:pPr>
    <w:r w:rsidRPr="008541CE">
      <w:t>BG</w:t>
    </w:r>
    <w:r w:rsidRPr="008541CE">
      <w:tab/>
    </w:r>
    <w:r w:rsidRPr="008541CE">
      <w:rPr>
        <w:b w:val="0"/>
        <w:i/>
        <w:color w:val="C0C0C0"/>
        <w:sz w:val="22"/>
      </w:rPr>
      <w:t>Единство в многообразието</w:t>
    </w:r>
    <w:r w:rsidRPr="008541CE">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41CE"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41CE"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41C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6ACE" w:rsidRPr="008541CE" w:rsidRDefault="00A86ACE">
      <w:r w:rsidRPr="008541CE">
        <w:separator/>
      </w:r>
    </w:p>
  </w:footnote>
  <w:footnote w:type="continuationSeparator" w:id="0">
    <w:p w:rsidR="00A86ACE" w:rsidRPr="008541CE" w:rsidRDefault="00A86ACE">
      <w:r w:rsidRPr="008541CE">
        <w:continuationSeparator/>
      </w:r>
    </w:p>
  </w:footnote>
  <w:footnote w:id="1">
    <w:p w:rsidR="0019743A" w:rsidRPr="008541CE" w:rsidRDefault="0019743A" w:rsidP="008541CE">
      <w:pPr>
        <w:pStyle w:val="FootnoteText"/>
        <w:ind w:left="567" w:hanging="567"/>
        <w:rPr>
          <w:sz w:val="24"/>
          <w:lang w:val="bg-BG"/>
        </w:rPr>
      </w:pPr>
      <w:r w:rsidRPr="008541CE">
        <w:rPr>
          <w:rStyle w:val="FootnoteReference"/>
          <w:sz w:val="24"/>
          <w:lang w:val="bg-BG"/>
        </w:rPr>
        <w:footnoteRef/>
      </w:r>
      <w:r w:rsidR="008541CE" w:rsidRPr="008541CE">
        <w:rPr>
          <w:sz w:val="24"/>
          <w:lang w:val="bg-BG"/>
        </w:rPr>
        <w:t xml:space="preserve"> </w:t>
      </w:r>
      <w:r w:rsidR="008541CE" w:rsidRPr="008541CE">
        <w:rPr>
          <w:sz w:val="24"/>
          <w:lang w:val="bg-BG"/>
        </w:rPr>
        <w:tab/>
      </w:r>
      <w:r w:rsidRPr="008541CE">
        <w:rPr>
          <w:sz w:val="24"/>
          <w:lang w:val="bg-BG"/>
        </w:rPr>
        <w:t>ОВ L 45, 24.2.2022 г.</w:t>
      </w:r>
    </w:p>
  </w:footnote>
  <w:footnote w:id="2">
    <w:p w:rsidR="0019743A" w:rsidRPr="008541CE" w:rsidRDefault="0019743A" w:rsidP="008541CE">
      <w:pPr>
        <w:pStyle w:val="FootnoteText"/>
        <w:ind w:left="567" w:hanging="567"/>
        <w:rPr>
          <w:sz w:val="24"/>
          <w:lang w:val="bg-BG"/>
        </w:rPr>
      </w:pPr>
      <w:r w:rsidRPr="008541CE">
        <w:rPr>
          <w:rStyle w:val="FootnoteReference"/>
          <w:sz w:val="24"/>
          <w:lang w:val="bg-BG"/>
        </w:rPr>
        <w:footnoteRef/>
      </w:r>
      <w:r w:rsidR="008541CE" w:rsidRPr="008541CE">
        <w:rPr>
          <w:sz w:val="24"/>
          <w:lang w:val="bg-BG"/>
        </w:rPr>
        <w:t xml:space="preserve"> </w:t>
      </w:r>
      <w:r w:rsidR="008541CE" w:rsidRPr="008541CE">
        <w:rPr>
          <w:sz w:val="24"/>
          <w:lang w:val="bg-BG"/>
        </w:rPr>
        <w:tab/>
      </w:r>
      <w:r w:rsidRPr="008541CE">
        <w:rPr>
          <w:sz w:val="24"/>
          <w:lang w:val="bg-BG"/>
        </w:rPr>
        <w:t>ОВ C, C/2023/2, 12.10.2023 г.</w:t>
      </w:r>
    </w:p>
  </w:footnote>
  <w:footnote w:id="3">
    <w:p w:rsidR="0019743A" w:rsidRPr="008541CE" w:rsidRDefault="0019743A" w:rsidP="008541CE">
      <w:pPr>
        <w:pStyle w:val="FootnoteText"/>
        <w:ind w:left="567" w:hanging="567"/>
        <w:rPr>
          <w:sz w:val="24"/>
          <w:lang w:val="bg-BG"/>
        </w:rPr>
      </w:pPr>
      <w:r w:rsidRPr="008541CE">
        <w:rPr>
          <w:rStyle w:val="FootnoteReference"/>
          <w:sz w:val="24"/>
          <w:lang w:val="bg-BG"/>
        </w:rPr>
        <w:footnoteRef/>
      </w:r>
      <w:r w:rsidR="008541CE" w:rsidRPr="008541CE">
        <w:rPr>
          <w:sz w:val="24"/>
          <w:lang w:val="bg-BG"/>
        </w:rPr>
        <w:t xml:space="preserve"> </w:t>
      </w:r>
      <w:r w:rsidR="008541CE" w:rsidRPr="008541CE">
        <w:rPr>
          <w:sz w:val="24"/>
          <w:lang w:val="bg-BG"/>
        </w:rPr>
        <w:tab/>
      </w:r>
      <w:r w:rsidRPr="008541CE">
        <w:rPr>
          <w:sz w:val="24"/>
          <w:lang w:val="bg-BG"/>
        </w:rPr>
        <w:t>ОВ C, C/2023/103, 4.10.2023 г.</w:t>
      </w:r>
    </w:p>
  </w:footnote>
  <w:footnote w:id="4">
    <w:p w:rsidR="0019743A" w:rsidRPr="008541CE" w:rsidRDefault="0019743A" w:rsidP="008541CE">
      <w:pPr>
        <w:pStyle w:val="FootnoteText"/>
        <w:ind w:left="567" w:hanging="567"/>
        <w:rPr>
          <w:sz w:val="24"/>
          <w:lang w:val="bg-BG"/>
        </w:rPr>
      </w:pPr>
      <w:r w:rsidRPr="008541CE">
        <w:rPr>
          <w:rStyle w:val="FootnoteReference"/>
          <w:sz w:val="24"/>
          <w:lang w:val="bg-BG"/>
        </w:rPr>
        <w:footnoteRef/>
      </w:r>
      <w:r w:rsidR="008541CE" w:rsidRPr="008541CE">
        <w:rPr>
          <w:sz w:val="24"/>
          <w:lang w:val="bg-BG"/>
        </w:rPr>
        <w:t xml:space="preserve"> </w:t>
      </w:r>
      <w:r w:rsidR="008541CE" w:rsidRPr="008541CE">
        <w:rPr>
          <w:sz w:val="24"/>
          <w:lang w:val="bg-BG"/>
        </w:rPr>
        <w:tab/>
      </w:r>
      <w:r w:rsidRPr="008541CE">
        <w:rPr>
          <w:sz w:val="24"/>
          <w:lang w:val="bg-BG"/>
        </w:rPr>
        <w:t>ОВ C, C/2023/112, 12.10.2023 г.</w:t>
      </w:r>
    </w:p>
  </w:footnote>
  <w:footnote w:id="5">
    <w:p w:rsidR="0019743A" w:rsidRPr="008541CE" w:rsidRDefault="0019743A" w:rsidP="008541CE">
      <w:pPr>
        <w:pStyle w:val="FootnoteText"/>
        <w:ind w:left="567" w:hanging="567"/>
        <w:rPr>
          <w:sz w:val="24"/>
          <w:szCs w:val="24"/>
          <w:lang w:val="bg-BG"/>
        </w:rPr>
      </w:pPr>
      <w:r w:rsidRPr="008541CE">
        <w:rPr>
          <w:rStyle w:val="FootnoteReference"/>
          <w:sz w:val="24"/>
          <w:lang w:val="bg-BG"/>
        </w:rPr>
        <w:footnoteRef/>
      </w:r>
      <w:r w:rsidR="008541CE" w:rsidRPr="008541CE">
        <w:rPr>
          <w:sz w:val="24"/>
          <w:lang w:val="bg-BG"/>
        </w:rPr>
        <w:t xml:space="preserve"> </w:t>
      </w:r>
      <w:r w:rsidR="008541CE" w:rsidRPr="008541CE">
        <w:rPr>
          <w:sz w:val="24"/>
          <w:lang w:val="bg-BG"/>
        </w:rPr>
        <w:tab/>
      </w:r>
      <w:r w:rsidRPr="008541CE">
        <w:rPr>
          <w:sz w:val="24"/>
          <w:lang w:val="bg-BG"/>
        </w:rPr>
        <w:t>ОВ L 193, 30.7.2018 г., стр. 1.</w:t>
      </w:r>
    </w:p>
  </w:footnote>
  <w:footnote w:id="6">
    <w:p w:rsidR="0019743A" w:rsidRPr="008541CE" w:rsidRDefault="0019743A" w:rsidP="008541CE">
      <w:pPr>
        <w:pStyle w:val="FootnoteText"/>
        <w:ind w:left="567" w:hanging="567"/>
        <w:rPr>
          <w:sz w:val="24"/>
          <w:lang w:val="bg-BG"/>
        </w:rPr>
      </w:pPr>
      <w:r w:rsidRPr="008541CE">
        <w:rPr>
          <w:rStyle w:val="FootnoteReference"/>
          <w:sz w:val="24"/>
          <w:lang w:val="bg-BG"/>
        </w:rPr>
        <w:footnoteRef/>
      </w:r>
      <w:r w:rsidR="008541CE" w:rsidRPr="008541CE">
        <w:rPr>
          <w:sz w:val="24"/>
          <w:lang w:val="bg-BG"/>
        </w:rPr>
        <w:t xml:space="preserve"> </w:t>
      </w:r>
      <w:r w:rsidR="008541CE" w:rsidRPr="008541CE">
        <w:rPr>
          <w:sz w:val="24"/>
          <w:lang w:val="bg-BG"/>
        </w:rPr>
        <w:tab/>
      </w:r>
      <w:r w:rsidRPr="008541CE">
        <w:rPr>
          <w:sz w:val="24"/>
          <w:lang w:val="bg-BG"/>
        </w:rPr>
        <w:t xml:space="preserve">Решение на Общия съд от 25 януари 2023 г., </w:t>
      </w:r>
      <w:r w:rsidRPr="008541CE">
        <w:rPr>
          <w:i/>
          <w:sz w:val="24"/>
          <w:lang w:val="bg-BG"/>
        </w:rPr>
        <w:t xml:space="preserve">De </w:t>
      </w:r>
      <w:proofErr w:type="spellStart"/>
      <w:r w:rsidRPr="008541CE">
        <w:rPr>
          <w:i/>
          <w:sz w:val="24"/>
          <w:lang w:val="bg-BG"/>
        </w:rPr>
        <w:t>Capitani</w:t>
      </w:r>
      <w:proofErr w:type="spellEnd"/>
      <w:r w:rsidRPr="008541CE">
        <w:rPr>
          <w:sz w:val="24"/>
          <w:lang w:val="bg-BG"/>
        </w:rPr>
        <w:t>/</w:t>
      </w:r>
      <w:r w:rsidRPr="008541CE">
        <w:rPr>
          <w:i/>
          <w:sz w:val="24"/>
          <w:lang w:val="bg-BG"/>
        </w:rPr>
        <w:t>Съвет</w:t>
      </w:r>
      <w:r w:rsidRPr="008541CE">
        <w:rPr>
          <w:sz w:val="24"/>
          <w:lang w:val="bg-BG"/>
        </w:rPr>
        <w:t>, T-163/21, CLI:EU:T:2023:15.</w:t>
      </w:r>
    </w:p>
  </w:footnote>
  <w:footnote w:id="7">
    <w:p w:rsidR="0019743A" w:rsidRPr="008541CE" w:rsidRDefault="0019743A" w:rsidP="008541CE">
      <w:pPr>
        <w:pStyle w:val="FootnoteText"/>
        <w:ind w:left="567" w:hanging="567"/>
        <w:rPr>
          <w:sz w:val="24"/>
          <w:lang w:val="bg-BG"/>
        </w:rPr>
      </w:pPr>
      <w:r w:rsidRPr="008541CE">
        <w:rPr>
          <w:rStyle w:val="FootnoteReference"/>
          <w:sz w:val="24"/>
          <w:lang w:val="bg-BG"/>
        </w:rPr>
        <w:footnoteRef/>
      </w:r>
      <w:r w:rsidR="008541CE" w:rsidRPr="008541CE">
        <w:rPr>
          <w:sz w:val="24"/>
          <w:lang w:val="bg-BG"/>
        </w:rPr>
        <w:t xml:space="preserve"> </w:t>
      </w:r>
      <w:r w:rsidR="008541CE" w:rsidRPr="008541CE">
        <w:rPr>
          <w:sz w:val="24"/>
          <w:lang w:val="bg-BG"/>
        </w:rPr>
        <w:tab/>
      </w:r>
      <w:r w:rsidRPr="008541CE">
        <w:rPr>
          <w:sz w:val="24"/>
          <w:lang w:val="bg-BG"/>
        </w:rPr>
        <w:t>ОВ C 445, 29.10.2021 г., стр. 150.</w:t>
      </w:r>
    </w:p>
  </w:footnote>
  <w:footnote w:id="8">
    <w:p w:rsidR="0019743A" w:rsidRPr="008541CE" w:rsidRDefault="0019743A" w:rsidP="008541CE">
      <w:pPr>
        <w:pStyle w:val="FootnoteText"/>
        <w:ind w:left="567" w:hanging="567"/>
        <w:rPr>
          <w:sz w:val="24"/>
          <w:lang w:val="bg-BG"/>
        </w:rPr>
      </w:pPr>
      <w:r w:rsidRPr="008541CE">
        <w:rPr>
          <w:rStyle w:val="FootnoteReference"/>
          <w:sz w:val="24"/>
          <w:lang w:val="bg-BG"/>
        </w:rPr>
        <w:footnoteRef/>
      </w:r>
      <w:r w:rsidR="008541CE" w:rsidRPr="008541CE">
        <w:rPr>
          <w:sz w:val="24"/>
          <w:lang w:val="bg-BG"/>
        </w:rPr>
        <w:t xml:space="preserve"> </w:t>
      </w:r>
      <w:r w:rsidR="008541CE" w:rsidRPr="008541CE">
        <w:rPr>
          <w:sz w:val="24"/>
          <w:lang w:val="bg-BG"/>
        </w:rPr>
        <w:tab/>
      </w:r>
      <w:r w:rsidRPr="008541CE">
        <w:rPr>
          <w:sz w:val="24"/>
          <w:lang w:val="bg-BG"/>
        </w:rPr>
        <w:t>ОВ L 207, 11.6.2021 г., стр. 1.</w:t>
      </w:r>
    </w:p>
  </w:footnote>
  <w:footnote w:id="9">
    <w:p w:rsidR="0019743A" w:rsidRPr="008541CE" w:rsidRDefault="0019743A" w:rsidP="008541CE">
      <w:pPr>
        <w:pStyle w:val="FootnoteText"/>
        <w:ind w:left="567" w:hanging="567"/>
        <w:rPr>
          <w:sz w:val="24"/>
          <w:lang w:val="bg-BG"/>
        </w:rPr>
      </w:pPr>
      <w:r w:rsidRPr="008541CE">
        <w:rPr>
          <w:rStyle w:val="FootnoteReference"/>
          <w:sz w:val="24"/>
          <w:lang w:val="bg-BG"/>
        </w:rPr>
        <w:footnoteRef/>
      </w:r>
      <w:r w:rsidR="008541CE" w:rsidRPr="008541CE">
        <w:rPr>
          <w:sz w:val="24"/>
          <w:lang w:val="bg-BG"/>
        </w:rPr>
        <w:t xml:space="preserve"> </w:t>
      </w:r>
      <w:r w:rsidR="008541CE" w:rsidRPr="008541CE">
        <w:rPr>
          <w:sz w:val="24"/>
          <w:lang w:val="bg-BG"/>
        </w:rPr>
        <w:tab/>
      </w:r>
      <w:r w:rsidRPr="008541CE">
        <w:rPr>
          <w:sz w:val="24"/>
          <w:lang w:val="bg-BG"/>
        </w:rPr>
        <w:t>ОВ L 238, 27.9.2023 г., стр. 114.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41C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41C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41C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1/2024"/>
    <w:docVar w:name="dvlangue" w:val="BG"/>
    <w:docVar w:name="dvnumam" w:val="0"/>
    <w:docVar w:name="dvpe" w:val="753.479"/>
    <w:docVar w:name="dvrapporteur" w:val="Докладчик: "/>
    <w:docVar w:name="dvtitre" w:val="Решение на Европейския парламент от ... 2024 г. относно освобождаването от отговорност във връзка с изпълнението на общия бюджет на Европейския съюз за финансовата 2022 година, раздел II – Европейски съвет и Съвет(2023/2131(DEC))"/>
  </w:docVars>
  <w:rsids>
    <w:rsidRoot w:val="00A86ACE"/>
    <w:rsid w:val="00002272"/>
    <w:rsid w:val="00011BA8"/>
    <w:rsid w:val="00064002"/>
    <w:rsid w:val="000677B9"/>
    <w:rsid w:val="000831BA"/>
    <w:rsid w:val="000A42CC"/>
    <w:rsid w:val="000E7DD9"/>
    <w:rsid w:val="0010095E"/>
    <w:rsid w:val="00125B37"/>
    <w:rsid w:val="00187494"/>
    <w:rsid w:val="0019743A"/>
    <w:rsid w:val="001F32AE"/>
    <w:rsid w:val="002767FF"/>
    <w:rsid w:val="002B18FE"/>
    <w:rsid w:val="002B5493"/>
    <w:rsid w:val="00343214"/>
    <w:rsid w:val="00361C00"/>
    <w:rsid w:val="00395FA1"/>
    <w:rsid w:val="003E15D4"/>
    <w:rsid w:val="00411CCE"/>
    <w:rsid w:val="0041666E"/>
    <w:rsid w:val="00421060"/>
    <w:rsid w:val="00444DBB"/>
    <w:rsid w:val="00471C19"/>
    <w:rsid w:val="004867E3"/>
    <w:rsid w:val="00494A28"/>
    <w:rsid w:val="004C0004"/>
    <w:rsid w:val="004C5D52"/>
    <w:rsid w:val="0050519A"/>
    <w:rsid w:val="005072A1"/>
    <w:rsid w:val="00514517"/>
    <w:rsid w:val="00545827"/>
    <w:rsid w:val="00560270"/>
    <w:rsid w:val="005C2568"/>
    <w:rsid w:val="006037C0"/>
    <w:rsid w:val="006631B6"/>
    <w:rsid w:val="00674126"/>
    <w:rsid w:val="00680577"/>
    <w:rsid w:val="006F06C3"/>
    <w:rsid w:val="006F74FA"/>
    <w:rsid w:val="00720FAC"/>
    <w:rsid w:val="00731ADD"/>
    <w:rsid w:val="00734777"/>
    <w:rsid w:val="00747932"/>
    <w:rsid w:val="00751A4A"/>
    <w:rsid w:val="00756632"/>
    <w:rsid w:val="00762C74"/>
    <w:rsid w:val="00786EC0"/>
    <w:rsid w:val="007D1690"/>
    <w:rsid w:val="007E22AD"/>
    <w:rsid w:val="00817416"/>
    <w:rsid w:val="00842779"/>
    <w:rsid w:val="008541CE"/>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6ACE"/>
    <w:rsid w:val="00AB441E"/>
    <w:rsid w:val="00AB6293"/>
    <w:rsid w:val="00AE0928"/>
    <w:rsid w:val="00AF3B82"/>
    <w:rsid w:val="00B12E95"/>
    <w:rsid w:val="00B22876"/>
    <w:rsid w:val="00B558F0"/>
    <w:rsid w:val="00B8511E"/>
    <w:rsid w:val="00B97F92"/>
    <w:rsid w:val="00BD48FE"/>
    <w:rsid w:val="00BD7BD8"/>
    <w:rsid w:val="00BE6ADC"/>
    <w:rsid w:val="00C05BFE"/>
    <w:rsid w:val="00C23CD4"/>
    <w:rsid w:val="00C61C0C"/>
    <w:rsid w:val="00C941CB"/>
    <w:rsid w:val="00CC2357"/>
    <w:rsid w:val="00CF071A"/>
    <w:rsid w:val="00D058B8"/>
    <w:rsid w:val="00D263C3"/>
    <w:rsid w:val="00D56C11"/>
    <w:rsid w:val="00D834A0"/>
    <w:rsid w:val="00D872DF"/>
    <w:rsid w:val="00D91E21"/>
    <w:rsid w:val="00DA7FCD"/>
    <w:rsid w:val="00E365E1"/>
    <w:rsid w:val="00E820A4"/>
    <w:rsid w:val="00EB006A"/>
    <w:rsid w:val="00EB4772"/>
    <w:rsid w:val="00ED169E"/>
    <w:rsid w:val="00ED4235"/>
    <w:rsid w:val="00ED5513"/>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B88713"/>
  <w15:chartTrackingRefBased/>
  <w15:docId w15:val="{7A9AD41D-F357-43F5-89EC-08ABF03AE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9743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9743A"/>
    <w:pPr>
      <w:spacing w:before="480" w:after="240"/>
    </w:pPr>
  </w:style>
  <w:style w:type="paragraph" w:customStyle="1" w:styleId="PageHeading">
    <w:name w:val="PageHeading"/>
    <w:basedOn w:val="Normal"/>
    <w:link w:val="PageHeadingChar"/>
    <w:rsid w:val="0019743A"/>
    <w:pPr>
      <w:keepNext/>
      <w:spacing w:after="480"/>
      <w:jc w:val="center"/>
    </w:pPr>
    <w:rPr>
      <w:rFonts w:ascii="Arial" w:hAnsi="Arial" w:cs="Arial"/>
      <w:b/>
    </w:rPr>
  </w:style>
  <w:style w:type="paragraph" w:customStyle="1" w:styleId="NormalBold">
    <w:name w:val="NormalBold"/>
    <w:basedOn w:val="Normal"/>
    <w:rsid w:val="0019743A"/>
    <w:rPr>
      <w:b/>
    </w:rPr>
  </w:style>
  <w:style w:type="paragraph" w:customStyle="1" w:styleId="NormalHanging12a">
    <w:name w:val="NormalHanging12a"/>
    <w:basedOn w:val="Normal"/>
    <w:link w:val="NormalHanging12aChar"/>
    <w:rsid w:val="0019743A"/>
    <w:pPr>
      <w:spacing w:after="240"/>
      <w:ind w:left="567" w:hanging="567"/>
    </w:pPr>
  </w:style>
  <w:style w:type="paragraph" w:styleId="Header">
    <w:name w:val="header"/>
    <w:basedOn w:val="Normal"/>
    <w:link w:val="HeaderChar"/>
    <w:rsid w:val="0019743A"/>
    <w:pPr>
      <w:tabs>
        <w:tab w:val="center" w:pos="4513"/>
        <w:tab w:val="right" w:pos="9026"/>
      </w:tabs>
    </w:pPr>
  </w:style>
  <w:style w:type="character" w:customStyle="1" w:styleId="HeaderChar">
    <w:name w:val="Header Char"/>
    <w:basedOn w:val="DefaultParagraphFont"/>
    <w:link w:val="Header"/>
    <w:rsid w:val="0019743A"/>
    <w:rPr>
      <w:sz w:val="24"/>
      <w:lang w:val="bg-BG"/>
    </w:rPr>
  </w:style>
  <w:style w:type="paragraph" w:customStyle="1" w:styleId="EPFooter">
    <w:name w:val="EPFooter"/>
    <w:basedOn w:val="Normal"/>
    <w:rsid w:val="0019743A"/>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19743A"/>
    <w:rPr>
      <w:sz w:val="24"/>
      <w:lang w:val="bg-BG"/>
    </w:rPr>
  </w:style>
  <w:style w:type="paragraph" w:customStyle="1" w:styleId="Normal12a">
    <w:name w:val="Normal12a"/>
    <w:basedOn w:val="Normal"/>
    <w:rsid w:val="0019743A"/>
    <w:pPr>
      <w:spacing w:after="240"/>
    </w:pPr>
  </w:style>
  <w:style w:type="paragraph" w:customStyle="1" w:styleId="LetterSalutation">
    <w:name w:val="LetterSalutation"/>
    <w:basedOn w:val="Normal"/>
    <w:rsid w:val="0019743A"/>
    <w:pPr>
      <w:spacing w:before="600" w:after="360"/>
    </w:pPr>
  </w:style>
  <w:style w:type="paragraph" w:customStyle="1" w:styleId="LetterSubject">
    <w:name w:val="LetterSubject"/>
    <w:basedOn w:val="Normal"/>
    <w:rsid w:val="0019743A"/>
    <w:pPr>
      <w:spacing w:before="480"/>
      <w:ind w:left="1134" w:hanging="1134"/>
    </w:pPr>
  </w:style>
  <w:style w:type="paragraph" w:customStyle="1" w:styleId="PageHeadingNotTOC">
    <w:name w:val="PageHeadingNotTOC"/>
    <w:basedOn w:val="Normal"/>
    <w:rsid w:val="0019743A"/>
    <w:pPr>
      <w:keepNext/>
      <w:spacing w:after="480"/>
      <w:jc w:val="center"/>
    </w:pPr>
    <w:rPr>
      <w:rFonts w:ascii="Arial" w:hAnsi="Arial" w:cs="Arial"/>
      <w:b/>
    </w:rPr>
  </w:style>
  <w:style w:type="paragraph" w:customStyle="1" w:styleId="Normal24a">
    <w:name w:val="Normal24a"/>
    <w:basedOn w:val="Normal"/>
    <w:rsid w:val="0019743A"/>
    <w:pPr>
      <w:spacing w:after="480"/>
    </w:pPr>
  </w:style>
  <w:style w:type="character" w:customStyle="1" w:styleId="PageHeadingChar">
    <w:name w:val="PageHeading Char"/>
    <w:basedOn w:val="DefaultParagraphFont"/>
    <w:link w:val="PageHeading"/>
    <w:rsid w:val="0019743A"/>
    <w:rPr>
      <w:rFonts w:ascii="Arial" w:hAnsi="Arial" w:cs="Arial"/>
      <w:b/>
      <w:sz w:val="24"/>
      <w:lang w:val="bg-BG"/>
    </w:rPr>
  </w:style>
  <w:style w:type="paragraph" w:styleId="BalloonText">
    <w:name w:val="Balloon Text"/>
    <w:basedOn w:val="Normal"/>
    <w:link w:val="BalloonTextChar"/>
    <w:rsid w:val="00D263C3"/>
    <w:rPr>
      <w:rFonts w:ascii="Segoe UI" w:hAnsi="Segoe UI" w:cs="Segoe UI"/>
      <w:sz w:val="18"/>
      <w:szCs w:val="18"/>
    </w:rPr>
  </w:style>
  <w:style w:type="character" w:customStyle="1" w:styleId="BalloonTextChar">
    <w:name w:val="Balloon Text Char"/>
    <w:basedOn w:val="DefaultParagraphFont"/>
    <w:link w:val="BalloonText"/>
    <w:rsid w:val="00D263C3"/>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B91E69-D2B3-4B8D-9DB6-13399D69B3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5811</Words>
  <Characters>33476</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GIRGINOV Kiril</cp:lastModifiedBy>
  <cp:revision>2</cp:revision>
  <cp:lastPrinted>2004-11-19T15:42:00Z</cp:lastPrinted>
  <dcterms:created xsi:type="dcterms:W3CDTF">2024-04-23T14:22:00Z</dcterms:created>
  <dcterms:modified xsi:type="dcterms:W3CDTF">2024-04-23T14:22:00Z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A9-0071/2024</vt:lpwstr>
  </property>
  <property fmtid="{D5CDD505-2E9C-101B-9397-08002B2CF9AE}" pid="4" name="&lt;Type&gt;">
    <vt:lpwstr>RR</vt:lpwstr>
  </property>
</Properties>
</file>