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356" w:rsidTr="0010095E">
        <w:trPr>
          <w:trHeight w:hRule="exact" w:val="1418"/>
        </w:trPr>
        <w:tc>
          <w:tcPr>
            <w:tcW w:w="6804" w:type="dxa"/>
            <w:shd w:val="clear" w:color="auto" w:fill="auto"/>
            <w:vAlign w:val="center"/>
          </w:tcPr>
          <w:p w:rsidR="00751A4A" w:rsidRPr="00B13356" w:rsidRDefault="00DC07DF" w:rsidP="0010095E">
            <w:pPr>
              <w:pStyle w:val="EPName"/>
            </w:pPr>
            <w:r w:rsidRPr="00B13356">
              <w:t>Ευρωπαϊκό Κοινοβούλιο</w:t>
            </w:r>
          </w:p>
          <w:p w:rsidR="00751A4A" w:rsidRPr="00B13356" w:rsidRDefault="00817416" w:rsidP="00756632">
            <w:pPr>
              <w:pStyle w:val="EPTerm"/>
              <w:rPr>
                <w:rStyle w:val="HideTWBExt"/>
                <w:noProof w:val="0"/>
                <w:vanish w:val="0"/>
                <w:color w:val="auto"/>
              </w:rPr>
            </w:pPr>
            <w:r w:rsidRPr="00B13356">
              <w:t>2019-2024</w:t>
            </w:r>
          </w:p>
        </w:tc>
        <w:tc>
          <w:tcPr>
            <w:tcW w:w="2268" w:type="dxa"/>
            <w:shd w:val="clear" w:color="auto" w:fill="auto"/>
          </w:tcPr>
          <w:p w:rsidR="00751A4A" w:rsidRPr="00B13356" w:rsidRDefault="00187494" w:rsidP="0010095E">
            <w:pPr>
              <w:pStyle w:val="EPLogo"/>
            </w:pPr>
            <w:r w:rsidRPr="00B133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3356" w:rsidRDefault="00D058B8" w:rsidP="004C5D52">
      <w:pPr>
        <w:pStyle w:val="LineTop"/>
      </w:pPr>
    </w:p>
    <w:p w:rsidR="00680577" w:rsidRPr="00B13356" w:rsidRDefault="00DC07DF" w:rsidP="00680577">
      <w:pPr>
        <w:pStyle w:val="EPBodyTA1"/>
      </w:pPr>
      <w:r w:rsidRPr="00B13356">
        <w:t>ΚΕΙΜΕΝΑ ΠΟΥ ΕΓΚΡΙΘΗΚΑΝ</w:t>
      </w:r>
    </w:p>
    <w:p w:rsidR="00D058B8" w:rsidRPr="00B13356" w:rsidRDefault="00D058B8" w:rsidP="00D058B8">
      <w:pPr>
        <w:pStyle w:val="LineBottom"/>
      </w:pPr>
    </w:p>
    <w:p w:rsidR="00DC07DF" w:rsidRPr="00B13356" w:rsidRDefault="00DC07DF" w:rsidP="00DC07DF">
      <w:pPr>
        <w:pStyle w:val="ATHeading1"/>
      </w:pPr>
      <w:bookmarkStart w:id="0" w:name="TANumber"/>
      <w:r w:rsidRPr="00B13356">
        <w:t>P9_TA(2024)0</w:t>
      </w:r>
      <w:r w:rsidR="00EA6998" w:rsidRPr="00B13356">
        <w:t>288</w:t>
      </w:r>
      <w:bookmarkEnd w:id="0"/>
    </w:p>
    <w:p w:rsidR="00DC07DF" w:rsidRPr="00B13356" w:rsidRDefault="00B11AEC" w:rsidP="00B11AEC">
      <w:pPr>
        <w:pStyle w:val="ATHeading2"/>
      </w:pPr>
      <w:bookmarkStart w:id="1" w:name="title"/>
      <w:r w:rsidRPr="00B13356">
        <w:t>Απαλλαγή 2022: Γενικός προϋπολογισμός της ΕΕ – Ευρωπαϊκό Συμβούλιο και Συμβούλιο</w:t>
      </w:r>
      <w:bookmarkEnd w:id="1"/>
    </w:p>
    <w:p w:rsidR="00DC07DF" w:rsidRPr="00B13356" w:rsidRDefault="00DC07DF" w:rsidP="00DC07DF">
      <w:pPr>
        <w:rPr>
          <w:i/>
          <w:vanish/>
        </w:rPr>
      </w:pPr>
      <w:r w:rsidRPr="00B13356">
        <w:rPr>
          <w:i/>
        </w:rPr>
        <w:fldChar w:fldCharType="begin"/>
      </w:r>
      <w:r w:rsidRPr="00B13356">
        <w:rPr>
          <w:i/>
        </w:rPr>
        <w:instrText xml:space="preserve"> TC"(</w:instrText>
      </w:r>
      <w:bookmarkStart w:id="2" w:name="DocNumber"/>
      <w:r w:rsidRPr="00B13356">
        <w:rPr>
          <w:i/>
        </w:rPr>
        <w:instrText>A9-0071/2024</w:instrText>
      </w:r>
      <w:bookmarkEnd w:id="2"/>
      <w:r w:rsidRPr="00B13356">
        <w:rPr>
          <w:i/>
        </w:rPr>
        <w:instrText xml:space="preserve"> - Εισηγητής: Luke Ming Flanagan)"\l3 \n&gt; \* MERGEFORMAT </w:instrText>
      </w:r>
      <w:r w:rsidRPr="00B13356">
        <w:rPr>
          <w:i/>
        </w:rPr>
        <w:fldChar w:fldCharType="end"/>
      </w:r>
    </w:p>
    <w:p w:rsidR="00DC07DF" w:rsidRPr="00B13356" w:rsidRDefault="00DC07DF" w:rsidP="00DC07DF">
      <w:pPr>
        <w:rPr>
          <w:vanish/>
        </w:rPr>
      </w:pPr>
      <w:bookmarkStart w:id="3" w:name="Commission"/>
      <w:r w:rsidRPr="00B13356">
        <w:rPr>
          <w:vanish/>
        </w:rPr>
        <w:t>Επιτροπή Ελέγχου του Προϋπολογισμού</w:t>
      </w:r>
      <w:bookmarkEnd w:id="3"/>
    </w:p>
    <w:p w:rsidR="00DC07DF" w:rsidRPr="00B13356" w:rsidRDefault="00DC07DF" w:rsidP="00DC07DF">
      <w:pPr>
        <w:rPr>
          <w:vanish/>
        </w:rPr>
      </w:pPr>
      <w:bookmarkStart w:id="4" w:name="PE"/>
      <w:r w:rsidRPr="00B13356">
        <w:rPr>
          <w:vanish/>
        </w:rPr>
        <w:t>PE753.479</w:t>
      </w:r>
      <w:bookmarkEnd w:id="4"/>
    </w:p>
    <w:p w:rsidR="00DC07DF" w:rsidRPr="00B13356" w:rsidRDefault="00047D51" w:rsidP="00DC07DF">
      <w:pPr>
        <w:pStyle w:val="ATHeading3"/>
      </w:pPr>
      <w:bookmarkStart w:id="5" w:name="Sujet"/>
      <w:r w:rsidRPr="00B13356">
        <w:t>1. Α</w:t>
      </w:r>
      <w:r w:rsidR="00DC07DF" w:rsidRPr="00B13356">
        <w:t xml:space="preserve">πόφαση του Ευρωπαϊκού Κοινοβουλίου </w:t>
      </w:r>
      <w:r w:rsidR="00B11AEC" w:rsidRPr="00B13356">
        <w:t xml:space="preserve">της </w:t>
      </w:r>
      <w:r w:rsidR="00897FB5" w:rsidRPr="00B13356">
        <w:t>2</w:t>
      </w:r>
      <w:r w:rsidR="00931B26" w:rsidRPr="00B13356">
        <w:t>3</w:t>
      </w:r>
      <w:r w:rsidR="00B11AEC" w:rsidRPr="00B13356">
        <w:t xml:space="preserve">ης Απριλίου 2024 </w:t>
      </w:r>
      <w:r w:rsidR="00DC07DF" w:rsidRPr="00B13356">
        <w:t>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bookmarkEnd w:id="5"/>
      <w:r w:rsidR="00DC07DF" w:rsidRPr="00B13356">
        <w:t xml:space="preserve"> </w:t>
      </w:r>
      <w:bookmarkStart w:id="6" w:name="References"/>
      <w:r w:rsidR="00DC07DF" w:rsidRPr="00B13356">
        <w:t>(2023/2131(DEC))</w:t>
      </w:r>
      <w:bookmarkEnd w:id="6"/>
    </w:p>
    <w:p w:rsidR="00E52781" w:rsidRPr="00B13356" w:rsidRDefault="00E52781" w:rsidP="00E52781">
      <w:pPr>
        <w:pStyle w:val="EPComma"/>
      </w:pPr>
      <w:bookmarkStart w:id="7" w:name="TextBodyBegin"/>
      <w:bookmarkEnd w:id="7"/>
      <w:r w:rsidRPr="00B13356">
        <w:rPr>
          <w:i/>
        </w:rPr>
        <w:t>Το Ευρωπαϊκό Κοινοβούλιο</w:t>
      </w:r>
      <w:r w:rsidRPr="00B13356">
        <w:t>,</w:t>
      </w:r>
    </w:p>
    <w:p w:rsidR="00E52781" w:rsidRPr="00B13356" w:rsidRDefault="00E52781" w:rsidP="00E52781">
      <w:pPr>
        <w:pStyle w:val="NormalHanging12a"/>
      </w:pPr>
      <w:r w:rsidRPr="00B13356">
        <w:t>–</w:t>
      </w:r>
      <w:r w:rsidRPr="00B13356">
        <w:tab/>
        <w:t>έχοντας υπόψη τον γενικό προϋπολογισμό της Ευρωπαϊκής Ένωσης για το οικονομικό έτος 2022</w:t>
      </w:r>
      <w:r w:rsidRPr="00B13356">
        <w:rPr>
          <w:rStyle w:val="FootnoteReference"/>
        </w:rPr>
        <w:footnoteReference w:id="1"/>
      </w:r>
      <w:r w:rsidRPr="00B13356">
        <w:t>,</w:t>
      </w:r>
    </w:p>
    <w:p w:rsidR="00E52781" w:rsidRPr="00B13356" w:rsidRDefault="00E52781" w:rsidP="00E52781">
      <w:pPr>
        <w:pStyle w:val="NormalHanging12a"/>
      </w:pPr>
      <w:r w:rsidRPr="00B13356">
        <w:t>–</w:t>
      </w:r>
      <w:r w:rsidRPr="00B13356">
        <w:tab/>
        <w:t>έχοντας υπόψη τους ενοποιημένους ετήσιους λογαριασμούς της Ευρωπαϊκής Ένωσης για το οικονομικό έτος 2022 (COM(2023)0391 – C9</w:t>
      </w:r>
      <w:r w:rsidRPr="00B13356">
        <w:noBreakHyphen/>
        <w:t>0250/2023)</w:t>
      </w:r>
      <w:r w:rsidRPr="00B13356">
        <w:rPr>
          <w:rStyle w:val="FootnoteReference"/>
        </w:rPr>
        <w:footnoteReference w:id="2"/>
      </w:r>
      <w:r w:rsidRPr="00B13356">
        <w:t>,</w:t>
      </w:r>
      <w:bookmarkStart w:id="8" w:name="_GoBack"/>
      <w:bookmarkEnd w:id="8"/>
    </w:p>
    <w:p w:rsidR="00E52781" w:rsidRPr="00B13356" w:rsidRDefault="00E52781" w:rsidP="00E52781">
      <w:pPr>
        <w:pStyle w:val="NormalHanging12a"/>
      </w:pPr>
      <w:r w:rsidRPr="00B13356">
        <w:t>–</w:t>
      </w:r>
      <w:r w:rsidRPr="00B13356">
        <w:tab/>
        <w:t>έχοντας υπόψη την ετήσια έκθεση του Συμβουλίου προς την αρμόδια για την απαλλαγή αρχή σχετικά με τους εσωτερικούς ελέγχους που πραγματοποιήθηκαν το 2022,</w:t>
      </w:r>
    </w:p>
    <w:p w:rsidR="00E52781" w:rsidRPr="00B13356" w:rsidRDefault="00E52781" w:rsidP="00E52781">
      <w:pPr>
        <w:pStyle w:val="NormalHanging12a"/>
      </w:pPr>
      <w:r w:rsidRPr="00B13356">
        <w:t>–</w:t>
      </w:r>
      <w:r w:rsidRPr="00B13356">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B13356">
        <w:rPr>
          <w:rStyle w:val="FootnoteReference"/>
        </w:rPr>
        <w:footnoteReference w:id="3"/>
      </w:r>
      <w:r w:rsidRPr="00B13356">
        <w:t>,</w:t>
      </w:r>
    </w:p>
    <w:p w:rsidR="00E52781" w:rsidRPr="00B13356" w:rsidRDefault="00E52781" w:rsidP="00E52781">
      <w:pPr>
        <w:pStyle w:val="NormalHanging12a"/>
      </w:pPr>
      <w:r w:rsidRPr="00B13356">
        <w:t>–</w:t>
      </w:r>
      <w:r w:rsidRPr="00B13356">
        <w:tab/>
        <w:t>έχοντας υπόψη τη δήλωση αξιοπιστίας</w:t>
      </w:r>
      <w:r w:rsidRPr="00B13356">
        <w:rPr>
          <w:rStyle w:val="FootnoteReference"/>
        </w:rPr>
        <w:footnoteReference w:id="4"/>
      </w:r>
      <w:r w:rsidRPr="00B13356">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E52781" w:rsidRPr="00B13356" w:rsidRDefault="00E52781" w:rsidP="00E52781">
      <w:pPr>
        <w:pStyle w:val="NormalHanging12a"/>
      </w:pPr>
      <w:r w:rsidRPr="00B13356">
        <w:t>–</w:t>
      </w:r>
      <w:r w:rsidRPr="00B13356">
        <w:tab/>
        <w:t>έχοντας υπόψη το άρθρο 314 παράγραφος 10 και τα άρθρα 317, 318 και 319 της Συνθήκης για τη λειτουργία της Ευρωπαϊκής Ένωσης,</w:t>
      </w:r>
    </w:p>
    <w:p w:rsidR="00E52781" w:rsidRPr="00B13356" w:rsidRDefault="00E52781" w:rsidP="00E52781">
      <w:pPr>
        <w:pStyle w:val="NormalHanging12a"/>
      </w:pPr>
      <w:r w:rsidRPr="00B13356">
        <w:t>–</w:t>
      </w:r>
      <w:r w:rsidRPr="00B1335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B13356">
        <w:lastRenderedPageBreak/>
        <w:t>(ΕΕ) αριθ. 223/2014, (ΕΕ) αριθ. 283/2014 και της απόφασης αριθ. 541/2014/ΕΕ και για την κατάργηση του κανονισμού (ΕΕ, Ευρατόμ) αριθ. 966/2012</w:t>
      </w:r>
      <w:r w:rsidRPr="00B13356">
        <w:rPr>
          <w:rStyle w:val="FootnoteReference"/>
        </w:rPr>
        <w:footnoteReference w:id="5"/>
      </w:r>
      <w:r w:rsidRPr="00B13356">
        <w:t>, και ιδίως τα άρθρα 59, 118, 260, 261 και 262,</w:t>
      </w:r>
    </w:p>
    <w:p w:rsidR="00E52781" w:rsidRPr="00B13356" w:rsidRDefault="00E52781" w:rsidP="00E52781">
      <w:pPr>
        <w:pStyle w:val="NormalHanging12a"/>
      </w:pPr>
      <w:r w:rsidRPr="00B13356">
        <w:t>–</w:t>
      </w:r>
      <w:r w:rsidRPr="00B13356">
        <w:tab/>
        <w:t>έχοντας υπόψη το άρθρο 100 και το παράρτημα V του Κανονισμού του,</w:t>
      </w:r>
    </w:p>
    <w:p w:rsidR="00E52781" w:rsidRPr="00B13356" w:rsidRDefault="00E52781" w:rsidP="00E52781">
      <w:pPr>
        <w:pStyle w:val="NormalHanging12a"/>
      </w:pPr>
      <w:r w:rsidRPr="00B13356">
        <w:t>–</w:t>
      </w:r>
      <w:r w:rsidRPr="00B13356">
        <w:tab/>
        <w:t>έχοντας υπόψη την επιστολή της Επιτροπής Συνταγματικών Υποθέσεων,</w:t>
      </w:r>
    </w:p>
    <w:p w:rsidR="00E52781" w:rsidRPr="00B13356" w:rsidRDefault="00E52781" w:rsidP="00E52781">
      <w:pPr>
        <w:pStyle w:val="NormalHanging12a"/>
      </w:pPr>
      <w:r w:rsidRPr="00B13356">
        <w:t>–</w:t>
      </w:r>
      <w:r w:rsidRPr="00B13356">
        <w:tab/>
        <w:t>έχοντας υπόψη την έκθεση της Επιτροπής Ελέγχου του Προϋπολογισμού (A9‑0071/2024),</w:t>
      </w:r>
    </w:p>
    <w:p w:rsidR="00E52781" w:rsidRPr="00B13356" w:rsidRDefault="00E52781" w:rsidP="00E52781">
      <w:pPr>
        <w:pStyle w:val="NormalHanging12a"/>
      </w:pPr>
      <w:r w:rsidRPr="00B13356">
        <w:t>1.</w:t>
      </w:r>
      <w:r w:rsidRPr="00B13356">
        <w:tab/>
        <w:t>αναβάλλει την απόφασή του για τη χορήγηση απαλλαγής στη Γενική Γραμματέα του Συμβουλίου όσον αφορά την εκτέλεση του προϋπολογισμού του Ευρωπαϊκού Συμβουλίου και του Συμβουλίου για το οικονομικό έτος 2022·</w:t>
      </w:r>
    </w:p>
    <w:p w:rsidR="00E52781" w:rsidRPr="00B13356" w:rsidRDefault="00E52781" w:rsidP="00E52781">
      <w:pPr>
        <w:pStyle w:val="NormalHanging12a"/>
      </w:pPr>
      <w:r w:rsidRPr="00B13356">
        <w:t>2.</w:t>
      </w:r>
      <w:r w:rsidRPr="00B13356">
        <w:tab/>
        <w:t>εκθέτει τις παρατηρήσεις του στο ψήφισμα που ακολουθεί·</w:t>
      </w:r>
    </w:p>
    <w:p w:rsidR="00E52781" w:rsidRPr="00B13356" w:rsidRDefault="00E52781" w:rsidP="00E52781">
      <w:pPr>
        <w:pStyle w:val="NormalHanging12a"/>
      </w:pPr>
      <w:r w:rsidRPr="00B13356">
        <w:t>3.</w:t>
      </w:r>
      <w:r w:rsidRPr="00B13356">
        <w:tab/>
        <w:t xml:space="preserve">αναθέτει στην Πρόεδρό του να διαβιβάσει την παρούσα απόφαση και το ψήφισμα που αποτελεί αναπόσπαστο μέρος της στο Ευρωπαϊκό Συμβούλιο, στο Συμβούλιο, στην Επιτροπή και στο Ελεγκτικό Συνέδριο, και να μεριμνήσει για τη δημοσίευσή τους στην </w:t>
      </w:r>
      <w:r w:rsidRPr="00B13356">
        <w:rPr>
          <w:i/>
        </w:rPr>
        <w:t>Επίσημη Εφημερίδα της Ευρωπαϊκής Ένωσης</w:t>
      </w:r>
      <w:r w:rsidRPr="00B13356">
        <w:t xml:space="preserve"> (σειρά L).</w:t>
      </w:r>
    </w:p>
    <w:p w:rsidR="00E52781" w:rsidRPr="00B13356" w:rsidRDefault="00E52781" w:rsidP="00E52781"/>
    <w:p w:rsidR="00E52781" w:rsidRPr="00B13356" w:rsidRDefault="00E52781" w:rsidP="00E52781">
      <w:pPr>
        <w:pStyle w:val="PageHeading"/>
        <w:sectPr w:rsidR="00E52781" w:rsidRPr="00B13356" w:rsidSect="00DE576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52781" w:rsidRPr="00B13356" w:rsidRDefault="00E52781" w:rsidP="00B11AEC">
      <w:pPr>
        <w:pStyle w:val="ATHeading3"/>
      </w:pPr>
      <w:bookmarkStart w:id="9" w:name="_Toc161820234"/>
      <w:r w:rsidRPr="00B13356">
        <w:lastRenderedPageBreak/>
        <w:t xml:space="preserve">2. </w:t>
      </w:r>
      <w:r w:rsidR="00B11AEC" w:rsidRPr="00B13356">
        <w:t xml:space="preserve">Ψήφισμα του Ευρωπαϊκού Κοινοβουλίου της </w:t>
      </w:r>
      <w:r w:rsidR="00931B26" w:rsidRPr="00B13356">
        <w:t>23</w:t>
      </w:r>
      <w:r w:rsidR="00B11AEC" w:rsidRPr="00B13356">
        <w:t xml:space="preserve">ης Απριλίου 2024 </w:t>
      </w:r>
      <w:bookmarkEnd w:id="9"/>
      <w:r w:rsidRPr="00B13356">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r w:rsidR="00B11AEC" w:rsidRPr="00B13356">
        <w:t xml:space="preserve"> </w:t>
      </w:r>
      <w:r w:rsidRPr="00B13356">
        <w:t>(2023/2131(DEC))</w:t>
      </w:r>
    </w:p>
    <w:p w:rsidR="00B11AEC" w:rsidRPr="00B13356" w:rsidRDefault="00B11AEC" w:rsidP="00E52781">
      <w:pPr>
        <w:pStyle w:val="EPComma"/>
        <w:spacing w:before="0"/>
        <w:rPr>
          <w:i/>
        </w:rPr>
      </w:pPr>
    </w:p>
    <w:p w:rsidR="00E52781" w:rsidRPr="00B13356" w:rsidRDefault="00E52781" w:rsidP="00E52781">
      <w:pPr>
        <w:pStyle w:val="EPComma"/>
        <w:spacing w:before="0"/>
      </w:pPr>
      <w:r w:rsidRPr="00B13356">
        <w:rPr>
          <w:i/>
        </w:rPr>
        <w:t>Το Ευρωπαϊκό Κοινοβούλιο</w:t>
      </w:r>
      <w:r w:rsidRPr="00B13356">
        <w:t>,</w:t>
      </w:r>
    </w:p>
    <w:p w:rsidR="00E52781" w:rsidRPr="00B13356" w:rsidRDefault="00E52781" w:rsidP="00B11AEC">
      <w:pPr>
        <w:pStyle w:val="NormalHanging12a"/>
        <w:widowControl/>
        <w:rPr>
          <w:szCs w:val="24"/>
        </w:rPr>
      </w:pPr>
      <w:r w:rsidRPr="00B13356">
        <w:t>–</w:t>
      </w:r>
      <w:r w:rsidRPr="00B1335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p>
    <w:p w:rsidR="00E52781" w:rsidRPr="00B13356" w:rsidRDefault="00E52781" w:rsidP="00B11AEC">
      <w:pPr>
        <w:pStyle w:val="NormalHanging12a"/>
        <w:widowControl/>
        <w:rPr>
          <w:szCs w:val="24"/>
        </w:rPr>
      </w:pPr>
      <w:r w:rsidRPr="00B13356">
        <w:t>–</w:t>
      </w:r>
      <w:r w:rsidRPr="00B13356">
        <w:tab/>
        <w:t>έχοντας υπόψη το άρθρο 100 και το παράρτημα V του Κανονισμού του,</w:t>
      </w:r>
    </w:p>
    <w:p w:rsidR="00E52781" w:rsidRPr="00B13356" w:rsidRDefault="00E52781" w:rsidP="00B11AEC">
      <w:pPr>
        <w:pStyle w:val="NormalHanging12a"/>
        <w:widowControl/>
        <w:rPr>
          <w:szCs w:val="24"/>
        </w:rPr>
      </w:pPr>
      <w:r w:rsidRPr="00B13356">
        <w:t>–</w:t>
      </w:r>
      <w:r w:rsidRPr="00B13356">
        <w:tab/>
        <w:t>έχοντας υπόψη την επιστολή της Επιτροπής Συνταγματικών Υποθέσεων,</w:t>
      </w:r>
    </w:p>
    <w:p w:rsidR="00E52781" w:rsidRPr="00B13356" w:rsidRDefault="00E52781" w:rsidP="00B11AEC">
      <w:pPr>
        <w:pStyle w:val="NormalHanging12a"/>
        <w:widowControl/>
        <w:rPr>
          <w:szCs w:val="24"/>
        </w:rPr>
      </w:pPr>
      <w:r w:rsidRPr="00B13356">
        <w:t>–</w:t>
      </w:r>
      <w:r w:rsidRPr="00B13356">
        <w:tab/>
        <w:t>έχοντας υπόψη την έκθεση της Επιτροπής Ελέγχου του Προϋπολογισμού (A9‑0071/2024),</w:t>
      </w:r>
    </w:p>
    <w:p w:rsidR="00E52781" w:rsidRPr="00B13356" w:rsidRDefault="00E52781" w:rsidP="00B11AEC">
      <w:pPr>
        <w:pStyle w:val="NormalHanging12a"/>
        <w:widowControl/>
        <w:rPr>
          <w:szCs w:val="24"/>
        </w:rPr>
      </w:pPr>
      <w:r w:rsidRPr="00B13356">
        <w:t>Α.</w:t>
      </w:r>
      <w:r w:rsidRPr="00B13356">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χάρη στη βελτίωση της διαφάνειας και της λογοδοσίας, και η εφαρμογή της προσέγγισης της κατάρτισης του προϋπολογισμού βάσει επιδόσεων και της χρηστής διαχείρισης των ανθρώπινων πόρων·</w:t>
      </w:r>
    </w:p>
    <w:p w:rsidR="00E52781" w:rsidRPr="00B13356" w:rsidRDefault="00E52781" w:rsidP="00B11AEC">
      <w:pPr>
        <w:pStyle w:val="NormalHanging12a"/>
        <w:widowControl/>
        <w:rPr>
          <w:szCs w:val="24"/>
        </w:rPr>
      </w:pPr>
      <w:r w:rsidRPr="00B13356">
        <w:t>Β.</w:t>
      </w:r>
      <w:r w:rsidRPr="00B13356">
        <w:tab/>
        <w:t>λαμβάνοντας υπόψη ότι, βάσει του άρθρου 319 της Συνθήκης για τη λειτουργία της Ευρωπαϊκής Ένωσης (ΣΛΕΕ), το Κοινοβούλιο έχει την αποκλειστική αρμοδιότητα να χορηγεί απαλλαγή όσον αφορά την εκτέλεση του γενικού προϋπολογισμού της Ένωσης, και λαμβάνοντας υπόψη ότι ο προϋπολογισμός του Ευρωπαϊκού Συμβουλίου και του Συμβουλίου αποτελεί τμήμα του προϋπολογισμού της Ένωσης·</w:t>
      </w:r>
    </w:p>
    <w:p w:rsidR="00E52781" w:rsidRPr="00B13356" w:rsidRDefault="00E52781" w:rsidP="00B11AEC">
      <w:pPr>
        <w:pStyle w:val="NormalHanging12a"/>
        <w:widowControl/>
        <w:rPr>
          <w:szCs w:val="24"/>
        </w:rPr>
      </w:pPr>
      <w:r w:rsidRPr="00B13356">
        <w:t>Γ.</w:t>
      </w:r>
      <w:r w:rsidRPr="00B13356">
        <w:tab/>
        <w:t>λαμβάνοντας υπόψη ότι, σύμφωνα με το άρθρο 15 παράγραφος 1 της Συνθήκης για την Ευρωπαϊκή Ένωση (ΣΕΕ), το Ευρωπαϊκό Συμβούλιο δεν ασκεί νομοθετική λειτουργία·</w:t>
      </w:r>
    </w:p>
    <w:p w:rsidR="00E52781" w:rsidRPr="00B13356" w:rsidRDefault="00E52781" w:rsidP="00B11AEC">
      <w:pPr>
        <w:pStyle w:val="NormalHanging12a"/>
        <w:widowControl/>
        <w:rPr>
          <w:szCs w:val="24"/>
        </w:rPr>
      </w:pPr>
      <w:r w:rsidRPr="00B13356">
        <w:t>Δ.</w:t>
      </w:r>
      <w:r w:rsidRPr="00B13356">
        <w:tab/>
        <w:t>λαμβάνοντας υπόψη ότι, σύμφωνα με το άρθρο 317 ΣΛΕΕ, η Επιτροπή εκτελεί τον προϋπολογισμό με δική της ευθύνη, σύμφωνα με την αρχή της χρηστής δημοσιονομικής διαχείρισης, και λαμβάνοντας υπόψη ότι, με βάση το ισχύον πλαίσιο,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E52781" w:rsidRPr="00B13356" w:rsidRDefault="00E52781" w:rsidP="00B11AEC">
      <w:pPr>
        <w:pStyle w:val="NormalHanging12a"/>
        <w:widowControl/>
        <w:rPr>
          <w:szCs w:val="24"/>
        </w:rPr>
      </w:pPr>
      <w:r w:rsidRPr="00B13356">
        <w:t>Ε.</w:t>
      </w:r>
      <w:r w:rsidRPr="00B13356">
        <w:tab/>
        <w:t>λαμβάνοντας υπόψη ότι, σύμφωνα με το άρθρο 235 παράγραφος 4 και το άρθρο 240 παράγραφος 2 ΣΛΕΕ, το Ευρωπαϊκό Συμβούλιο και το Συμβούλιο («το Συμβούλιο») επικουρούνται από τη Γενική Γραμματεία του Συμβουλίου, και λαμβάνοντας υπόψη ότι ο Γενικός Γραμματέας του Συμβουλίου είναι εξ ολοκλήρου υπεύθυνος για τη χρηστή διαχείριση των πιστώσεων που εγγράφονται στο τμήμα ΙΙ του προϋπολογισμού της Ένωσης·</w:t>
      </w:r>
    </w:p>
    <w:p w:rsidR="00E52781" w:rsidRPr="00B13356" w:rsidRDefault="00E52781" w:rsidP="00B11AEC">
      <w:pPr>
        <w:pStyle w:val="NormalHanging12a"/>
        <w:widowControl/>
        <w:rPr>
          <w:szCs w:val="24"/>
        </w:rPr>
      </w:pPr>
      <w:r w:rsidRPr="00B13356">
        <w:lastRenderedPageBreak/>
        <w:t>ΣΤ.</w:t>
      </w:r>
      <w:r w:rsidRPr="00B13356">
        <w:tab/>
        <w:t>λαμβάνοντας υπόψη ότι, επί σχεδόν είκοσι έτη, το Κοινοβούλιο εφαρμόζει την καθιερωμένη και σεβαστή πρακτική της χορήγησης απαλλαγής σε όλα τα θεσμικά και λοιπά όργανα και οργανισμούς της Ένωσης, και λαμβάνοντας υπόψη ότι η Επιτροπή υποστηρίζει ότι θα πρέπει να συνεχιστεί η πρακτική της χορήγησης απαλλαγής σε κάθε θεσμικό όργανο και οργανισμό της Ένωσης για τις διοικητικές του δαπάνες·</w:t>
      </w:r>
    </w:p>
    <w:p w:rsidR="00E52781" w:rsidRPr="00B13356" w:rsidRDefault="00E52781" w:rsidP="00B11AEC">
      <w:pPr>
        <w:pStyle w:val="NormalHanging12a"/>
        <w:widowControl/>
        <w:rPr>
          <w:szCs w:val="24"/>
        </w:rPr>
      </w:pPr>
      <w:r w:rsidRPr="00B13356">
        <w:t>Ζ.</w:t>
      </w:r>
      <w:r w:rsidRPr="00B13356">
        <w:tab/>
        <w:t>λαμβάνοντας υπόψη ότι, σύμφωνα με το άρθρο 59 παράγραφος 1 του δημοσιονομικού κανονισμού,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E52781" w:rsidRPr="00B13356" w:rsidRDefault="00E52781" w:rsidP="00B11AEC">
      <w:pPr>
        <w:pStyle w:val="NormalHanging12a"/>
        <w:widowControl/>
        <w:rPr>
          <w:szCs w:val="24"/>
        </w:rPr>
      </w:pPr>
      <w:r w:rsidRPr="00B13356">
        <w:t>Η.</w:t>
      </w:r>
      <w:r w:rsidRPr="00B13356">
        <w:tab/>
        <w:t>λαμβάνοντας υπόψη ότι, από το 2009, η έλλειψη συνεργασίας εκ μέρους του Συμβουλίου στο πλαίσιο της διαδικασίας απαλλαγής οδήγησε στην άρνηση του Κοινοβουλίου να χορηγεί απαλλαγή στον Γενικό Γραμματέα του Συμβουλίου·</w:t>
      </w:r>
    </w:p>
    <w:p w:rsidR="00E52781" w:rsidRPr="00B13356" w:rsidRDefault="00E52781" w:rsidP="00B11AEC">
      <w:pPr>
        <w:pStyle w:val="NormalHanging12a"/>
        <w:widowControl/>
        <w:rPr>
          <w:szCs w:val="24"/>
        </w:rPr>
      </w:pPr>
      <w:r w:rsidRPr="00B13356">
        <w:t>Θ.</w:t>
      </w:r>
      <w:r w:rsidRPr="00B13356">
        <w:tab/>
        <w:t>λαμβάνοντας υπόψη ότι το Ευρωπαϊκό Συμβούλιο και το Συμβούλιο, ως θεσμικά όργανα της Ένωσης και ως αποδέκτες του γενικού προϋπολογισμού της Ένωσης, θα πρέπει να είναι διαφανή και δημοκρατικά υπόλογα έναντι των πολιτών της Ένωσης και να υπόκεινται σε δημοκρατικό έλεγχο της δαπάνης των δημόσιων πόρων·</w:t>
      </w:r>
    </w:p>
    <w:p w:rsidR="00E52781" w:rsidRPr="00B13356" w:rsidRDefault="00E52781" w:rsidP="00B11AEC">
      <w:pPr>
        <w:pStyle w:val="NormalHanging12a"/>
        <w:widowControl/>
        <w:rPr>
          <w:szCs w:val="24"/>
        </w:rPr>
      </w:pPr>
      <w:r w:rsidRPr="00B13356">
        <w:t>Ι.</w:t>
      </w:r>
      <w:r w:rsidRPr="00B13356">
        <w:tab/>
        <w:t>λαμβάνοντας υπόψη ότι στη σύσταση του Ευρωπαίου Διαμεσολαβητή στο πλαίσιο της στρατηγικής έρευνας OI/2/2017/TE σχετικά με τη διαφάνεια της νομοθετικής διαδικασίας του Συμβουλίου αναφέρεται ότι η πρακτική του Συμβουλίου όσον αφορά τη διαφάνεια στη νομοθετική διαδικασία συνιστά κακοδιοίκηση και θα πρέπει να αντιμετωπιστεί, προκειμένου να μπορούν οι πολίτες να παρακολουθούν τη νομοθετική διαδικασία της Ένωσης·</w:t>
      </w:r>
    </w:p>
    <w:p w:rsidR="00E52781" w:rsidRPr="00B13356" w:rsidRDefault="00E52781" w:rsidP="00B11AEC">
      <w:pPr>
        <w:pStyle w:val="NormalHanging12a"/>
        <w:widowControl/>
        <w:rPr>
          <w:szCs w:val="24"/>
        </w:rPr>
      </w:pPr>
      <w:r w:rsidRPr="00B13356">
        <w:t xml:space="preserve">ΙΑ. </w:t>
      </w:r>
      <w:r w:rsidRPr="00B13356">
        <w:tab/>
        <w:t>λαμβάνοντας υπόψη ότι η νομολογία του Δικαστηρίου της Ευρωπαϊκής Ένωσης επιβεβαιώνει το δικαίωμα των φορολογουμένων και του κοινού να ενημερώνονται σχετικά με τη χρήση των δημόσιων εσόδων και ότι το Γενικό Δικαστήριο, στην απόφασή του της 25ης Ιανουαρίου 2023 στην υπόθεση T-163/21</w:t>
      </w:r>
      <w:r w:rsidRPr="00B13356">
        <w:rPr>
          <w:rStyle w:val="FootnoteReference"/>
          <w:szCs w:val="24"/>
        </w:rPr>
        <w:footnoteReference w:id="6"/>
      </w:r>
      <w:r w:rsidRPr="00B13356">
        <w:t xml:space="preserve">, De </w:t>
      </w:r>
      <w:proofErr w:type="spellStart"/>
      <w:r w:rsidRPr="00B13356">
        <w:t>Capitani</w:t>
      </w:r>
      <w:proofErr w:type="spellEnd"/>
      <w:r w:rsidRPr="00B13356">
        <w:t xml:space="preserve"> κατά Συμβουλίου, δήλωσε σχετικά με τη διαφάνεια στο πλαίσιο της νομοθετικής διαδικασίας της Ένωσης ότι τα έγγραφα που παράγονται από το Συμβούλιο στις ομάδες εργασίας του δεν έχουν τεχνικό αλλά νομοθετικό χαρακτήρα και, ως εκ τούτου, υπόκεινται στους όρους που διέπουν αιτήσεις πρόσβασης σε έγγραφα·</w:t>
      </w:r>
    </w:p>
    <w:p w:rsidR="00E52781" w:rsidRPr="00B13356" w:rsidRDefault="00B13356" w:rsidP="00B13356">
      <w:pPr>
        <w:pStyle w:val="NormalHanging12a"/>
        <w:widowControl/>
        <w:ind w:left="570" w:hanging="570"/>
        <w:rPr>
          <w:szCs w:val="24"/>
        </w:rPr>
      </w:pPr>
      <w:r w:rsidRPr="00B13356">
        <w:rPr>
          <w:szCs w:val="24"/>
        </w:rPr>
        <w:t>1.</w:t>
      </w:r>
      <w:r w:rsidRPr="00B13356">
        <w:rPr>
          <w:szCs w:val="24"/>
        </w:rPr>
        <w:tab/>
      </w:r>
      <w:r w:rsidR="00E52781" w:rsidRPr="00B13356">
        <w:t>σημειώνει ότι ο προϋπολογισμός του Συμβουλίου εμπίπτει στον τομέα 7 του ΠΔΠ («Ευρωπαϊκή δημόσια διοίκηση»), ο οποίος ανήλθε σε 11,6 δισεκατομμύρια EUR το 2022 (ποσό που αντιστοιχεί στο 5,9 % του συνολικού προϋπολογισμού της Ένωσης)· σημειώνει ότι ο προϋπολογισμός του Συμβουλίου, ύψους περίπου 0,6 δισεκατομμυρίου EUR, συνιστά περίπου το 5,3 % των συνολικών διοικητικών δαπανών της Ένωσης·</w:t>
      </w:r>
    </w:p>
    <w:p w:rsidR="00E52781" w:rsidRPr="00B13356" w:rsidRDefault="00B13356" w:rsidP="00B13356">
      <w:pPr>
        <w:pStyle w:val="NormalHanging12a"/>
        <w:widowControl/>
        <w:ind w:left="570" w:hanging="570"/>
        <w:rPr>
          <w:szCs w:val="24"/>
        </w:rPr>
      </w:pPr>
      <w:r w:rsidRPr="00B13356">
        <w:rPr>
          <w:szCs w:val="24"/>
        </w:rPr>
        <w:t>2.</w:t>
      </w:r>
      <w:r w:rsidRPr="00B13356">
        <w:rPr>
          <w:szCs w:val="24"/>
        </w:rPr>
        <w:tab/>
      </w:r>
      <w:r w:rsidR="00E52781" w:rsidRPr="00B13356">
        <w:t xml:space="preserve">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πράξεων ίδιος με εκείνον που εξετάστηκαν το 2021· σημειώνει ακόμη ότι, σύμφωνα με το Ελεγκτικό Συνέδριο, στις διοικητικές δαπάνες συγκαταλέγονται δαπάνες για ανθρώπινους πόρους, συμπεριλαμβανομένων των δαπανών για συντάξεις, οι οποίες το </w:t>
      </w:r>
      <w:r w:rsidR="00E52781" w:rsidRPr="00B13356">
        <w:lastRenderedPageBreak/>
        <w:t>2022 συνιστούσαν περίπου το 70 % των συνολικών διοικητικών δαπανών, και δαπάνες για κτίρια, εξοπλισμό, ενέργεια, επικοινωνίες και τεχνολογίες των πληροφοριών, και ότι οι εργασίες του επί σειρά ετών υποδεικνύουν ότι, συνολικά, οι δαπάνες αυτές είναι χαμηλού κινδύνου·</w:t>
      </w:r>
    </w:p>
    <w:p w:rsidR="00E52781" w:rsidRPr="00B13356" w:rsidRDefault="00B13356" w:rsidP="00B13356">
      <w:pPr>
        <w:pStyle w:val="NormalHanging12a"/>
        <w:widowControl/>
        <w:ind w:left="570" w:hanging="570"/>
        <w:rPr>
          <w:szCs w:val="24"/>
        </w:rPr>
      </w:pPr>
      <w:r w:rsidRPr="00B13356">
        <w:rPr>
          <w:szCs w:val="24"/>
        </w:rPr>
        <w:t>3.</w:t>
      </w:r>
      <w:r w:rsidRPr="00B13356">
        <w:rPr>
          <w:szCs w:val="24"/>
        </w:rPr>
        <w:tab/>
      </w:r>
      <w:r w:rsidR="00E52781" w:rsidRPr="00B13356">
        <w:t>σημειώνει ότι 14 (23 %) από τις 60 πράξεις περιείχαν σφάλματα, αλλά ότι το Ελεγκτικό Συνέδριο, βάσει των πέντε σφαλμάτων που προσδιορίστηκαν ποσοτικώς, εκτιμά πως το επίπεδο σφάλματος είναι χαμηλότερο από το όριο σημαντικότητας·</w:t>
      </w:r>
    </w:p>
    <w:p w:rsidR="00E52781" w:rsidRPr="00B13356" w:rsidRDefault="00B13356" w:rsidP="00B13356">
      <w:pPr>
        <w:pStyle w:val="NormalHanging12a"/>
        <w:widowControl/>
        <w:ind w:left="570" w:hanging="570"/>
        <w:rPr>
          <w:szCs w:val="24"/>
        </w:rPr>
      </w:pPr>
      <w:r w:rsidRPr="00B13356">
        <w:rPr>
          <w:szCs w:val="24"/>
        </w:rPr>
        <w:t>4.</w:t>
      </w:r>
      <w:r w:rsidRPr="00B13356">
        <w:rPr>
          <w:szCs w:val="24"/>
        </w:rPr>
        <w:tab/>
      </w:r>
      <w:r w:rsidR="00E52781" w:rsidRPr="00B13356">
        <w:t>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το Συμβούλιο·</w:t>
      </w:r>
    </w:p>
    <w:p w:rsidR="00E52781" w:rsidRPr="00B13356" w:rsidRDefault="00E52781" w:rsidP="00B11AEC">
      <w:pPr>
        <w:pStyle w:val="NormalHanging12a"/>
        <w:widowControl/>
        <w:ind w:left="0" w:firstLine="0"/>
        <w:rPr>
          <w:b/>
          <w:i/>
          <w:szCs w:val="24"/>
        </w:rPr>
      </w:pPr>
      <w:r w:rsidRPr="00B13356">
        <w:rPr>
          <w:b/>
          <w:i/>
        </w:rPr>
        <w:t>Πορεία των εργασιών όσον αφορά τη διαδικασία απαλλαγής</w:t>
      </w:r>
    </w:p>
    <w:p w:rsidR="00E52781" w:rsidRPr="00B13356" w:rsidRDefault="00B13356" w:rsidP="00B13356">
      <w:pPr>
        <w:pStyle w:val="NormalHanging12a"/>
        <w:widowControl/>
        <w:ind w:left="570" w:hanging="570"/>
        <w:rPr>
          <w:szCs w:val="24"/>
        </w:rPr>
      </w:pPr>
      <w:r w:rsidRPr="00B13356">
        <w:rPr>
          <w:szCs w:val="24"/>
        </w:rPr>
        <w:t>5.</w:t>
      </w:r>
      <w:r w:rsidRPr="00B13356">
        <w:rPr>
          <w:szCs w:val="24"/>
        </w:rPr>
        <w:tab/>
      </w:r>
      <w:r w:rsidR="00E52781" w:rsidRPr="00B13356">
        <w:t>εκφράζει τη βαθιά του λύπη για το γεγονός ότι από το 2009, και εκ νέου για το οικονομικό έτος 2021, το Κοινοβούλιο είναι αναγκασμένο να αρνηθεί τη χορήγηση απαλλαγής στο Συμβούλιο, διότι το Συμβούλιο εξακολουθεί να αρνείται να συνεργαστεί με το Κοινοβούλιο στο πλαίσιο της διαδικασίας απαλλαγής, εμποδίζοντας το Κοινοβούλιο να λάβει τεκμηριωμένη απόφαση βάσει σοβαρού και διεξοδικού ελέγχου της εκτέλεσης του προϋπολογισμού του Συμβουλίου·</w:t>
      </w:r>
    </w:p>
    <w:p w:rsidR="00E52781" w:rsidRPr="00B13356" w:rsidRDefault="00B13356" w:rsidP="00B13356">
      <w:pPr>
        <w:pStyle w:val="NormalHanging12a"/>
        <w:widowControl/>
        <w:ind w:left="570" w:hanging="570"/>
        <w:rPr>
          <w:szCs w:val="24"/>
        </w:rPr>
      </w:pPr>
      <w:r w:rsidRPr="00B13356">
        <w:rPr>
          <w:szCs w:val="24"/>
        </w:rPr>
        <w:t>6.</w:t>
      </w:r>
      <w:r w:rsidRPr="00B13356">
        <w:rPr>
          <w:szCs w:val="24"/>
        </w:rPr>
        <w:tab/>
      </w:r>
      <w:r w:rsidR="00E52781" w:rsidRPr="00B13356">
        <w:t>σημειώνει ότι, στις 28 Σεπτεμβρίου 2023, οι αρμόδιες υπηρεσίες του Κοινοβουλίου, εξ ονόματος του εισηγητή για τη διαδικασία απαλλαγής, διαβίβασαν στη Γραμματεία του Συμβουλίου ερωτηματολόγιο που περιείχε 74 σημαντικές ερωτήσεις που έθετε το Κοινοβούλιο, προκειμένου να καταστεί δυνατός ο διεξοδικός έλεγχος της εκτέλεσης του προϋπολογισμού του Συμβουλίου, καθώς και της διαχείρισης του Συμβουλίου· σημειώνει περαιτέρω ότι παρόμοια ερωτηματολόγια εστάλησαν σε όλα τα άλλα θεσμικά όργανα, τα οποία παρείχαν όλα στο Κοινοβούλιο λεπτομερείς απαντήσεις σε όλα τα ερωτήματα·</w:t>
      </w:r>
    </w:p>
    <w:p w:rsidR="00E52781" w:rsidRPr="00B13356" w:rsidRDefault="00B13356" w:rsidP="00B13356">
      <w:pPr>
        <w:pStyle w:val="NormalHanging12a"/>
        <w:widowControl/>
        <w:ind w:left="570" w:hanging="570"/>
        <w:rPr>
          <w:szCs w:val="24"/>
        </w:rPr>
      </w:pPr>
      <w:r w:rsidRPr="00B13356">
        <w:rPr>
          <w:szCs w:val="24"/>
        </w:rPr>
        <w:t>7.</w:t>
      </w:r>
      <w:r w:rsidRPr="00B13356">
        <w:rPr>
          <w:szCs w:val="24"/>
        </w:rPr>
        <w:tab/>
      </w:r>
      <w:r w:rsidR="00E52781" w:rsidRPr="00B13356">
        <w:t>εκφράζει τη λύπη του για το γεγονός ότι, στις 12 Οκτωβρίου 2023, η Γενική Γραμματεία του Συμβουλίου ενημέρωσε πάλι το Κοινοβούλιο ότι δεν θα απαντήσει στο ερωτηματολόγιο του Κοινοβουλίου και ότι το Συμβούλιο δεν θα συμμετάσχει στην ακρόαση που είχε προγραμματιστεί για τις 25 Οκτωβρίου 2023 στο πλαίσιο της διαδικασίας απαλλαγής, ακρόαση στην οποία συμμετείχαν όλα τα άλλα προσκεκλημένα θεσμικά όργανα·</w:t>
      </w:r>
    </w:p>
    <w:p w:rsidR="00E52781" w:rsidRPr="00B13356" w:rsidRDefault="00B13356" w:rsidP="00B13356">
      <w:pPr>
        <w:pStyle w:val="NormalHanging12a"/>
        <w:widowControl/>
        <w:ind w:left="570" w:hanging="570"/>
        <w:rPr>
          <w:szCs w:val="24"/>
        </w:rPr>
      </w:pPr>
      <w:r w:rsidRPr="00B13356">
        <w:rPr>
          <w:szCs w:val="24"/>
        </w:rPr>
        <w:t>8.</w:t>
      </w:r>
      <w:r w:rsidRPr="00B13356">
        <w:rPr>
          <w:szCs w:val="24"/>
        </w:rPr>
        <w:tab/>
      </w:r>
      <w:r w:rsidR="00E52781" w:rsidRPr="00B13356">
        <w:t>τονίζει ότι το Κοινοβούλιο έχει το προνόμιο να χορηγεί απαλλαγή δυνάμει του άρθρου 319 ΣΛΕΕ και των εφαρμοστέων διατάξεων του δημοσιονομικού κανονισμού και του Κανονισμού του Κοινοβουλίου, σύμφωνα με την τρέχουσα ερμηνεία και πρακτική, δηλαδή την αρμοδιότητα να χορηγεί απαλλαγή για να διαφυλάσσεται η διαφάνεια και να διασφαλίζεται η δημοκρατική λογοδοσία προς τους φορολογουμένους της Ένωσης·</w:t>
      </w:r>
    </w:p>
    <w:p w:rsidR="00E52781" w:rsidRPr="00B13356" w:rsidRDefault="00B13356" w:rsidP="00B13356">
      <w:pPr>
        <w:pStyle w:val="NormalHanging12a"/>
        <w:widowControl/>
        <w:ind w:left="570" w:hanging="570"/>
        <w:rPr>
          <w:szCs w:val="24"/>
        </w:rPr>
      </w:pPr>
      <w:r w:rsidRPr="00B13356">
        <w:rPr>
          <w:szCs w:val="24"/>
        </w:rPr>
        <w:t>9.</w:t>
      </w:r>
      <w:r w:rsidRPr="00B13356">
        <w:rPr>
          <w:szCs w:val="24"/>
        </w:rPr>
        <w:tab/>
      </w:r>
      <w:r w:rsidR="00E52781" w:rsidRPr="00B13356">
        <w:t>υπογραμμίζει ότι το άρθρο 59 παράγραφος 1 του δημοσιονομικού κανονισμού ορίζει ότι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 και, συνεπώς, θεωρεί ακατανόητο το γεγονός ότι το Συμβούλιο κρίνει σκόπιμο να χορηγηθεί απαλλαγή στην Επιτροπή για την εκτέλεση του προϋπολογισμού του Συμβουλίου·</w:t>
      </w:r>
    </w:p>
    <w:p w:rsidR="00E52781" w:rsidRPr="00B13356" w:rsidRDefault="00B13356" w:rsidP="00B13356">
      <w:pPr>
        <w:pStyle w:val="NormalHanging12a"/>
        <w:widowControl/>
        <w:ind w:left="570" w:hanging="570"/>
        <w:rPr>
          <w:szCs w:val="24"/>
        </w:rPr>
      </w:pPr>
      <w:r w:rsidRPr="00B13356">
        <w:rPr>
          <w:szCs w:val="24"/>
        </w:rPr>
        <w:lastRenderedPageBreak/>
        <w:t>10.</w:t>
      </w:r>
      <w:r w:rsidRPr="00B13356">
        <w:rPr>
          <w:szCs w:val="24"/>
        </w:rPr>
        <w:tab/>
      </w:r>
      <w:r w:rsidR="00E52781" w:rsidRPr="00B13356">
        <w:t>τονίζει την καθιερωμένη και σεβαστή πρακτική που ακολουθεί το Κοινοβούλιο επί σχεδόν είκοσι έτη όσον αφορά τη χορήγηση απαλλαγή σε όλα τα θεσμικά και λοιπά όργανα και οργανισμούς της Ένωσης· υπενθυμίζει ότι η Επιτροπή έχει δηλώσει την αδυναμία της να επιβλέπει την εκτέλεση των προϋπολογισμών των άλλων θεσμικών οργάνων της Ένωσης· τονίζει την επανειλημμένως διατυπωμένη άποψη της Επιτροπής ότι θα πρέπει να συνεχιστεί η πρακτική της χορήγησης απαλλαγής σε κάθε θεσμικό όργανο της Ένωσης για τις διοικητικές του δαπάνες από το Κοινοβούλιο·</w:t>
      </w:r>
    </w:p>
    <w:p w:rsidR="00E52781" w:rsidRPr="00B13356" w:rsidRDefault="00B13356" w:rsidP="00B13356">
      <w:pPr>
        <w:pStyle w:val="NormalHanging12a"/>
        <w:widowControl/>
        <w:ind w:left="570" w:hanging="570"/>
        <w:rPr>
          <w:szCs w:val="24"/>
        </w:rPr>
      </w:pPr>
      <w:r w:rsidRPr="00B13356">
        <w:rPr>
          <w:szCs w:val="24"/>
        </w:rPr>
        <w:t>11.</w:t>
      </w:r>
      <w:r w:rsidRPr="00B13356">
        <w:rPr>
          <w:szCs w:val="24"/>
        </w:rPr>
        <w:tab/>
      </w:r>
      <w:r w:rsidR="00E52781" w:rsidRPr="00B13356">
        <w:t>τονίζει ότι η τρέχουσα κατάσταση επιτρέπει στο Κοινοβούλιο να ελέγχει μόνο τις εκθέσεις του Ελεγκτικού Συνεδρίου και του Διαμεσολαβητή, καθώς και τις πληροφορίες που είναι δημόσια διαθέσιμες στον ιστότοπο του Συμβουλίου, διότι το Συμβούλιο επιμένει στην κακή πρακτική της μη συνεργασίας με το Κοινοβούλιο, γεγονός που καθιστά αδύνατο για το Κοινοβούλιο να εκτελέσει δεόντως τα καθήκοντά του και να λάβει τεκμηριωμένη απόφαση σχετικά με τη χορήγηση απαλλαγής·</w:t>
      </w:r>
    </w:p>
    <w:p w:rsidR="00E52781" w:rsidRPr="00B13356" w:rsidRDefault="00B13356" w:rsidP="00B13356">
      <w:pPr>
        <w:pStyle w:val="NormalHanging12a"/>
        <w:widowControl/>
        <w:ind w:left="570" w:hanging="570"/>
        <w:rPr>
          <w:szCs w:val="24"/>
        </w:rPr>
      </w:pPr>
      <w:r w:rsidRPr="00B13356">
        <w:rPr>
          <w:szCs w:val="24"/>
        </w:rPr>
        <w:t>12.</w:t>
      </w:r>
      <w:r w:rsidRPr="00B13356">
        <w:rPr>
          <w:szCs w:val="24"/>
        </w:rPr>
        <w:tab/>
      </w:r>
      <w:r w:rsidR="00E52781" w:rsidRPr="00B13356">
        <w:t>εκφράζει τη δυσαρέσκειά του για το γεγονός ότι το Συμβούλιο, εδώ και πάνω από μία δεκαετία, έχει δείξει ότι δεν έχει καμία πολιτική βούληση να συνεργαστεί με το Κοινοβούλιο στο πλαίσιο της ετήσιας διαδικασίας απαλλαγής· υπογραμμίζει ότι η στάση αυτή έχει μακροχρόνιες αρνητικές επιπτώσεις και στα δύο θεσμικά όργανα, έχει απαξιώσει τη διαχείριση και τον δημοκρατικό έλεγχο του προϋπολογισμού της Ένωσης και έχει βλάψει την εμπιστοσύνη των πολιτών στην Ένωση ως διαφανή οντότητα·</w:t>
      </w:r>
    </w:p>
    <w:p w:rsidR="00E52781" w:rsidRPr="00B13356" w:rsidRDefault="00B13356" w:rsidP="00B13356">
      <w:pPr>
        <w:pStyle w:val="NormalHanging12a"/>
        <w:widowControl/>
        <w:ind w:left="570" w:hanging="570"/>
        <w:rPr>
          <w:szCs w:val="24"/>
        </w:rPr>
      </w:pPr>
      <w:r w:rsidRPr="00B13356">
        <w:rPr>
          <w:szCs w:val="24"/>
        </w:rPr>
        <w:t>13.</w:t>
      </w:r>
      <w:r w:rsidRPr="00B13356">
        <w:rPr>
          <w:szCs w:val="24"/>
        </w:rPr>
        <w:tab/>
      </w:r>
      <w:r w:rsidR="00E52781" w:rsidRPr="00B13356">
        <w:t>υπενθυμίζει ότι η νομολογία του Δικαστηρίου της Ευρωπαϊκής Ένωσης υποστηρίζει το δικαίωμα των φορολογουμένων και του κοινού να τηρούνται ενήμεροι για τη χρήση των δημοσίων εσόδων· ζητεί, επομένως, πλήρη σεβασμό του προνομίου του Κοινοβουλίου και του ρόλου του ως εγγυητή της αρχής της δημοκρατικής λογοδοσίας· καλεί το Συμβούλιο να δώσει τη δέουσα συνέχεια στις συστάσεις που ενέκρινε το Κοινοβούλιο στο πλαίσιο της διαδικασίας απαλλαγής·</w:t>
      </w:r>
    </w:p>
    <w:p w:rsidR="00E52781" w:rsidRPr="00B13356" w:rsidRDefault="00B13356" w:rsidP="00B13356">
      <w:pPr>
        <w:pStyle w:val="NormalHanging12a"/>
        <w:widowControl/>
        <w:ind w:left="570" w:hanging="570"/>
        <w:rPr>
          <w:szCs w:val="24"/>
        </w:rPr>
      </w:pPr>
      <w:r w:rsidRPr="00B13356">
        <w:rPr>
          <w:szCs w:val="24"/>
        </w:rPr>
        <w:t>14.</w:t>
      </w:r>
      <w:r w:rsidRPr="00B13356">
        <w:rPr>
          <w:szCs w:val="24"/>
        </w:rPr>
        <w:tab/>
      </w:r>
      <w:r w:rsidR="00E52781" w:rsidRPr="00B13356">
        <w:t>καλεί το Συμβούλιο να επαναλάβει τις διαπραγματεύσεις με το Κοινοβούλιο στο ανώτατο επίπεδο το συντομότερο δυνατόν, με τη συμμετοχή των Γενικών Γραμματέων και των Προέδρων αμφότερων των θεσμικών οργάνων, προκειμένου να αρθεί το αδιέξοδο και να βρεθεί λύση, τηρώντας, παράλληλα, τους αντίστοιχους ρόλους του Κοινοβουλίου και του Συμβουλίου στη διαδικασία απαλλαγής και διασφαλίζοντας τη διαφάνεια και τον κατάλληλο δημοκρατικό έλεγχο της εκτέλεσης του προϋπολογισμού·</w:t>
      </w:r>
    </w:p>
    <w:p w:rsidR="00E52781" w:rsidRPr="00B13356" w:rsidRDefault="00B13356" w:rsidP="00B13356">
      <w:pPr>
        <w:pStyle w:val="NormalHanging12a"/>
        <w:widowControl/>
        <w:ind w:left="570" w:hanging="570"/>
        <w:rPr>
          <w:szCs w:val="24"/>
        </w:rPr>
      </w:pPr>
      <w:r w:rsidRPr="00B13356">
        <w:rPr>
          <w:szCs w:val="24"/>
        </w:rPr>
        <w:t>15.</w:t>
      </w:r>
      <w:r w:rsidRPr="00B13356">
        <w:rPr>
          <w:szCs w:val="24"/>
        </w:rPr>
        <w:tab/>
      </w:r>
      <w:r w:rsidR="00E52781" w:rsidRPr="00B13356">
        <w:t>επισημαίνει ότι, αν και η παρούσα κατάσταση πρέπει να βελτιωθεί μέσω καλύτερης διοργανικής συνεργασίας εντός του πλαισίου των Συνθηκών, η αναθεώρηση των Συνθηκών θα καταστήσει τη διαδικασία απαλλαγής σαφέστερη και διαφανέστερη, μέσω της ρητής ανάθεσης στο Ευρωπαϊκό Κοινοβούλιο της αρμοδιότητας να χορηγεί απαλλαγή σε όλα τα θεσμικά όργανα και σε όλους τους οργανισμούς της Ένωσης χωριστά· υπογραμμίζει, ωστόσο, ότι εν αναμονή μιας τέτοιας αναθεώρησης, η τρέχουσα κατάσταση πρέπει να βελτιωθεί μέσω καλύτερης διοργανικής συνεργασίας εντός του ισχύοντος πλαισίου των Συνθηκών και παροτρύνει το Συμβούλιο να συνεργαστεί ενεργά με το Κοινοβούλιο για την αντιμετώπιση της τρέχουσας κατάστασης·</w:t>
      </w:r>
    </w:p>
    <w:p w:rsidR="00931B26" w:rsidRPr="00B13356" w:rsidRDefault="00B13356" w:rsidP="00B13356">
      <w:pPr>
        <w:pStyle w:val="NormalHanging12a"/>
        <w:widowControl/>
        <w:ind w:left="570" w:hanging="570"/>
      </w:pPr>
      <w:r w:rsidRPr="00B13356">
        <w:t>16.</w:t>
      </w:r>
      <w:r w:rsidRPr="00B13356">
        <w:tab/>
      </w:r>
      <w:r w:rsidR="00E52781" w:rsidRPr="00B13356">
        <w:t xml:space="preserve">σημειώνει ότι, παρά την απροθυμία του Συμβουλίου να συνεργαστεί στο πλαίσιο της διαδικασίας απαλλαγής, το Κοινοβούλιο τονίζει, ωστόσο, ορισμένες πολιτικές προτεραιότητες και διατυπώνει ορισμένες παρατηρήσεις σχετικά με τη δημοσιονομική </w:t>
      </w:r>
      <w:r w:rsidR="00E52781" w:rsidRPr="00B13356">
        <w:lastRenderedPageBreak/>
        <w:t>και χρηματοοικονομική διαχείριση του Συμβουλίου και άλλες παρατηρήσεις συναφείς προς τη διαδικασία απαλλαγής στο παρόν ψήφισμα·</w:t>
      </w:r>
    </w:p>
    <w:p w:rsidR="00931B26" w:rsidRPr="00B13356" w:rsidRDefault="00B13356" w:rsidP="00B13356">
      <w:pPr>
        <w:pStyle w:val="NormalHanging12a"/>
        <w:widowControl/>
        <w:ind w:left="570" w:hanging="570"/>
        <w:rPr>
          <w:szCs w:val="24"/>
        </w:rPr>
      </w:pPr>
      <w:r w:rsidRPr="00B13356">
        <w:rPr>
          <w:szCs w:val="24"/>
        </w:rPr>
        <w:t>17.</w:t>
      </w:r>
      <w:r w:rsidRPr="00B13356">
        <w:rPr>
          <w:szCs w:val="24"/>
        </w:rPr>
        <w:tab/>
      </w:r>
      <w:r w:rsidR="00931B26" w:rsidRPr="00B13356">
        <w:t>υπενθυμίζει</w:t>
      </w:r>
      <w:r w:rsidR="00931B26" w:rsidRPr="00B13356">
        <w:rPr>
          <w:szCs w:val="24"/>
        </w:rPr>
        <w:t xml:space="preserve"> ότι, </w:t>
      </w:r>
      <w:r w:rsidR="00931B26" w:rsidRPr="00B13356">
        <w:t>δεδομένου</w:t>
      </w:r>
      <w:r w:rsidR="00931B26" w:rsidRPr="00B13356">
        <w:rPr>
          <w:szCs w:val="24"/>
        </w:rPr>
        <w:t xml:space="preserve"> ότι η Ρωσία διεξάγει παράνομο, απρόκλητο και αδικαιολόγητο ολομέτωπο επιθετικό πόλεμο κατά της Ουκρανίας από τις 24 </w:t>
      </w:r>
      <w:r w:rsidR="00931B26" w:rsidRPr="00B13356">
        <w:t>Φεβρουαρίου</w:t>
      </w:r>
      <w:r w:rsidR="00931B26" w:rsidRPr="00B13356">
        <w:rPr>
          <w:szCs w:val="24"/>
        </w:rPr>
        <w:t xml:space="preserve"> 2022, η </w:t>
      </w:r>
      <w:r w:rsidRPr="00B13356">
        <w:rPr>
          <w:szCs w:val="24"/>
        </w:rPr>
        <w:t>Ένωση</w:t>
      </w:r>
      <w:r w:rsidR="00931B26" w:rsidRPr="00B13356">
        <w:rPr>
          <w:szCs w:val="24"/>
        </w:rPr>
        <w:t xml:space="preserve"> και τα κράτη </w:t>
      </w:r>
      <w:r w:rsidR="00931B26" w:rsidRPr="00B13356">
        <w:t>μέλη</w:t>
      </w:r>
      <w:r w:rsidR="00931B26" w:rsidRPr="00B13356">
        <w:rPr>
          <w:szCs w:val="24"/>
        </w:rPr>
        <w:t xml:space="preserve"> της έχουν δεσμευτεί να παράσχουν βοήθεια προς την Ουκρανία και τον λαό της· υπενθυμίζει την πρωτοβουλία για τα πυρομαχικά, η οποία αρχικά είχε στόχο να παρασχεθούν στην Ουκρανία ένα εκατομμύριο βλήματα 155 </w:t>
      </w:r>
      <w:proofErr w:type="spellStart"/>
      <w:r w:rsidR="00931B26" w:rsidRPr="00B13356">
        <w:rPr>
          <w:szCs w:val="24"/>
        </w:rPr>
        <w:t>mm</w:t>
      </w:r>
      <w:proofErr w:type="spellEnd"/>
      <w:r w:rsidR="00931B26" w:rsidRPr="00B13356">
        <w:rPr>
          <w:szCs w:val="24"/>
        </w:rPr>
        <w:t xml:space="preserve"> έως τον Μάρτιο του 2024, αλλά παραδόθηκαν μόνο τα μισά περίπου έως τη συγκεκριμένη ημερομηνία· παροτρύνει την Επιτροπή και τα κράτη μέλη να επιταχύνουν σημαντικά την κατασκευή, την προμήθεια και την παράδοση πυρομαχικών στην Ουκρανία χωρίς καθυστέρηση· επισημαίνει ότι η ουκρανική κυβέρνηση έχει ζητήσει από τους Ευρωπαίους συμμάχους</w:t>
      </w:r>
      <w:r w:rsidRPr="00B13356">
        <w:rPr>
          <w:szCs w:val="24"/>
        </w:rPr>
        <w:t xml:space="preserve"> της</w:t>
      </w:r>
      <w:r w:rsidR="00931B26" w:rsidRPr="00B13356">
        <w:rPr>
          <w:szCs w:val="24"/>
        </w:rPr>
        <w:t xml:space="preserve"> </w:t>
      </w:r>
      <w:r w:rsidRPr="00B13356">
        <w:rPr>
          <w:szCs w:val="24"/>
        </w:rPr>
        <w:t xml:space="preserve">να εφοδιάσουν την Ουκρανία </w:t>
      </w:r>
      <w:r w:rsidR="00931B26" w:rsidRPr="00B13356">
        <w:rPr>
          <w:szCs w:val="24"/>
        </w:rPr>
        <w:t xml:space="preserve">με 7 από τα περίπου 30 αντιπυραυλικά συστήματα </w:t>
      </w:r>
      <w:proofErr w:type="spellStart"/>
      <w:r w:rsidR="00931B26" w:rsidRPr="00B13356">
        <w:rPr>
          <w:szCs w:val="24"/>
        </w:rPr>
        <w:t>Patriot</w:t>
      </w:r>
      <w:proofErr w:type="spellEnd"/>
      <w:r w:rsidR="00931B26" w:rsidRPr="00B13356">
        <w:rPr>
          <w:szCs w:val="24"/>
        </w:rPr>
        <w:t xml:space="preserve"> που είναι διαθέσιμα στα κράτη μέλη, για να προστατεύσει αποτελεσματικότερα τις μη στρατιωτικές υποδομές από τη ρωσική επίθεση· εκφράζει τη λύπη του για το γεγονός ότι μέχρι σήμερα μόνον ένα κράτος μέλος έχει δεσμευτεί να διαθέσει ένα επιπλέον σύστημα και παροτρύνει το Ευρωπαϊκό Συμβούλιο να επιταχύνει τη διαδικασία λήψης αποφάσεων και να διαθέσει πόρους για να παρασχεθούν στην Ουκρανία οι απαραίτητες ικανότητες αεροπορικής άμυνας· υπογραμμίζει ότι το Κοινοβούλιο δεν θα χορηγήσει απαλλαγή στο Συμβούλιο για μη εφαρμογή των συστάσεων του Κοινοβουλίου και για όσο διάστημα η αναγκαία στήριξη προς την Ουκρανία δεν εγγράφεται επαρκώς στον προϋπολογισμό·  επαναβεβαιώνει την αλληλεγγύη του προς την Ουκρανία και τονίζει τη σημασία της ανάληψης αποφασιστικής δράσης από τους Ευρωπαίους ηγέτες για την αντιμετώπιση των επειγουσών αναγκών ασφάλειας των Ουκρανών εταίρων μας·</w:t>
      </w:r>
    </w:p>
    <w:p w:rsidR="00E52781" w:rsidRPr="00B13356" w:rsidRDefault="00E52781" w:rsidP="00B11AEC">
      <w:pPr>
        <w:pStyle w:val="NormalHanging12a"/>
        <w:widowControl/>
        <w:ind w:left="0" w:firstLine="0"/>
        <w:rPr>
          <w:b/>
          <w:i/>
          <w:szCs w:val="24"/>
        </w:rPr>
      </w:pPr>
      <w:r w:rsidRPr="00B13356">
        <w:rPr>
          <w:b/>
          <w:i/>
        </w:rPr>
        <w:t>Πολιτικές προτεραιότητες</w:t>
      </w:r>
    </w:p>
    <w:p w:rsidR="00E52781" w:rsidRPr="00B13356" w:rsidRDefault="00B13356" w:rsidP="00B13356">
      <w:pPr>
        <w:pStyle w:val="NormalHanging12a"/>
        <w:widowControl/>
        <w:ind w:left="570" w:hanging="570"/>
        <w:rPr>
          <w:szCs w:val="24"/>
        </w:rPr>
      </w:pPr>
      <w:r w:rsidRPr="00B13356">
        <w:rPr>
          <w:szCs w:val="24"/>
        </w:rPr>
        <w:t>18.</w:t>
      </w:r>
      <w:r w:rsidRPr="00B13356">
        <w:rPr>
          <w:szCs w:val="24"/>
        </w:rPr>
        <w:tab/>
      </w:r>
      <w:r w:rsidR="00E52781" w:rsidRPr="00B13356">
        <w:t>εκφράζει τη λύπη του για το γεγονός ότι το Συμβούλιο ασκεί το προνόμιό του στις διαδικασίες ορισμού και διορισμού πολλών θεσμικών και λοιπών οργάνων και οργανισμών της Ένωσης χωρίς να λαμβάνει υπόψη τις απόψεις των ενδιαφερόμενων μερών ή τις συστάσεις της Ευρωπαϊκής Υπηρεσίας Καταπολέμησης της Απάτης (OLAF)·</w:t>
      </w:r>
    </w:p>
    <w:p w:rsidR="00E52781" w:rsidRPr="00B13356" w:rsidRDefault="00B13356" w:rsidP="00B13356">
      <w:pPr>
        <w:pStyle w:val="NormalHanging12a"/>
        <w:widowControl/>
        <w:ind w:left="570" w:hanging="570"/>
        <w:rPr>
          <w:szCs w:val="24"/>
        </w:rPr>
      </w:pPr>
      <w:r w:rsidRPr="00B13356">
        <w:rPr>
          <w:szCs w:val="24"/>
        </w:rPr>
        <w:t>19.</w:t>
      </w:r>
      <w:r w:rsidRPr="00B13356">
        <w:rPr>
          <w:szCs w:val="24"/>
        </w:rPr>
        <w:tab/>
      </w:r>
      <w:r w:rsidR="00E52781" w:rsidRPr="00B13356">
        <w:t>υπογραμμίζει ότι η πάγια πρακτική του Συμβουλίου να μην αμφισβητεί τους διορισμούς επιμέρους κρατών μελών για τις περισσότερες θέσεις συνεπάγεται ότι τα επαγγελματικά προσόντα των υποψηφίων δεν ελέγχονται διεξοδικά· επιμένει, συνεπώς, ότι είναι αναγκαία η επανεξέταση αυτού του προνομίου του Συμβουλίου, ώστε να διασφαλιστεί και να διευρυνθεί η συμμετοχή των ενδιαφερόμενων θεσμικών και λοιπών οργάνων και οργανισμών και να ενισχυθεί η νομιμοποίηση των διοριζομένων· προτείνει ότι πιθανώς ένας τρόπος να διασφαλιστεί ότι οι υποψήφιοι διαθέτουν τα αναγκαία προσόντα θα ήταν να συγκροτηθούν ανεξάρτητες ομάδες εμπειρογνωμόνων που θα διενεργούν τέτοιους ελέγχους·</w:t>
      </w:r>
    </w:p>
    <w:p w:rsidR="00E52781" w:rsidRPr="00B13356" w:rsidRDefault="00B13356" w:rsidP="00B13356">
      <w:pPr>
        <w:pStyle w:val="NormalHanging12a"/>
        <w:widowControl/>
        <w:ind w:left="570" w:hanging="570"/>
        <w:rPr>
          <w:szCs w:val="24"/>
        </w:rPr>
      </w:pPr>
      <w:r w:rsidRPr="00B13356">
        <w:rPr>
          <w:szCs w:val="24"/>
        </w:rPr>
        <w:t>20.</w:t>
      </w:r>
      <w:r w:rsidRPr="00B13356">
        <w:rPr>
          <w:szCs w:val="24"/>
        </w:rPr>
        <w:tab/>
      </w:r>
      <w:r w:rsidR="00E52781" w:rsidRPr="00B13356">
        <w:t>υπενθυμίζει ότι, σύμφωνα με το άρθρο 286 παράγραφος 2 ΣΛΕΕ, το Συμβούλιο διορίζει τα μέλη του Ελεγκτικού Συνεδρίου μετά από διαβούλευση με το Κοινοβούλιο· εκφράζει τη λύπη του για το γεγονός ότι το Συμβούλιο επανειλημμένα δεν έχει λάβει υπόψη τις συστάσεις του Κοινοβουλίου στο πλαίσιο του συμβουλευτικού του ρόλου όσον αφορά τον διορισμό των μελών του Ελεγκτικού Συνεδρίου·</w:t>
      </w:r>
    </w:p>
    <w:p w:rsidR="00E52781" w:rsidRPr="00B13356" w:rsidRDefault="00B13356" w:rsidP="00B13356">
      <w:pPr>
        <w:pStyle w:val="NormalHanging12a"/>
        <w:widowControl/>
        <w:ind w:left="570" w:hanging="570"/>
        <w:rPr>
          <w:szCs w:val="24"/>
        </w:rPr>
      </w:pPr>
      <w:r w:rsidRPr="00B13356">
        <w:rPr>
          <w:szCs w:val="24"/>
        </w:rPr>
        <w:lastRenderedPageBreak/>
        <w:t>21.</w:t>
      </w:r>
      <w:r w:rsidRPr="00B13356">
        <w:rPr>
          <w:szCs w:val="24"/>
        </w:rPr>
        <w:tab/>
      </w:r>
      <w:r w:rsidR="00E52781" w:rsidRPr="00B13356">
        <w:t>επισημαίνει τη σοβαρή ανισορροπία στην εκπροσώπηση των φύλων στο Ελεγκτικό Συνέδριο, όπου στο τέλος του 2022 υπήρχαν μόνο εννιά γυναίκες μέλη έναντι 17 ανδρών μελών· επισημαίνει τις δυσκολίες στην επίτευξη ισόρροπης εκπροσώπησης των φύλων στο Ελεγκτικό Συνέδριο λόγω της τρέχουσας διαδικασίας διορισμού· επαναλαμβάνει το αίτημά του προς το Συμβούλιο να επανεξετάσει τη διαδικασία διορισμού με στόχο την αντιμετώπιση αυτού του προβλήματος με συγκεκριμένες δράσεις, όπως το να καταστεί υποχρεωτική για τα κράτη μέλη η υποβολή τουλάχιστον δύο υποψηφίων διαφορετικού φύλου για κάθε κενή θέση·</w:t>
      </w:r>
    </w:p>
    <w:p w:rsidR="00E52781" w:rsidRPr="00B13356" w:rsidRDefault="00B13356" w:rsidP="00B13356">
      <w:pPr>
        <w:pStyle w:val="NormalHanging12a"/>
        <w:widowControl/>
        <w:ind w:left="570" w:hanging="570"/>
        <w:rPr>
          <w:szCs w:val="24"/>
        </w:rPr>
      </w:pPr>
      <w:r w:rsidRPr="00B13356">
        <w:rPr>
          <w:szCs w:val="24"/>
        </w:rPr>
        <w:t>22.</w:t>
      </w:r>
      <w:r w:rsidRPr="00B13356">
        <w:rPr>
          <w:szCs w:val="24"/>
        </w:rPr>
        <w:tab/>
      </w:r>
      <w:r w:rsidR="00E52781" w:rsidRPr="00B13356">
        <w:t>εκφράζει τη λύπη του για το γεγονός ότι το Συμβούλιο έχει μέχρι στιγμής αγνοήσει το ψήφισμα του Κοινοβουλίου της 17ης Δεκεμβρίου 2020 σχετικά με την ανάγκη για ειδική σύνθεση του Συμβουλίου σχετικά με την ισότητα των φύλων</w:t>
      </w:r>
      <w:r w:rsidR="00E52781" w:rsidRPr="00B13356">
        <w:rPr>
          <w:rStyle w:val="FootnoteReference"/>
          <w:szCs w:val="24"/>
        </w:rPr>
        <w:footnoteReference w:id="7"/>
      </w:r>
      <w:r w:rsidR="00E52781" w:rsidRPr="00B13356">
        <w:t xml:space="preserve"> και επιμένει ότι ένα ειδικό θεσμικό φόρουμ θα εξασφάλιζε μεγαλύτερη ενσωμάτωση της ισότητας των φύλων στις πολιτικές και τις στρατηγικές της Ένωσης, καθώς και ουσιαστικό συντονισμό και πρόοδο στους κύριους φακέλους που άπτονται της ισότητας των φύλων·</w:t>
      </w:r>
    </w:p>
    <w:p w:rsidR="00E52781" w:rsidRPr="00B13356" w:rsidRDefault="00B13356" w:rsidP="00B13356">
      <w:pPr>
        <w:pStyle w:val="NormalHanging12a"/>
        <w:widowControl/>
        <w:ind w:left="570" w:hanging="570"/>
        <w:rPr>
          <w:szCs w:val="24"/>
        </w:rPr>
      </w:pPr>
      <w:r w:rsidRPr="00B13356">
        <w:rPr>
          <w:szCs w:val="24"/>
        </w:rPr>
        <w:t>23.</w:t>
      </w:r>
      <w:r w:rsidRPr="00B13356">
        <w:rPr>
          <w:szCs w:val="24"/>
        </w:rPr>
        <w:tab/>
      </w:r>
      <w:r w:rsidR="00E52781" w:rsidRPr="00B13356">
        <w:t xml:space="preserve">εκφράζει τη λύπη του για το γεγονός ότι η διαδικασία λήψης αποφάσεων στο Συμβούλιο εξακολουθεί να απέχει πολύ από το να είναι πλήρως διαφανής, γεγονός που επηρεάζει την εμπιστοσύνη των πολιτών στην Ένωση ως διαφανή οντότητα και, συνεπώς, θέτει σε κίνδυνο τη φήμη της Ένωσης στο σύνολό της· υπενθυμίζει και υποστηρίζει τις συστάσεις του Διαμεσολαβητή σχετικά με τη διαφάνεια της νομοθετικής διαδικασίας του Συμβουλίου στο πλαίσιο της στρατηγικής έρευνας OI/2/2017/TE· καλεί το Συμβούλιο να λάβει δίχως αδικαιολόγητη καθυστέρηση όλα τα αναγκαία μέτρα για την εφαρμογή των συστάσεων του Διαμεσολαβητή και των σχετικών αποφάσεων του Δικαστηρίου της Ευρωπαϊκής Ένωσης· υπενθυμίζει ότι το Γενικό Δικαστήριο, στην απόφασή του στην υπόθεση T-163/21, De </w:t>
      </w:r>
      <w:proofErr w:type="spellStart"/>
      <w:r w:rsidR="00E52781" w:rsidRPr="00B13356">
        <w:t>Capitani</w:t>
      </w:r>
      <w:proofErr w:type="spellEnd"/>
      <w:r w:rsidR="00E52781" w:rsidRPr="00B13356">
        <w:t xml:space="preserve"> κατά Συμβουλίου, υπογράμμισε ότι απαιτείται σαφέστερη νομοθετική διαφάνεια εκ μέρους του Συμβουλίου, προκειμένου να διασφαλιστεί η πρόσβαση στα νομοθετικά έγγραφα, κάτι που αντιστοιχεί στην υποχρέωση του Συμβουλίου όσον αφορά τον δημόσιο έλεγχο και τη λογοδοσία των συννομοθετών ως βάση κάθε δημοκρατικής νομιμότητας·</w:t>
      </w:r>
    </w:p>
    <w:p w:rsidR="00E52781" w:rsidRPr="00B13356" w:rsidRDefault="00B13356" w:rsidP="00B13356">
      <w:pPr>
        <w:pStyle w:val="NormalHanging12a"/>
        <w:widowControl/>
        <w:ind w:left="570" w:hanging="570"/>
        <w:rPr>
          <w:szCs w:val="24"/>
        </w:rPr>
      </w:pPr>
      <w:r w:rsidRPr="00B13356">
        <w:rPr>
          <w:szCs w:val="24"/>
        </w:rPr>
        <w:t>24.</w:t>
      </w:r>
      <w:r w:rsidRPr="00B13356">
        <w:rPr>
          <w:szCs w:val="24"/>
        </w:rPr>
        <w:tab/>
      </w:r>
      <w:r w:rsidR="00E52781" w:rsidRPr="00B13356">
        <w:t>εκφράζει τη βαθιά του ανησυχία για τον αυξανόμενο ρόλο του Ευρωπαϊκού Συμβουλίου όσον αφορά τους νομοθετικούς φακέλους, παρά το γεγονός ότι δεν έχει ούτε νομοθετική ούτε εκτελεστική εξουσία και δεν εφαρμόζει τα ίδια πρότυπα διαφάνειας με το Συμβούλιο, υπό την έννοια ότι δεν λογοδοτεί·</w:t>
      </w:r>
    </w:p>
    <w:p w:rsidR="00E52781" w:rsidRPr="00B13356" w:rsidRDefault="00B13356" w:rsidP="00B13356">
      <w:pPr>
        <w:pStyle w:val="NormalHanging12a"/>
        <w:widowControl/>
        <w:ind w:left="570" w:hanging="570"/>
        <w:rPr>
          <w:szCs w:val="24"/>
        </w:rPr>
      </w:pPr>
      <w:r w:rsidRPr="00B13356">
        <w:rPr>
          <w:szCs w:val="24"/>
        </w:rPr>
        <w:t>25.</w:t>
      </w:r>
      <w:r w:rsidRPr="00B13356">
        <w:rPr>
          <w:szCs w:val="24"/>
        </w:rPr>
        <w:tab/>
      </w:r>
      <w:r w:rsidR="00E52781" w:rsidRPr="00B13356">
        <w:t>σημειώνει ότι η χρήση της διαδικασίας ψηφοφορίας με ομοφωνία στο Συμβούλιο σε ορισμένους τομείς πολιτικής μπορεί να επηρεάζει αρνητικά τη διαδικασία λήψης αποφάσεων της Ένωσης και, ως εκ τούτου, την καθιστά ευεπίφορη σε εκβιασμό από τα κράτη μέλη, ιδίως από εκείνα που δεν σέβονται το κράτος δικαίου· καλεί το Συμβούλιο να εφαρμόζει τις διαδικασίες ψηφοφορίας με ειδική πλειοψηφία όποτε αυτό προβλέπεται από τις Συνθήκες· σημειώνει ότι η μετάβαση σε διαδικασία ψηφοφορίας με ειδική πλειοψηφία στο Συμβούλιο ενδέχεται να είναι ένας τρόπος να επιτευχθεί αποτελεσματικότερη χάραξη πολιτικής·</w:t>
      </w:r>
    </w:p>
    <w:p w:rsidR="00E52781" w:rsidRPr="00B13356" w:rsidRDefault="00B13356" w:rsidP="00B13356">
      <w:pPr>
        <w:pStyle w:val="NormalHanging12a"/>
        <w:widowControl/>
        <w:ind w:left="570" w:hanging="570"/>
        <w:rPr>
          <w:szCs w:val="24"/>
        </w:rPr>
      </w:pPr>
      <w:r w:rsidRPr="00B13356">
        <w:rPr>
          <w:szCs w:val="24"/>
        </w:rPr>
        <w:t>26.</w:t>
      </w:r>
      <w:r w:rsidRPr="00B13356">
        <w:rPr>
          <w:szCs w:val="24"/>
        </w:rPr>
        <w:tab/>
      </w:r>
      <w:r w:rsidR="00E52781" w:rsidRPr="00B13356">
        <w:t xml:space="preserve">εκφράζει τη λύπη του για το γεγονός ότι η συμμετοχή των Μόνιμων Αντιπροσώπων των κρατών μελών στο υποχρεωτικό Μητρώο Διαφάνειας, το οποίο θεσπίστηκε με τη διοργανική συμφωνία της 20ής Μαΐου 2021 μεταξύ του Ευρωπαϊκού Κοινοβουλίου, </w:t>
      </w:r>
      <w:r w:rsidR="00E52781" w:rsidRPr="00B13356">
        <w:lastRenderedPageBreak/>
        <w:t>του Συμβουλίου της Ευρωπαϊκής Ένωσης και της Ευρωπαϊκής Επιτροπής για ένα υποχρεωτικό Μητρώο Διαφάνειας</w:t>
      </w:r>
      <w:r w:rsidR="00E52781" w:rsidRPr="00B13356">
        <w:rPr>
          <w:szCs w:val="24"/>
          <w:vertAlign w:val="superscript"/>
        </w:rPr>
        <w:footnoteReference w:id="8"/>
      </w:r>
      <w:r w:rsidR="00E52781" w:rsidRPr="00B13356">
        <w:t>, είναι σε απολύτως εκούσια βάση και επιμένει ότι όλες οι μόνιμες αντιπροσωπείες θα πρέπει να συμμετέχουν ενεργά στο υποχρεωτικό Μητρώο Διαφάνειας προτού το κράτος μέλος τους ασκήσει την Προεδρία του Συμβουλίου, κατά τη διάρκεια της άσκησής της και μετά· πιστεύει ότι θα πρέπει να ενισχυθούν και να εναρμονιστούν οι υφιστάμενοι κανόνες δεοντολογίας σχετικά με τις συγκρούσεις συμφερόντων, τη μεταπήδηση από τον δημόσιο στον ιδιωτικό τομέα και τη διαφάνεια όσον αφορά την άσκηση πίεσης από ομάδες συμφερόντων, και ότι οι εκπρόσωποι των κρατών μελών που επωφελούνται άμεσα από επιδοτήσεις της Ένωσης μέσω των επιχειρήσεων που κατέχουν δεν θα πρέπει να έχουν τη δυνατότητα να συμμετέχουν σε συζητήσεις και ψηφοφορίες για θέματα πολιτικής ή προϋπολογισμού που σχετίζονται με τις εν λόγω επιδοτήσεις·</w:t>
      </w:r>
    </w:p>
    <w:p w:rsidR="00E52781" w:rsidRPr="00B13356" w:rsidRDefault="00B13356" w:rsidP="00B13356">
      <w:pPr>
        <w:pStyle w:val="NormalHanging12a"/>
        <w:widowControl/>
        <w:ind w:left="570" w:hanging="570"/>
        <w:rPr>
          <w:szCs w:val="24"/>
        </w:rPr>
      </w:pPr>
      <w:r w:rsidRPr="00B13356">
        <w:rPr>
          <w:szCs w:val="24"/>
        </w:rPr>
        <w:t>27.</w:t>
      </w:r>
      <w:r w:rsidRPr="00B13356">
        <w:rPr>
          <w:szCs w:val="24"/>
        </w:rPr>
        <w:tab/>
      </w:r>
      <w:r w:rsidR="00E52781" w:rsidRPr="00B13356">
        <w:t>εκφράζει τη λύπη του για το γεγονός ότι το Συμβούλιο δεν κάνει πλήρη χρήση του υποχρεωτικού Μητρώου Διαφάνειας πέρα από τους υφιστάμενους περιορισμούς του, απορρίπτοντας οποιαδήποτε σύσταση για βελτιώσεις· επαναλαμβάνει την έκκλησή του προς το Συμβούλιο να αρνείται συναντήσεις με μη εγγεγραμμένους εκπροσώπους ομάδων συμφερόντων·</w:t>
      </w:r>
    </w:p>
    <w:p w:rsidR="00E52781" w:rsidRPr="00B13356" w:rsidRDefault="00B13356" w:rsidP="00B13356">
      <w:pPr>
        <w:pStyle w:val="NormalHanging12a"/>
        <w:widowControl/>
        <w:ind w:left="570" w:hanging="570"/>
        <w:rPr>
          <w:szCs w:val="24"/>
        </w:rPr>
      </w:pPr>
      <w:r w:rsidRPr="00B13356">
        <w:rPr>
          <w:szCs w:val="24"/>
        </w:rPr>
        <w:t>28.</w:t>
      </w:r>
      <w:r w:rsidRPr="00B13356">
        <w:rPr>
          <w:szCs w:val="24"/>
        </w:rPr>
        <w:tab/>
      </w:r>
      <w:r w:rsidR="00E52781" w:rsidRPr="00B13356">
        <w:t>σύμφωνα με τα συμπεράσματα του εργαστηρίου που διοργάνωσε η Επιτροπή Ελέγχου του Προϋπολογισμού του Κοινοβουλίου στις 27 Ιουνίου 2023, καλεί τις εναλλασσόμενες Προεδρίες του Συμβουλίου να σταματήσουν να χρησιμοποιούν εταιρικές χορηγίες ως συνεισφορά στην κάλυψη των δαπανών τους· κατανοεί ότι οι χρηματοοικονομικοί πόροι από τους εθνικούς προϋπολογισμούς διαφέρουν σημαντικά μεταξύ των κρατών μελών και ότι κάθε κράτος μέλος, ανεξάρτητα από το μέγεθός του και τον διαθέσιμο προϋπολογισμό του, θα πρέπει να έχει ίσες ευκαιρίες να οργανώσει μια επιτυχημένη Προεδρία του Συμβουλίου, αλλά πιστεύει ότι η αποδοχή εταιρικών χορηγιών είναι επιβλαβής για τη φήμη, διότι ενέχει κίνδυνο πρόκλησης συγκρούσεων συμφερόντων· επαναλαμβάνει την έκκλησή του προς το Συμβούλιο να διαθέσει κονδύλια για τις Προεδρίες του Συμβουλίου προκειμένου να διασφαλιστούν επαρκή και ενιαία πρότυπα αποδοτικότητας και αποτελεσματικότητας για τις εργασίες του Συμβουλίου εν γένει· σε σχέση με αυτό, εκφράζει την απογοήτευσή του για τις μη δεσμευτικές κατευθυντήριες γραμμές που εξέδωσε το Συμβούλιο σχετικά με τις εταιρικές χορηγίες·</w:t>
      </w:r>
    </w:p>
    <w:p w:rsidR="00E52781" w:rsidRPr="00B13356" w:rsidRDefault="00B13356" w:rsidP="00B13356">
      <w:pPr>
        <w:pStyle w:val="NormalHanging12a"/>
        <w:widowControl/>
        <w:ind w:left="570" w:hanging="570"/>
        <w:rPr>
          <w:szCs w:val="24"/>
        </w:rPr>
      </w:pPr>
      <w:r w:rsidRPr="00B13356">
        <w:rPr>
          <w:szCs w:val="24"/>
        </w:rPr>
        <w:t>29.</w:t>
      </w:r>
      <w:r w:rsidRPr="00B13356">
        <w:rPr>
          <w:szCs w:val="24"/>
        </w:rPr>
        <w:tab/>
      </w:r>
      <w:r w:rsidR="00E52781" w:rsidRPr="00B13356">
        <w:t>εκφράζει τη λύπη του για το γεγονός ότι, παρά τα επανειλημμένα αιτήματα του Κοινοβουλίου, ο κώδικας δεοντολογίας για τον Πρόεδρο του Ευρωπαϊκού Συμβουλίου δεν έχει ευθυγραμμιστεί με εκείνους του Κοινοβουλίου και της Επιτροπής, ιδίως όσον αφορά την έγκριση δραστηριοτήτων μετά την αποχώρηση του Προέδρου·</w:t>
      </w:r>
    </w:p>
    <w:p w:rsidR="00E52781" w:rsidRPr="00B13356" w:rsidRDefault="00B13356" w:rsidP="00B13356">
      <w:pPr>
        <w:pStyle w:val="NormalHanging12a"/>
        <w:widowControl/>
        <w:ind w:left="570" w:hanging="570"/>
        <w:rPr>
          <w:szCs w:val="24"/>
        </w:rPr>
      </w:pPr>
      <w:r w:rsidRPr="00B13356">
        <w:rPr>
          <w:szCs w:val="24"/>
        </w:rPr>
        <w:t>30.</w:t>
      </w:r>
      <w:r w:rsidRPr="00B13356">
        <w:rPr>
          <w:szCs w:val="24"/>
        </w:rPr>
        <w:tab/>
      </w:r>
      <w:r w:rsidR="00E52781" w:rsidRPr="00B13356">
        <w:t>επαναλαμβάνει ότι η απόφαση</w:t>
      </w:r>
      <w:r w:rsidR="00E52781" w:rsidRPr="00B13356">
        <w:rPr>
          <w:b/>
          <w:color w:val="333333"/>
          <w:shd w:val="clear" w:color="auto" w:fill="FFFFFF"/>
        </w:rPr>
        <w:t xml:space="preserve"> </w:t>
      </w:r>
      <w:r w:rsidR="00E52781" w:rsidRPr="00B13356">
        <w:t>(ΕΕ) 2023/2061 του Ευρωπαϊκού Συμβουλίου, της 22ας Σεπτεμβρίου 2023, για τον καθορισμό της σύνθεσης του Ευρωπαϊκού Κοινοβουλίου</w:t>
      </w:r>
      <w:r w:rsidR="00E52781" w:rsidRPr="00B13356">
        <w:rPr>
          <w:rStyle w:val="FootnoteReference"/>
          <w:szCs w:val="24"/>
        </w:rPr>
        <w:footnoteReference w:id="9"/>
      </w:r>
      <w:r w:rsidR="00E52781" w:rsidRPr="00B13356">
        <w:t xml:space="preserve"> δεν θίγει τα προνόμια του Κοινοβουλίου και του Συμβουλίου στο πλαίσιο της ετήσιας διαδικασίας του προϋπολογισμού και ότι η αιτιολογική σκέψη 5 της εν λόγω απόφασης αφορά θέματα που δεν εμπίπτουν στο πεδίο αρμοδιοτήτων του Ευρωπαϊκού Συμβουλίου δυνάμει του άρθρου 15 παράγραφος 1 ΣΕΕ και τη νομική βάση για τον καθορισμό της σύνθεσης του Κοινοβουλίου σύμφωνα με το άρθρο 14 παράγραφος 2 ΣΕΕ· επιμένει ότι μόνο το Κοινοβούλιο και το Συμβούλιο πρέπει να αποφασίζουν </w:t>
      </w:r>
      <w:r w:rsidR="00E52781" w:rsidRPr="00B13356">
        <w:lastRenderedPageBreak/>
        <w:t>σχετικά με το περιεχόμενο του προϋπολογισμού της Ένωσης σύμφωνα με τη διαδικασία που ορίζεται στο άρθρο 314 ΣΛΕΕ·</w:t>
      </w:r>
    </w:p>
    <w:p w:rsidR="00E52781" w:rsidRPr="00B13356" w:rsidRDefault="00E52781" w:rsidP="00B11AEC">
      <w:pPr>
        <w:pStyle w:val="NormalHanging12a"/>
        <w:widowControl/>
        <w:ind w:left="0" w:firstLine="0"/>
        <w:rPr>
          <w:b/>
          <w:i/>
          <w:szCs w:val="24"/>
        </w:rPr>
      </w:pPr>
      <w:r w:rsidRPr="00B13356">
        <w:rPr>
          <w:b/>
          <w:i/>
        </w:rPr>
        <w:t>Διαχείριση του προϋπολογισμού και χρηματοοικονομική διαχείριση</w:t>
      </w:r>
    </w:p>
    <w:p w:rsidR="00E52781" w:rsidRPr="00B13356" w:rsidRDefault="00B13356" w:rsidP="00B13356">
      <w:pPr>
        <w:pStyle w:val="NormalHanging12a"/>
        <w:widowControl/>
        <w:ind w:left="570" w:hanging="570"/>
        <w:rPr>
          <w:szCs w:val="24"/>
        </w:rPr>
      </w:pPr>
      <w:r w:rsidRPr="00B13356">
        <w:rPr>
          <w:szCs w:val="24"/>
        </w:rPr>
        <w:t>31.</w:t>
      </w:r>
      <w:r w:rsidRPr="00B13356">
        <w:rPr>
          <w:szCs w:val="24"/>
        </w:rPr>
        <w:tab/>
      </w:r>
      <w:r w:rsidR="00E52781" w:rsidRPr="00B13356">
        <w:t>επισημαίνει ότι ο προϋπολογισμός του Συμβουλίου ανήλθε σε 611 473 556 EUR για το 2022, σημειώνοντας αύξηση κατά 2,9 % σε σχέση με το 2021, που είναι σημαντικά υψηλότερη από την αύξηση που σημειώθηκε από το 2020 στο 2021, η οποία ήταν 0,6 %·</w:t>
      </w:r>
    </w:p>
    <w:p w:rsidR="00E52781" w:rsidRPr="00B13356" w:rsidRDefault="00B13356" w:rsidP="00B13356">
      <w:pPr>
        <w:pStyle w:val="NormalHanging12a"/>
        <w:widowControl/>
        <w:ind w:left="570" w:hanging="570"/>
        <w:rPr>
          <w:szCs w:val="24"/>
        </w:rPr>
      </w:pPr>
      <w:r w:rsidRPr="00B13356">
        <w:rPr>
          <w:szCs w:val="24"/>
        </w:rPr>
        <w:t>32.</w:t>
      </w:r>
      <w:r w:rsidRPr="00B13356">
        <w:rPr>
          <w:szCs w:val="24"/>
        </w:rPr>
        <w:tab/>
      </w:r>
      <w:r w:rsidR="00E52781" w:rsidRPr="00B13356">
        <w:t>εκφράζει εκ νέου τη δυσαρέσκειά του για το γεγονός ότι ο προϋπολογισμός του Ευρωπαϊκού Συμβουλίου και του Συμβουλίου δεν έχει διαιρεθεί σε δύο σαφώς χωριστούς προϋπολογισμούς, όπως συνιστά το Κοινοβούλιο σε προηγούμενα ψηφίσματά του σχετικά με την απαλλαγή, με σκοπό τη βελτίωση της διαφάνειας και της λογοδοσίας, ιδίως όσον αφορά το Ευρωπαϊκό Συμβούλιο, δεδομένου ότι είναι επί του παρόντος αδύνατο να ληφθούν αξιόπιστες πληροφορίες σχετικά με τις δαπάνες του·</w:t>
      </w:r>
    </w:p>
    <w:p w:rsidR="00E52781" w:rsidRPr="00B13356" w:rsidRDefault="00B13356" w:rsidP="00B13356">
      <w:pPr>
        <w:pStyle w:val="NormalHanging12a"/>
        <w:widowControl/>
        <w:ind w:left="570" w:hanging="570"/>
        <w:rPr>
          <w:szCs w:val="24"/>
        </w:rPr>
      </w:pPr>
      <w:r w:rsidRPr="00B13356">
        <w:rPr>
          <w:szCs w:val="24"/>
        </w:rPr>
        <w:t>33.</w:t>
      </w:r>
      <w:r w:rsidRPr="00B13356">
        <w:rPr>
          <w:szCs w:val="24"/>
        </w:rPr>
        <w:tab/>
      </w:r>
      <w:r w:rsidR="00E52781" w:rsidRPr="00B13356">
        <w:t>σημειώνει μετά λύπης του ότι η Γενική Γραμματεία του Συμβουλίου δημοσιεύει έκθεση σχετικά με τους ετήσιους λογαριασμούς και σειρά ετήσιων εκθέσεων δραστηριοτήτων από διάφορα τμήματα της Γενικής Γραμματείας, αλλά είναι δύσκολο να υπάρξει περιεκτική και εύκολα προσβάσιμη επισκόπηση του συνόλου των δραστηριοτήτων της Γενικής Γραμματείας του Συμβουλίου, δεδομένου ότι δεν υπάρχει ενιαία έκθεση που να συνοψίζει και να παρουσιάζει συνεκτική επισκόπηση των δραστηριοτήτων του Συμβουλίου·</w:t>
      </w:r>
    </w:p>
    <w:p w:rsidR="00E52781" w:rsidRPr="00B13356" w:rsidRDefault="00B13356" w:rsidP="00B13356">
      <w:pPr>
        <w:pStyle w:val="NormalHanging12a"/>
        <w:widowControl/>
        <w:ind w:left="570" w:hanging="570"/>
        <w:rPr>
          <w:szCs w:val="24"/>
        </w:rPr>
      </w:pPr>
      <w:r w:rsidRPr="00B13356">
        <w:rPr>
          <w:szCs w:val="24"/>
        </w:rPr>
        <w:t>34.</w:t>
      </w:r>
      <w:r w:rsidRPr="00B13356">
        <w:rPr>
          <w:szCs w:val="24"/>
        </w:rPr>
        <w:tab/>
      </w:r>
      <w:r w:rsidR="00E52781" w:rsidRPr="00B13356">
        <w:t>σημειώνει με ικανοποίηση ότι ο υπόλογος του Συμβουλίου είναι σε θέση να πιστοποιήσει ότι οι ετήσιοι λογαριασμοί του Συμβουλίου για το οικονομικό έτος 2022 καταρτίστηκαν σύμφωνα με τον τίτλο XIII του δημοσιονομικού κανονισμού και τους λογιστικούς κανόνες που ενέκρινε ο υπόλογος της Επιτροπής, όπως απαιτείται από όλα τα θεσμικά και λοιπά όργανα και οργανισμούς της Ένωσης, και ότι ο υπόλογος είχε εύλογη βεβαιότητα ότι οι λογαριασμοί για το 2022 παρέχουν ακριβοδίκαιη εικόνα, από κάθε ουσιώδη πλευρά, της οικονομικής κατάστασης, των αποτελεσμάτων των πράξεων και των ταμειακών ροών του Συμβουλίου·</w:t>
      </w:r>
    </w:p>
    <w:p w:rsidR="00E52781" w:rsidRPr="00B13356" w:rsidRDefault="00B13356" w:rsidP="00B13356">
      <w:pPr>
        <w:pStyle w:val="NormalHanging12a"/>
        <w:widowControl/>
        <w:ind w:left="570" w:hanging="570"/>
        <w:rPr>
          <w:szCs w:val="24"/>
        </w:rPr>
      </w:pPr>
      <w:r w:rsidRPr="00B13356">
        <w:rPr>
          <w:szCs w:val="24"/>
        </w:rPr>
        <w:t>35.</w:t>
      </w:r>
      <w:r w:rsidRPr="00B13356">
        <w:rPr>
          <w:szCs w:val="24"/>
        </w:rPr>
        <w:tab/>
      </w:r>
      <w:r w:rsidR="00E52781" w:rsidRPr="00B13356">
        <w:t>σημειώνει ότι το Συμβούλιο πραγματοποίησε 64 μεταφορές πιστώσεων το 2022, όλες βάσει του άρθρου 29 του δημοσιονομικού κανονισμού, αριθμός που αποτυπώνει σημαντική αύξηση από τις 43 που πραγματοποίησε το 2021· σημειώνει περαιτέρω ότι στην περίπτωση έξι εκ των μεταφορών υπήρξε ενημέρωση της αρμόδιας για τον προϋπολογισμό αρχής και ότι ο κύριος λόγος για τις μεταφορές αυτές ήταν η αύξηση των δαπανών ύδρευσης, φυσικού αερίου, ηλεκτρικής ενέργειας και θέρμανσης και οι μισθολογικές αυξήσεις·</w:t>
      </w:r>
    </w:p>
    <w:p w:rsidR="00E52781" w:rsidRPr="00B13356" w:rsidRDefault="00B13356" w:rsidP="00B13356">
      <w:pPr>
        <w:pStyle w:val="NormalHanging12a"/>
        <w:widowControl/>
        <w:ind w:left="570" w:hanging="570"/>
        <w:rPr>
          <w:szCs w:val="24"/>
        </w:rPr>
      </w:pPr>
      <w:r w:rsidRPr="00B13356">
        <w:rPr>
          <w:szCs w:val="24"/>
        </w:rPr>
        <w:t>36.</w:t>
      </w:r>
      <w:r w:rsidRPr="00B13356">
        <w:rPr>
          <w:szCs w:val="24"/>
        </w:rPr>
        <w:tab/>
      </w:r>
      <w:r w:rsidR="00E52781" w:rsidRPr="00B13356">
        <w:t>σημειώνει ότι οι μεταφορές συνεπάγονταν επίσης μείωση των εξόδων αποστολής για τη Γενική Γραμματεία του Συμβουλίου κατά 300 000 EUR, ποσό που αντιστοιχεί σε 9 %, και παρόμοια αύξηση κατά 300 000 EUR των εξόδων αποστολής για το προσωπικό που συνδέεται με το Ευρωπαϊκό Συμβούλιο, που ισοδυναμεί με 20 %· ζητεί από το Συμβούλιο να εξασφαλίσει πλήρη διαφάνεια όσον αφορά τα ταξίδια του Προέδρου του Ευρωπαϊκού Συμβουλίου, συμπεριλαμβανομένων των μέσων μετακίνησης, της αιτιολόγησης των επιλεγέντων μέσων και του προσωπικού που τον συνοδεύει·</w:t>
      </w:r>
    </w:p>
    <w:p w:rsidR="00E52781" w:rsidRPr="00B13356" w:rsidRDefault="00B13356" w:rsidP="00B13356">
      <w:pPr>
        <w:pStyle w:val="NormalHanging12a"/>
        <w:widowControl/>
        <w:ind w:left="570" w:hanging="570"/>
        <w:rPr>
          <w:szCs w:val="24"/>
        </w:rPr>
      </w:pPr>
      <w:r w:rsidRPr="00B13356">
        <w:rPr>
          <w:szCs w:val="24"/>
        </w:rPr>
        <w:lastRenderedPageBreak/>
        <w:t>37.</w:t>
      </w:r>
      <w:r w:rsidRPr="00B13356">
        <w:rPr>
          <w:szCs w:val="24"/>
        </w:rPr>
        <w:tab/>
      </w:r>
      <w:r w:rsidR="00E52781" w:rsidRPr="00B13356">
        <w:t>επικρίνει τη σημαντική αύξηση του προϋπολογισμού ταξιδίων για τον Πρόεδρο του Ευρωπαϊκού Συμβουλίου επί σειρά ετών και εκφράζει την ανησυχία του για το γεγονός ότι, σύμφωνα με δημοσιεύματα του Τύπου, ο Πρόεδρος του Ευρωπαϊκού Συμβουλίου χρησιμοποίησε εμπορικά αεροσκάφη μόνο σε 18 από τις 112 αποστολές που πραγματοποιήθηκαν από την αρχή της θητείας του το 2019 έως τον Δεκέμβριο του 2022· τονίζει ότι τα εμπορικά αεροσκάφη θα πρέπει να είναι η βασική επιλογή και για τον Πρόεδρο του Ευρωπαϊκού Συμβουλίου όποτε αυτή η εναλλακτική λύση είναι διαθέσιμη και συμβατή με το πρόγραμμα και τον τόπο των αντίστοιχων συνεδριάσεων, και υπογραμμίζει ότι οι ηγέτες των θεσμικών οργάνων της Ένωσης θα πρέπει να λειτουργούν ως καλό παράδειγμα για τους πολίτες, ιδίως όσον αφορά τη διασφάλιση πολιτικών κλιματικής βιωσιμότητας·</w:t>
      </w:r>
    </w:p>
    <w:p w:rsidR="00E52781" w:rsidRPr="00B13356" w:rsidRDefault="00E52781" w:rsidP="00B11AEC">
      <w:pPr>
        <w:pStyle w:val="NormalHanging12a"/>
        <w:widowControl/>
        <w:ind w:left="0" w:firstLine="0"/>
        <w:rPr>
          <w:b/>
          <w:i/>
          <w:szCs w:val="24"/>
        </w:rPr>
      </w:pPr>
      <w:r w:rsidRPr="00B13356">
        <w:rPr>
          <w:b/>
          <w:i/>
        </w:rPr>
        <w:t>Εσωτερική διαχείριση, επιδόσεις και εσωτερικός έλεγχος</w:t>
      </w:r>
    </w:p>
    <w:p w:rsidR="00E52781" w:rsidRPr="00B13356" w:rsidRDefault="00B13356" w:rsidP="00B13356">
      <w:pPr>
        <w:pStyle w:val="NormalHanging12a"/>
        <w:widowControl/>
        <w:ind w:left="570" w:hanging="570"/>
        <w:rPr>
          <w:szCs w:val="24"/>
        </w:rPr>
      </w:pPr>
      <w:r w:rsidRPr="00B13356">
        <w:rPr>
          <w:szCs w:val="24"/>
        </w:rPr>
        <w:t>38.</w:t>
      </w:r>
      <w:r w:rsidRPr="00B13356">
        <w:rPr>
          <w:szCs w:val="24"/>
        </w:rPr>
        <w:tab/>
      </w:r>
      <w:r w:rsidR="00E52781" w:rsidRPr="00B13356">
        <w:t xml:space="preserve">σημειώνει ότι, κατά τη διάρκεια του 2022, τα έκτακτα μέτρα που σχετίζονταν με την πανδημία </w:t>
      </w:r>
      <w:r w:rsidR="00B11AEC" w:rsidRPr="00B13356">
        <w:t xml:space="preserve">της </w:t>
      </w:r>
      <w:r w:rsidR="00E52781" w:rsidRPr="00B13356">
        <w:t xml:space="preserve">COVID-19 καταργήθηκαν σταδιακά και ότι οι δραστηριότητες συνεδριάσεων επανήλθαν στα συνήθη επίπεδα· σημειώνει, εν προκειμένω, ότι ο αριθμός των </w:t>
      </w:r>
      <w:proofErr w:type="spellStart"/>
      <w:r w:rsidR="00E52781" w:rsidRPr="00B13356">
        <w:t>βιντεοδιασκέψεων</w:t>
      </w:r>
      <w:proofErr w:type="spellEnd"/>
      <w:r w:rsidR="00E52781" w:rsidRPr="00B13356">
        <w:t xml:space="preserve"> μειώθηκε υπέρ των συνεδριάσεων με φυσική παρουσία από το 2021, έτος κατά το οποίο το 35 % των συνεδριάσεων ήταν </w:t>
      </w:r>
      <w:proofErr w:type="spellStart"/>
      <w:r w:rsidR="00E52781" w:rsidRPr="00B13356">
        <w:t>βιντεοδιασκέψεις</w:t>
      </w:r>
      <w:proofErr w:type="spellEnd"/>
      <w:r w:rsidR="00E52781" w:rsidRPr="00B13356">
        <w:t xml:space="preserve"> και το 65 % ήταν συνεδριάσεις με φυσική παρουσία, στο 2022, κατά το οποίο το 15 % των συνεδριάσεων ήταν </w:t>
      </w:r>
      <w:proofErr w:type="spellStart"/>
      <w:r w:rsidR="00E52781" w:rsidRPr="00B13356">
        <w:t>βιντεοδιασκέψεις</w:t>
      </w:r>
      <w:proofErr w:type="spellEnd"/>
      <w:r w:rsidR="00E52781" w:rsidRPr="00B13356">
        <w:t xml:space="preserve"> και το 85 % ήταν συνεδριάσεις με φυσική παρουσία·</w:t>
      </w:r>
    </w:p>
    <w:p w:rsidR="00E52781" w:rsidRPr="00B13356" w:rsidRDefault="00B13356" w:rsidP="00B13356">
      <w:pPr>
        <w:pStyle w:val="NormalHanging12a"/>
        <w:widowControl/>
        <w:ind w:left="570" w:hanging="570"/>
        <w:rPr>
          <w:szCs w:val="24"/>
        </w:rPr>
      </w:pPr>
      <w:r w:rsidRPr="00B13356">
        <w:rPr>
          <w:szCs w:val="24"/>
        </w:rPr>
        <w:t>39.</w:t>
      </w:r>
      <w:r w:rsidRPr="00B13356">
        <w:rPr>
          <w:szCs w:val="24"/>
        </w:rPr>
        <w:tab/>
      </w:r>
      <w:r w:rsidR="00E52781" w:rsidRPr="00B13356">
        <w:t>σημειώνει ότι ο συνολικός αριθμός των επίσημων συνεδριάσεων το 2022 ανήλθε σε 4 415, αριθμός που αντιπροσωπεύει αύξηση κατά 2,9 %, έναντι 4 291 το 2021, και περιλαμβάνει σημαντική αύξηση των συνεδριάσεων με φυσική παρουσία κατά περισσότερο από 150 %·</w:t>
      </w:r>
    </w:p>
    <w:p w:rsidR="00E52781" w:rsidRPr="00B13356" w:rsidRDefault="00B13356" w:rsidP="00B13356">
      <w:pPr>
        <w:pStyle w:val="NormalHanging12a"/>
        <w:widowControl/>
        <w:ind w:left="570" w:hanging="570"/>
        <w:rPr>
          <w:szCs w:val="24"/>
        </w:rPr>
      </w:pPr>
      <w:r w:rsidRPr="00B13356">
        <w:rPr>
          <w:szCs w:val="24"/>
        </w:rPr>
        <w:t>40.</w:t>
      </w:r>
      <w:r w:rsidRPr="00B13356">
        <w:rPr>
          <w:szCs w:val="24"/>
        </w:rPr>
        <w:tab/>
      </w:r>
      <w:r w:rsidR="00E52781" w:rsidRPr="00B13356">
        <w:t>σημειώνει ότι το 2022 κινήθηκαν 44 νέες διαδικασίες σύναψης δημόσιων συμβάσεων από τη Γενική Γραμματεία του Συμβουλίου και ότι υπογράφηκαν 42 συμβάσεις συνολικού ύψους 123 863 392 EUR, που συνιστά σημαντική μείωση σε σχέση με το 2021, έτος κατά το οποίο κινήθηκαν 62 νέες διαδικασίες σύναψης δημόσιων συμβάσεων και υπογράφηκαν 102 συμβάσεις συνολικού ύψους 416 013 813 EUR·</w:t>
      </w:r>
    </w:p>
    <w:p w:rsidR="00E52781" w:rsidRPr="00B13356" w:rsidRDefault="00B13356" w:rsidP="00B13356">
      <w:pPr>
        <w:pStyle w:val="NormalHanging12a"/>
        <w:widowControl/>
        <w:ind w:left="570" w:hanging="570"/>
        <w:rPr>
          <w:szCs w:val="24"/>
        </w:rPr>
      </w:pPr>
      <w:r w:rsidRPr="00B13356">
        <w:rPr>
          <w:szCs w:val="24"/>
        </w:rPr>
        <w:t>41.</w:t>
      </w:r>
      <w:r w:rsidRPr="00B13356">
        <w:rPr>
          <w:szCs w:val="24"/>
        </w:rPr>
        <w:tab/>
      </w:r>
      <w:r w:rsidR="00E52781" w:rsidRPr="00B13356">
        <w:t>εκφράζει την ικανοποίησή του για το γεγονός ότι η Γενική Γραμματεία του Συμβουλίου έχει παράσχει περίληψη του αριθμού και του τύπου των εσωτερικών ελέγχων που διενεργήθηκαν στη Γενική Γραμματεία το 2022, καθώς και συνοπτική παρουσίαση των συστάσεων και της συνέχειας που δόθηκε στις εν λόγω συστάσεις σύμφωνα με το άρθρο 118 παράγραφος 8 του δημοσιονομικού κανονισμού· σημειώνει ότι ο εσωτερικός ελεγκτής έχει καταρτίσει τριετές πρόγραμμα εργασίας για την περίοδο 2022-2024, το οποίο διαρθρώνεται σε ετήσια προγράμματα εργασίας· σημειώνει, περαιτέρω, ότι το 2022 διενεργήθηκαν επτά εσωτερικοί έλεγχοι· σημειώνει με ανησυχία ότι, στο τέλος του 2022, είχε υλοποιηθεί μόνο το 72 % των συστάσεων του προγράμματος εργασίας 2019-2021, και το 27 % είναι ακόμη εκκρεμείς·</w:t>
      </w:r>
    </w:p>
    <w:p w:rsidR="00E52781" w:rsidRPr="00B13356" w:rsidRDefault="00B13356" w:rsidP="00B13356">
      <w:pPr>
        <w:pStyle w:val="NormalHanging12a"/>
        <w:widowControl/>
        <w:ind w:left="570" w:hanging="570"/>
        <w:rPr>
          <w:szCs w:val="24"/>
        </w:rPr>
      </w:pPr>
      <w:r w:rsidRPr="00B13356">
        <w:rPr>
          <w:szCs w:val="24"/>
        </w:rPr>
        <w:t>42.</w:t>
      </w:r>
      <w:r w:rsidRPr="00B13356">
        <w:rPr>
          <w:szCs w:val="24"/>
        </w:rPr>
        <w:tab/>
      </w:r>
      <w:r w:rsidR="00E52781" w:rsidRPr="00B13356">
        <w:t xml:space="preserve">επικροτεί το γεγονός ότι οι εσωτερικοί έλεγχοι διενεργήθηκαν σε ευρύ φάσμα τομέων· εκφράζει επίσης την ικανοποίησή του για το γεγονός ότι έγιναν δεκτές όλες οι συστάσεις όσον αφορά έξι από τους επτά ελέγχους· εκφράζει τη δυσαρέσκειά του για το γεγονός ότι τα αποτελέσματα του ελέγχου σχετικά με τη διαχείριση κρυπτοστοιχείων δεν κοινοποιήθηκαν διότι η έκθεση ελέγχου χαρακτηρίστηκε απόρρητη· τονίζει ότι το Κοινοβούλιο εφαρμόζει συστήματα για τον χειρισμό διαβαθμισμένων πληροφοριών και </w:t>
      </w:r>
      <w:r w:rsidR="00E52781" w:rsidRPr="00B13356">
        <w:lastRenderedPageBreak/>
        <w:t>ότι τα αποτελέσματα του ελέγχου της διαχείρισης κρυπτοστοιχείων θα μπορούσαν να έχουν κοινοποιηθεί μέσω των εν λόγω συστημάτων·</w:t>
      </w:r>
    </w:p>
    <w:p w:rsidR="00E52781" w:rsidRPr="00B13356" w:rsidRDefault="00E52781" w:rsidP="00B11AEC">
      <w:pPr>
        <w:pStyle w:val="NormalHanging12a"/>
        <w:widowControl/>
        <w:ind w:left="0" w:firstLine="0"/>
        <w:rPr>
          <w:b/>
          <w:i/>
          <w:szCs w:val="24"/>
        </w:rPr>
      </w:pPr>
      <w:r w:rsidRPr="00B13356">
        <w:rPr>
          <w:b/>
          <w:i/>
        </w:rPr>
        <w:t>Ανθρώπινοι πόροι, ισότητα και ευεξία του προσωπικού</w:t>
      </w:r>
    </w:p>
    <w:p w:rsidR="00E52781" w:rsidRPr="00B13356" w:rsidRDefault="00B13356" w:rsidP="00B13356">
      <w:pPr>
        <w:pStyle w:val="NormalHanging12a"/>
        <w:widowControl/>
        <w:ind w:left="570" w:hanging="570"/>
        <w:rPr>
          <w:szCs w:val="24"/>
        </w:rPr>
      </w:pPr>
      <w:r w:rsidRPr="00B13356">
        <w:rPr>
          <w:szCs w:val="24"/>
        </w:rPr>
        <w:t>43.</w:t>
      </w:r>
      <w:r w:rsidRPr="00B13356">
        <w:rPr>
          <w:szCs w:val="24"/>
        </w:rPr>
        <w:tab/>
      </w:r>
      <w:r w:rsidR="00E52781" w:rsidRPr="00B13356">
        <w:t>σημειώνει ότι, δεδομένης της έλλειψης συνεργασίας του Συμβουλίου με το Κοινοβούλιο, οι παρατηρήσεις σε αυτό το τμήμα βασίζονται κυρίως σε συγκεντρωτικές πληροφορίες που δημοσιεύονται στον ιστότοπο του Συμβουλίου, όπου παρέχονται περιορισμένες λεπτομέρειες·</w:t>
      </w:r>
    </w:p>
    <w:p w:rsidR="00E52781" w:rsidRPr="00B13356" w:rsidRDefault="00B13356" w:rsidP="00B13356">
      <w:pPr>
        <w:pStyle w:val="NormalHanging12a"/>
        <w:widowControl/>
        <w:ind w:left="570" w:hanging="570"/>
        <w:rPr>
          <w:szCs w:val="24"/>
        </w:rPr>
      </w:pPr>
      <w:r w:rsidRPr="00B13356">
        <w:rPr>
          <w:szCs w:val="24"/>
        </w:rPr>
        <w:t>44.</w:t>
      </w:r>
      <w:r w:rsidRPr="00B13356">
        <w:rPr>
          <w:szCs w:val="24"/>
        </w:rPr>
        <w:tab/>
      </w:r>
      <w:r w:rsidR="00E52781" w:rsidRPr="00B13356">
        <w:t>σημειώνει ότι διατέθηκαν στο Συμβούλιο, στον προϋπολογισμό του για το 2022, 3 029 θέσεις, αριθμός που παραμένει ίδιος με εκείνον για το 2021, αλλά ότι η κατανομή μεταξύ των κατηγοριών άλλαξε, καθώς ο αριθμός των θέσεων διοικητικών υπαλλήλων (AD) αυξήθηκε από 1 493 σε 1 519, ο αριθμός των θέσεων βοηθών (AST) μειώθηκε από 1 320 σε 1 284 και ο αριθμός των θέσεων γραμματέων (SC) αυξήθηκε από 180 σε 190· ζητεί από το Συμβούλιο να παράσχει περισσότερες λεπτομέρειες σχετικά με την πρόληψη της επαγγελματικής εξουθένωσης για το προσωπικό του, ιδίως καθώς ο αριθμός των βοηθών μειώνεται·</w:t>
      </w:r>
    </w:p>
    <w:p w:rsidR="00E52781" w:rsidRPr="00B13356" w:rsidRDefault="00B13356" w:rsidP="00B13356">
      <w:pPr>
        <w:pStyle w:val="NormalHanging12a"/>
        <w:widowControl/>
        <w:ind w:left="570" w:hanging="570"/>
        <w:rPr>
          <w:szCs w:val="24"/>
        </w:rPr>
      </w:pPr>
      <w:r w:rsidRPr="00B13356">
        <w:rPr>
          <w:szCs w:val="24"/>
        </w:rPr>
        <w:t>45.</w:t>
      </w:r>
      <w:r w:rsidRPr="00B13356">
        <w:rPr>
          <w:szCs w:val="24"/>
        </w:rPr>
        <w:tab/>
      </w:r>
      <w:r w:rsidR="00E52781" w:rsidRPr="00B13356">
        <w:t>παρατηρεί ότι, σύμφωνα με την έκθεση οικονομικών δραστηριοτήτων της για το 2022, πριν από τις 31 Δεκεμβρίου 2022, η Γενική Γραμματεία του Συμβουλίου διέθετε 2 924 κατειλημμένες θέσεις· σημειώνει, επίσης, ότι στον ιστότοπο του Συμβουλίου αναφέρεται ότι την 1η Ιανουαρίου 2023, η Γραμματεία του Συμβουλίου διέθετε 3 108 υπαλλήλους (μόνιμους, έκτακτους και συμβασιούχους υπαλλήλους και αποσπασμένους εθνικούς εμπειρογνώμονες)· καλεί το Συμβούλιο να αποφεύγει τη δημοσίευση αντιφατικών πληροφοριών στις ανοικτές πηγές του·</w:t>
      </w:r>
    </w:p>
    <w:p w:rsidR="00E52781" w:rsidRPr="00B13356" w:rsidRDefault="00B13356" w:rsidP="00B13356">
      <w:pPr>
        <w:pStyle w:val="NormalHanging12a"/>
        <w:widowControl/>
        <w:ind w:left="570" w:hanging="570"/>
        <w:rPr>
          <w:szCs w:val="24"/>
        </w:rPr>
      </w:pPr>
      <w:r w:rsidRPr="00B13356">
        <w:rPr>
          <w:szCs w:val="24"/>
        </w:rPr>
        <w:t>46.</w:t>
      </w:r>
      <w:r w:rsidRPr="00B13356">
        <w:rPr>
          <w:szCs w:val="24"/>
        </w:rPr>
        <w:tab/>
      </w:r>
      <w:r w:rsidR="00E52781" w:rsidRPr="00B13356">
        <w:t>σημειώνει ότι από τους 3 108 υπαλλήλους, 1 783 (57 %) ήταν γυναίκες και 1 325 (43 %) άνδρες· εκφράζει τη λύπη του για το γεγονός ότι στην κατηγορία «ανώτερα διοικητικά στελέχη» μόνο 18 από τα 51 ήταν γυναίκες, ποσοστό που ισοδυναμεί με το 35 %· εκφράζει επίσης τη λύπη του για το γεγονός ότι το ποσοστό αυτό αντιπροσωπεύει μείωση του ποσοστού των γυναικών στα ανώτερα διοικητικά στελέχη από 38 % το 2021·</w:t>
      </w:r>
    </w:p>
    <w:p w:rsidR="00E52781" w:rsidRPr="00B13356" w:rsidRDefault="00B13356" w:rsidP="00B13356">
      <w:pPr>
        <w:pStyle w:val="NormalHanging12a"/>
        <w:widowControl/>
        <w:ind w:left="570" w:hanging="570"/>
        <w:rPr>
          <w:szCs w:val="24"/>
        </w:rPr>
      </w:pPr>
      <w:r w:rsidRPr="00B13356">
        <w:rPr>
          <w:szCs w:val="24"/>
        </w:rPr>
        <w:t>47.</w:t>
      </w:r>
      <w:r w:rsidRPr="00B13356">
        <w:rPr>
          <w:szCs w:val="24"/>
        </w:rPr>
        <w:tab/>
      </w:r>
      <w:r w:rsidR="00E52781" w:rsidRPr="00B13356">
        <w:t>σημειώνει ότι 37 από τα 83, ήτοι το 45 %, στην κατηγορία «μεσαία διοικητικά στελέχη» ήταν γυναίκες, ποσοστό που συνιστά μικρή αύξηση από 44 % πέρυσι· σημειώνει, τέλος, ότι 814 από τους 1 462 υπαλλήλους AD, ήτοι το 56 %, ήταν γυναίκες, ποσοστό που αντιπροσωπεύει επίσης μικρή αύξηση από 55 % το 2021, και σημειώνει ότι 882 από τους 1 411 υπαλλήλους AST και SC, ήτοι το 63 %, ήταν γυναίκες, ποσοστό που παραμένει ίδιο σε σχέση με το 2021·</w:t>
      </w:r>
    </w:p>
    <w:p w:rsidR="00E52781" w:rsidRPr="00B13356" w:rsidRDefault="00B13356" w:rsidP="00B13356">
      <w:pPr>
        <w:pStyle w:val="NormalHanging12a"/>
        <w:widowControl/>
        <w:ind w:left="570" w:hanging="570"/>
        <w:rPr>
          <w:szCs w:val="24"/>
        </w:rPr>
      </w:pPr>
      <w:r w:rsidRPr="00B13356">
        <w:rPr>
          <w:szCs w:val="24"/>
        </w:rPr>
        <w:t>48.</w:t>
      </w:r>
      <w:r w:rsidRPr="00B13356">
        <w:rPr>
          <w:szCs w:val="24"/>
        </w:rPr>
        <w:tab/>
      </w:r>
      <w:r w:rsidR="00E52781" w:rsidRPr="00B13356">
        <w:t>εκφράζει τη λύπη του για τη μη ισόρροπη εκπροσώπηση των φύλων στις ανώτερες διευθυντικές θέσεις εντός της Γενικής Γραμματείας του Συμβουλίου· καλεί το Συμβούλιο να λάβει άμεσα και συγκεκριμένα μέτρα για την επίτευξη ισόρροπης εκπροσώπησης των φύλων σε όλα τα επίπεδα της ιεραρχίας·</w:t>
      </w:r>
    </w:p>
    <w:p w:rsidR="00E52781" w:rsidRPr="00B13356" w:rsidRDefault="00B13356" w:rsidP="00B13356">
      <w:pPr>
        <w:pStyle w:val="NormalHanging12a"/>
        <w:widowControl/>
        <w:ind w:left="570" w:hanging="570"/>
        <w:rPr>
          <w:szCs w:val="24"/>
        </w:rPr>
      </w:pPr>
      <w:r w:rsidRPr="00B13356">
        <w:rPr>
          <w:szCs w:val="24"/>
        </w:rPr>
        <w:t>49.</w:t>
      </w:r>
      <w:r w:rsidRPr="00B13356">
        <w:rPr>
          <w:szCs w:val="24"/>
        </w:rPr>
        <w:tab/>
      </w:r>
      <w:r w:rsidR="00E52781" w:rsidRPr="00B13356">
        <w:t xml:space="preserve">σημειώνει ότι και τα 27 κράτη μέλη εκπροσωπούνται στο προσωπικό, αλλά ότι υπάρχουν σοβαρές γεωγραφικές ανισορροπίες, καθώς 527 μέλη του προσωπικού είναι βελγικής ιθαγένειας, αριθμός που αντιστοιχεί στο 17 %, ενώ μόνο το 0,2 % είναι κυπριακής και 0,3 % λουξεμβουργιανής ιθαγένειας· υπογραμμίζει τη σημασία της δίκαιης γεωγραφικής ισορροπίας μεταξύ των μελών του προσωπικού σε όλα τα </w:t>
      </w:r>
      <w:r w:rsidR="00E52781" w:rsidRPr="00B13356">
        <w:lastRenderedPageBreak/>
        <w:t>επίπεδα, ιδίως στα μεσαία και ανώτερα διοικητικά κλιμάκια, με παράλληλη τήρηση των απαιτήσεων του κανονισμού υπηρεσιακής κατάστασης όσον αφορά τις ικανότητες και τα προσόντα των υποψηφίων·</w:t>
      </w:r>
    </w:p>
    <w:p w:rsidR="00E52781" w:rsidRPr="00B13356" w:rsidRDefault="00B13356" w:rsidP="00B13356">
      <w:pPr>
        <w:pStyle w:val="NormalHanging12a"/>
        <w:widowControl/>
        <w:ind w:left="570" w:hanging="570"/>
        <w:rPr>
          <w:szCs w:val="24"/>
        </w:rPr>
      </w:pPr>
      <w:r w:rsidRPr="00B13356">
        <w:rPr>
          <w:szCs w:val="24"/>
        </w:rPr>
        <w:t>50.</w:t>
      </w:r>
      <w:r w:rsidRPr="00B13356">
        <w:rPr>
          <w:szCs w:val="24"/>
        </w:rPr>
        <w:tab/>
      </w:r>
      <w:r w:rsidR="00E52781" w:rsidRPr="00B13356">
        <w:t>εκφράζει τη δυσαρέσκειά του για την έλλειψη ενημέρωσης σχετικά με την εφαρμογή του σχεδίου δράσης του Συμβουλίου για την ισότητα των φύλων, καθώς και σχετικά με τα μέτρα που έχουν ληφθεί ώστε να διασφαλιστούν ίσες ευκαιρίες για τα άτομα με αναπηρία που απασχολούνται από το Συμβούλιο· καλεί το Συμβούλιο να παράσχει πληροφορίες στο Κοινοβούλιο όσον αφορά την ισόρροπη εκπροσώπηση των φύλων εντός του προσωπικού του, τη γεωγραφική κατανομή και το ποσοστό των υπαλλήλων με αναπηρία, καθώς και τις σχετικές εσωτερικές πολιτικές·</w:t>
      </w:r>
    </w:p>
    <w:p w:rsidR="00E52781" w:rsidRPr="00B13356" w:rsidRDefault="00B13356" w:rsidP="00B13356">
      <w:pPr>
        <w:pStyle w:val="NormalHanging12a"/>
        <w:widowControl/>
        <w:ind w:left="570" w:hanging="570"/>
        <w:rPr>
          <w:szCs w:val="24"/>
        </w:rPr>
      </w:pPr>
      <w:r w:rsidRPr="00B13356">
        <w:rPr>
          <w:szCs w:val="24"/>
        </w:rPr>
        <w:t>51.</w:t>
      </w:r>
      <w:r w:rsidRPr="00B13356">
        <w:rPr>
          <w:szCs w:val="24"/>
        </w:rPr>
        <w:tab/>
      </w:r>
      <w:r w:rsidR="00E52781" w:rsidRPr="00B13356">
        <w:t xml:space="preserve">εκφράζει τη λύπη του για το γεγονός ότι, δεδομένου ότι το Συμβούλιο δεν απάντησε στο ερωτηματολόγιο του Κοινοβουλίου, το Κοινοβούλιο δεν διαθέτει πληροφορίες σχετικά με τον αριθμό των </w:t>
      </w:r>
      <w:proofErr w:type="spellStart"/>
      <w:r w:rsidR="00E52781" w:rsidRPr="00B13356">
        <w:t>ασκουμένων</w:t>
      </w:r>
      <w:proofErr w:type="spellEnd"/>
      <w:r w:rsidR="00E52781" w:rsidRPr="00B13356">
        <w:t xml:space="preserve"> στο Συμβούλιο κατά τη διάρκεια του 2022 ούτε γνωρίζει αν έλαβαν ή όχι αμοιβή κατά τη διάρκεια της πρακτικής τους άσκησης· υπενθυμίζει το αίτημα του Κοινοβουλίου προς όλα τα θεσμικά όργανα σύμφωνα με το οποίο όλοι οι ασκούμενοι θα πρέπει να αμείβονται, εκτός εάν αμείβονται ήδη από άλλες πηγές·</w:t>
      </w:r>
    </w:p>
    <w:p w:rsidR="00E52781" w:rsidRPr="00B13356" w:rsidRDefault="00E52781" w:rsidP="00B11AEC">
      <w:pPr>
        <w:pStyle w:val="NormalHanging12a"/>
        <w:widowControl/>
        <w:ind w:left="0" w:firstLine="0"/>
        <w:rPr>
          <w:b/>
          <w:i/>
          <w:szCs w:val="24"/>
        </w:rPr>
      </w:pPr>
      <w:r w:rsidRPr="00B13356">
        <w:rPr>
          <w:b/>
          <w:i/>
        </w:rPr>
        <w:t>Δεοντολογικό πλαίσιο και διαφάνεια</w:t>
      </w:r>
    </w:p>
    <w:p w:rsidR="00E52781" w:rsidRPr="00B13356" w:rsidRDefault="00B13356" w:rsidP="00B13356">
      <w:pPr>
        <w:pStyle w:val="NormalHanging12a"/>
        <w:widowControl/>
        <w:ind w:left="570" w:hanging="570"/>
        <w:rPr>
          <w:szCs w:val="24"/>
        </w:rPr>
      </w:pPr>
      <w:r w:rsidRPr="00B13356">
        <w:rPr>
          <w:szCs w:val="24"/>
        </w:rPr>
        <w:t>52.</w:t>
      </w:r>
      <w:r w:rsidRPr="00B13356">
        <w:rPr>
          <w:szCs w:val="24"/>
        </w:rPr>
        <w:tab/>
      </w:r>
      <w:r w:rsidR="00E52781" w:rsidRPr="00B13356">
        <w:t>επαναλαμβάνει ότι η δεοντολογική συμπεριφορά συμβάλλει στη χρηστή δημοσιονομική διαχείριση και ενισχύει την εμπιστοσύνη του κοινού και ότι, όπως τόνισε το Ελεγκτικό Συνέδριο στην ειδική έκθεσή του αριθ. 13/2019, υπάρχουν περιθώρια βελτίωσης των πλαισίων δεοντολογίας των θεσμικών οργάνων της Ένωσης, κάτι που είναι ζωτικής σημασίας καθώς κάθε αντιδεοντολογική συμπεριφορά των υπαλλήλων και των μελών κινεί σε μεγάλο βαθμό το ενδιαφέρον του κοινού και αποδυναμώνει την εμπιστοσύνη των πολιτών στην Ένωση·</w:t>
      </w:r>
    </w:p>
    <w:p w:rsidR="00E52781" w:rsidRPr="00B13356" w:rsidRDefault="00B13356" w:rsidP="00B13356">
      <w:pPr>
        <w:pStyle w:val="NormalHanging12a"/>
        <w:widowControl/>
        <w:ind w:left="570" w:hanging="570"/>
        <w:rPr>
          <w:szCs w:val="24"/>
        </w:rPr>
      </w:pPr>
      <w:r w:rsidRPr="00B13356">
        <w:rPr>
          <w:szCs w:val="24"/>
        </w:rPr>
        <w:t>53.</w:t>
      </w:r>
      <w:r w:rsidRPr="00B13356">
        <w:rPr>
          <w:szCs w:val="24"/>
        </w:rPr>
        <w:tab/>
      </w:r>
      <w:r w:rsidR="00E52781" w:rsidRPr="00B13356">
        <w:t>εκφράζει τη λύπη του για το γεγονός ότι το Κοινοβούλιο δεν έχει καμία δυνατότητα να υποβάλει ερωτήσεις σχετικά με το δεοντολογικό πλαίσιο που ισχύει στο Συμβούλιο, δεδομένου ότι το Συμβούλιο δεν θα απαντήσει σε ερωτήσεις του Κοινοβουλίου και, κατά συνέπεια, δεν λαμβάνονται πληροφορίες σχετικά με τον κώδικα δεοντολογίας που ισχύει για όλα τα μέλη του προσωπικού του Συμβουλίου·</w:t>
      </w:r>
    </w:p>
    <w:p w:rsidR="00E52781" w:rsidRPr="00B13356" w:rsidRDefault="00B13356" w:rsidP="00B13356">
      <w:pPr>
        <w:pStyle w:val="NormalHanging12a"/>
        <w:widowControl/>
        <w:ind w:left="570" w:hanging="570"/>
        <w:rPr>
          <w:szCs w:val="24"/>
        </w:rPr>
      </w:pPr>
      <w:r w:rsidRPr="00B13356">
        <w:rPr>
          <w:szCs w:val="24"/>
        </w:rPr>
        <w:t>54.</w:t>
      </w:r>
      <w:r w:rsidRPr="00B13356">
        <w:rPr>
          <w:szCs w:val="24"/>
        </w:rPr>
        <w:tab/>
      </w:r>
      <w:r w:rsidR="00E52781" w:rsidRPr="00B13356">
        <w:t>υπενθυμίζει τη σύσταση που εξέδωσε το Ελεγκτικό Συνέδριο στην ειδική του έκθεση αριθ. 13/2019 όσον αφορά τη βελτίωση του δεοντολογικού πλαισίου του Συμβουλίου· εκφράζει την ανησυχία του για την έλλειψη κοινού πλαισίου δεοντολογίας στην Ένωση που να διέπει τις εργασίες των εκπροσώπων των κρατών μελών στο Συμβούλιο, όπως διαπίστωσε το Ελεγκτικό Συνέδριο·</w:t>
      </w:r>
    </w:p>
    <w:p w:rsidR="00E52781" w:rsidRPr="00B13356" w:rsidRDefault="00B13356" w:rsidP="00B13356">
      <w:pPr>
        <w:pStyle w:val="NormalHanging12a"/>
        <w:widowControl/>
        <w:ind w:left="570" w:hanging="570"/>
        <w:rPr>
          <w:szCs w:val="24"/>
        </w:rPr>
      </w:pPr>
      <w:r w:rsidRPr="00B13356">
        <w:rPr>
          <w:szCs w:val="24"/>
        </w:rPr>
        <w:t>55.</w:t>
      </w:r>
      <w:r w:rsidRPr="00B13356">
        <w:rPr>
          <w:szCs w:val="24"/>
        </w:rPr>
        <w:tab/>
      </w:r>
      <w:r w:rsidR="00E52781" w:rsidRPr="00B13356">
        <w:t>σημειώνει ότι η Γενική Γραμματεία του Συμβουλίου δημοσιεύει ετήσια έκθεση με πληροφορίες σχετικά με τις επαγγελματικές δραστηριότητες πρώην ανώτερων υπαλλήλων της Γενικής Γραμματείας του Συμβουλίου μετά τη λήξη των καθηκόντων τους (άρθρο 16 τρίτο και τέταρτο εδάφιο του κανονισμού υπηρεσιακής κατάστασης)· σημειώνει ότι, σύμφωνα με την έκθεση για το 2022, τέσσερις ανώτεροι υπάλληλοι δήλωσαν την πρόθεσή τους να ασκήσουν επαγγελματικές δραστηριότητες κατά τη διάρκεια του 2022 και ότι δύο πρώην ανώτεροι υπάλληλοι υπέβαλαν δηλώσεις στα τέλη του 2021, οι οποίες εξετάστηκαν επίσης το 2022· σημειώνει ότι κανένα από τα αιτήματα δεν κρίθηκε ότι εμπίπτει στο πεδίο εφαρμογής του άρθρου 16·</w:t>
      </w:r>
    </w:p>
    <w:p w:rsidR="00E52781" w:rsidRPr="00B13356" w:rsidRDefault="00B13356" w:rsidP="00B13356">
      <w:pPr>
        <w:pStyle w:val="NormalHanging12a"/>
        <w:widowControl/>
        <w:ind w:left="570" w:hanging="570"/>
        <w:rPr>
          <w:szCs w:val="24"/>
        </w:rPr>
      </w:pPr>
      <w:r w:rsidRPr="00B13356">
        <w:rPr>
          <w:szCs w:val="24"/>
        </w:rPr>
        <w:lastRenderedPageBreak/>
        <w:t>56.</w:t>
      </w:r>
      <w:r w:rsidRPr="00B13356">
        <w:rPr>
          <w:szCs w:val="24"/>
        </w:rPr>
        <w:tab/>
      </w:r>
      <w:r w:rsidR="00E52781" w:rsidRPr="00B13356">
        <w:t>σημειώνει με ικανοποίηση ότι όλοι οι αρμόδιοι γενικοί διευθυντές του Συμβουλίου, στις ετήσιες εκθέσεις δραστηριοτήτων τους, δήλωσαν ότι το 2022 δεν τέθηκαν υπόψη τους περιπτώσεις απάτης ή παρατυπιών·</w:t>
      </w:r>
    </w:p>
    <w:p w:rsidR="00E52781" w:rsidRPr="00B13356" w:rsidRDefault="00E52781" w:rsidP="00B11AEC">
      <w:pPr>
        <w:widowControl/>
        <w:spacing w:after="240"/>
        <w:rPr>
          <w:b/>
          <w:i/>
          <w:szCs w:val="24"/>
        </w:rPr>
      </w:pPr>
      <w:r w:rsidRPr="00B13356">
        <w:rPr>
          <w:b/>
          <w:i/>
        </w:rPr>
        <w:t>Ψηφιοποίηση, κυβερνοασφάλεια και προστασία δεδομένων</w:t>
      </w:r>
    </w:p>
    <w:p w:rsidR="00E52781" w:rsidRPr="00B13356" w:rsidRDefault="00B13356" w:rsidP="00B13356">
      <w:pPr>
        <w:pStyle w:val="NormalHanging12a"/>
        <w:widowControl/>
        <w:ind w:left="570" w:hanging="570"/>
        <w:rPr>
          <w:szCs w:val="24"/>
        </w:rPr>
      </w:pPr>
      <w:r w:rsidRPr="00B13356">
        <w:rPr>
          <w:szCs w:val="24"/>
        </w:rPr>
        <w:t>57.</w:t>
      </w:r>
      <w:r w:rsidRPr="00B13356">
        <w:rPr>
          <w:szCs w:val="24"/>
        </w:rPr>
        <w:tab/>
      </w:r>
      <w:r w:rsidR="00E52781" w:rsidRPr="00B13356">
        <w:t>σημειώνει ότι, αρχικά, ο προϋπολογισμός του Συμβουλίου για συστήματα ΤΠ και τηλεπικοινωνίες το 2022 ανήλθε σε 48 115 000 EUR, σημειώνοντας αύξηση κατά 2,1 % συγκριτικά με το 2021· σημειώνει, ωστόσο, ότι εντός του 2022 μεταφέρθηκαν στον προϋπολογισμό επιπλέον 6 805 000 EUR, αλλά ότι οι πραγματικές πληρωμές ήταν σημαντικά χαμηλότερες, ανερχόμενες σε 27 096 067 EUR, ποσό που αντιστοιχεί μόλις στο 50 % περίπου των συνολικών τελικών πιστώσεων·</w:t>
      </w:r>
    </w:p>
    <w:p w:rsidR="00E52781" w:rsidRPr="00B13356" w:rsidRDefault="00B13356" w:rsidP="00B13356">
      <w:pPr>
        <w:pStyle w:val="NormalHanging12a"/>
        <w:widowControl/>
        <w:ind w:left="570" w:hanging="570"/>
        <w:rPr>
          <w:szCs w:val="24"/>
        </w:rPr>
      </w:pPr>
      <w:r w:rsidRPr="00B13356">
        <w:rPr>
          <w:szCs w:val="24"/>
        </w:rPr>
        <w:t>58.</w:t>
      </w:r>
      <w:r w:rsidRPr="00B13356">
        <w:rPr>
          <w:szCs w:val="24"/>
        </w:rPr>
        <w:tab/>
      </w:r>
      <w:r w:rsidR="00E52781" w:rsidRPr="00B13356">
        <w:t>εκφράζει την ικανοποίησή του για το γεγονός ότι η ηλεκτρονική διεκπεραίωση των τιμολογίων ανήλθε σε 97 % το 2022, ποσοστό που αντιπροσωπεύει σημαντική αύξηση έναντι 89 % το 2021·</w:t>
      </w:r>
    </w:p>
    <w:p w:rsidR="00E52781" w:rsidRPr="00B13356" w:rsidRDefault="00B13356" w:rsidP="00B13356">
      <w:pPr>
        <w:pStyle w:val="NormalHanging12a"/>
        <w:widowControl/>
        <w:ind w:left="570" w:hanging="570"/>
        <w:rPr>
          <w:szCs w:val="24"/>
        </w:rPr>
      </w:pPr>
      <w:r w:rsidRPr="00B13356">
        <w:rPr>
          <w:szCs w:val="24"/>
        </w:rPr>
        <w:t>59.</w:t>
      </w:r>
      <w:r w:rsidRPr="00B13356">
        <w:rPr>
          <w:szCs w:val="24"/>
        </w:rPr>
        <w:tab/>
      </w:r>
      <w:r w:rsidR="00E52781" w:rsidRPr="00B13356">
        <w:t>καλεί εκ νέου το Συμβούλιο να διερευνήσει τρόπους για την ευρύτερη δυνατή χρήση των τεχνολογιών ανοικτού κώδικα και να υποβάλει έκθεση σχετικά με την πρόοδο όσον αφορά τη χρήση των εν λόγω συστημάτων·</w:t>
      </w:r>
    </w:p>
    <w:p w:rsidR="00E52781" w:rsidRPr="00B13356" w:rsidRDefault="00E52781" w:rsidP="00B11AEC">
      <w:pPr>
        <w:widowControl/>
        <w:spacing w:after="240"/>
        <w:rPr>
          <w:b/>
          <w:bCs/>
          <w:i/>
          <w:iCs/>
          <w:szCs w:val="24"/>
        </w:rPr>
      </w:pPr>
      <w:r w:rsidRPr="00B13356">
        <w:rPr>
          <w:b/>
          <w:i/>
        </w:rPr>
        <w:t>Κτίρια</w:t>
      </w:r>
    </w:p>
    <w:p w:rsidR="00E52781" w:rsidRPr="00B13356" w:rsidRDefault="00B13356" w:rsidP="00B13356">
      <w:pPr>
        <w:pStyle w:val="NormalHanging12a"/>
        <w:widowControl/>
        <w:ind w:left="570" w:hanging="570"/>
        <w:rPr>
          <w:szCs w:val="24"/>
        </w:rPr>
      </w:pPr>
      <w:r w:rsidRPr="00B13356">
        <w:rPr>
          <w:szCs w:val="24"/>
        </w:rPr>
        <w:t>60.</w:t>
      </w:r>
      <w:r w:rsidRPr="00B13356">
        <w:rPr>
          <w:szCs w:val="24"/>
        </w:rPr>
        <w:tab/>
      </w:r>
      <w:r w:rsidR="00E52781" w:rsidRPr="00B13356">
        <w:t>σημειώνει ότι το 2022 οι συνολικές πληρωμές όσον αφορά κτίρια ανήλθαν σε 45 435 994 EUR, σημειώνοντας σημαντική αύξηση από 35 709 119 EUR το 2021, ποσό που συνιστά αύξηση κατά 27,2 %· σημειώνει ότι ο κύριος λόγος αυτής της αύξησης είναι οι πληρωμές για ύδρευση, φυσικό αέριο, ηλεκτρική ενέργεια και θέρμανση, οι οποίες αυξήθηκαν από 2 565 008 EUR το 2021 σε 11 233 088 EUR το 2022, ποσό που ισοδυναμεί με αύξηση κατά 338 %·</w:t>
      </w:r>
    </w:p>
    <w:p w:rsidR="00E52781" w:rsidRPr="00B13356" w:rsidRDefault="00B13356" w:rsidP="00B13356">
      <w:pPr>
        <w:pStyle w:val="NormalHanging12a"/>
        <w:widowControl/>
        <w:ind w:left="570" w:hanging="570"/>
        <w:rPr>
          <w:szCs w:val="24"/>
        </w:rPr>
      </w:pPr>
      <w:r w:rsidRPr="00B13356">
        <w:rPr>
          <w:szCs w:val="24"/>
        </w:rPr>
        <w:t>61.</w:t>
      </w:r>
      <w:r w:rsidRPr="00B13356">
        <w:rPr>
          <w:szCs w:val="24"/>
        </w:rPr>
        <w:tab/>
      </w:r>
      <w:r w:rsidR="00E52781" w:rsidRPr="00B13356">
        <w:t>εκφράζει την ικανοποίησή του για το γεγονός ότι το 2022 το Συμβούλιο κατόρθωσε να μειώσει την κατανάλωση ενέργειας σε σύγκριση με τα προηγούμενα έτη, μεταξύ άλλων λόγω της πολιτικής που υιοθέτησαν όλα τα θεσμικά όργανα της Ένωσης για τη μείωση της θερμοκρασίας εντός των κτιρίων σε 19 βαθμούς· ενθαρρύνει, ωστόσο, τη Γραμματεία του Συμβουλίου να ορίσει περαιτέρω πρωτοβουλίες για τη μείωση της κατανάλωσης ενέργειας·</w:t>
      </w:r>
    </w:p>
    <w:p w:rsidR="00E52781" w:rsidRPr="00B13356" w:rsidRDefault="00B13356" w:rsidP="00B13356">
      <w:pPr>
        <w:pStyle w:val="NormalHanging12a"/>
        <w:widowControl/>
        <w:ind w:left="570" w:hanging="570"/>
        <w:rPr>
          <w:szCs w:val="24"/>
        </w:rPr>
      </w:pPr>
      <w:r w:rsidRPr="00B13356">
        <w:rPr>
          <w:szCs w:val="24"/>
        </w:rPr>
        <w:t>62.</w:t>
      </w:r>
      <w:r w:rsidRPr="00B13356">
        <w:rPr>
          <w:szCs w:val="24"/>
        </w:rPr>
        <w:tab/>
      </w:r>
      <w:r w:rsidR="00E52781" w:rsidRPr="00B13356">
        <w:t>εκφράζει τη λύπη του για το γεγονός ότι, δεδομένου ότι το Συμβούλιο δεν απαντά στο ερωτηματολόγιο του Κοινοβουλίου, το Κοινοβούλιο δεν διαθέτει πληροφορίες σχετικά με πρωτοβουλίες που ανέλαβε το Συμβούλιο το 2022 για τη βελτίωση της πρόσβασης των ατόμων με αναπηρία στις οικείες εγκαταστάσεις και άλλες πιθανές πρωτοβουλίες για τα άτομα με αναπηρία·</w:t>
      </w:r>
    </w:p>
    <w:p w:rsidR="00E52781" w:rsidRPr="00B13356" w:rsidRDefault="00E52781" w:rsidP="00B11AEC">
      <w:pPr>
        <w:widowControl/>
        <w:spacing w:after="240"/>
        <w:rPr>
          <w:b/>
          <w:i/>
          <w:szCs w:val="24"/>
        </w:rPr>
      </w:pPr>
      <w:r w:rsidRPr="00B13356">
        <w:rPr>
          <w:b/>
          <w:i/>
        </w:rPr>
        <w:t>Περιβάλλον και βιωσιμότητα</w:t>
      </w:r>
    </w:p>
    <w:p w:rsidR="00E52781" w:rsidRPr="00B13356" w:rsidRDefault="00B13356" w:rsidP="00B13356">
      <w:pPr>
        <w:pStyle w:val="NormalHanging12a"/>
        <w:widowControl/>
        <w:ind w:left="570" w:hanging="570"/>
        <w:rPr>
          <w:szCs w:val="24"/>
        </w:rPr>
      </w:pPr>
      <w:r w:rsidRPr="00B13356">
        <w:rPr>
          <w:szCs w:val="24"/>
        </w:rPr>
        <w:t>63.</w:t>
      </w:r>
      <w:r w:rsidRPr="00B13356">
        <w:rPr>
          <w:szCs w:val="24"/>
        </w:rPr>
        <w:tab/>
      </w:r>
      <w:r w:rsidR="00E52781" w:rsidRPr="00B13356">
        <w:t xml:space="preserve">σημειώνει ότι εξακολουθεί να είναι δύσκολο να ληφθούν επικαιροποιημένες και ολοκληρωμένες πληροφορίες από το Συμβούλιο σχετικά με τυχόν πρωτοβουλίες του όσον αφορά το περιβάλλον και τη βιωσιμότητα και την εξέλιξη της γενικής κατανάλωσης, συμπεριλαμβανομένης της χρήσης νερού, φυσικού αερίου, ηλεκτρικής ενέργειας και χαρτιού· ενθαρρύνει το Συμβούλιο να υποβάλλει συστηματικά εκθέσεις σχετικά με τα στοιχεία των εργασιών του που αφορούν το περιβάλλον και τη βιωσιμότητα στο πλαίσιο των ετήσιων εκθέσεών του· σημειώνει με ικανοποίηση </w:t>
      </w:r>
      <w:r w:rsidR="00E52781" w:rsidRPr="00B13356">
        <w:lastRenderedPageBreak/>
        <w:t>ορισμένες διάσπαρτες πρωτοβουλίες που αναφέρονται στις ετήσιες εκθέσεις, όπως η αγορά τεσσάρων ηλεκτρικών αυτοκινήτων και η ενθάρρυνση της ενσωμάτωσης ρητρών σε σχέση με το περιβάλλον στις διαδικασίες σύναψης δημόσιων συμβάσεων·</w:t>
      </w:r>
    </w:p>
    <w:p w:rsidR="00E52781" w:rsidRPr="00B13356" w:rsidRDefault="00B13356" w:rsidP="00B13356">
      <w:pPr>
        <w:pStyle w:val="NormalHanging12a"/>
        <w:widowControl/>
        <w:ind w:left="570" w:hanging="570"/>
        <w:rPr>
          <w:szCs w:val="24"/>
        </w:rPr>
      </w:pPr>
      <w:r w:rsidRPr="00B13356">
        <w:rPr>
          <w:szCs w:val="24"/>
        </w:rPr>
        <w:t>64.</w:t>
      </w:r>
      <w:r w:rsidRPr="00B13356">
        <w:rPr>
          <w:szCs w:val="24"/>
        </w:rPr>
        <w:tab/>
      </w:r>
      <w:r w:rsidR="00E52781" w:rsidRPr="00B13356">
        <w:t>εξακολουθεί να καλεί το Συμβούλιο να δημιουργήσει κάποιο πρόγραμμα, εάν δεν υπάρχει ήδη, για να ενθαρρύνει το προσωπικό να χρησιμοποιεί τα δημόσια μέσα μεταφοράς ή άλλα μέσα μεταφοράς χαμηλών εκπομπών, όπως ποδήλατα, προκειμένου να μειωθεί το αποτύπωμα άνθρακα του Συμβουλίου·</w:t>
      </w:r>
    </w:p>
    <w:p w:rsidR="00E52781" w:rsidRPr="00B13356" w:rsidRDefault="00B13356" w:rsidP="00B13356">
      <w:pPr>
        <w:pStyle w:val="NormalHanging12a"/>
        <w:widowControl/>
        <w:ind w:left="570" w:hanging="570"/>
        <w:rPr>
          <w:szCs w:val="24"/>
        </w:rPr>
      </w:pPr>
      <w:r w:rsidRPr="00B13356">
        <w:rPr>
          <w:szCs w:val="24"/>
        </w:rPr>
        <w:t>65.</w:t>
      </w:r>
      <w:r w:rsidRPr="00B13356">
        <w:rPr>
          <w:szCs w:val="24"/>
        </w:rPr>
        <w:tab/>
      </w:r>
      <w:r w:rsidR="00E52781" w:rsidRPr="00B13356">
        <w:t>σημειώνει ότι στους ετήσιους λογαριασμούς του Συμβουλίου αναφέρεται ότι στο τέλος του 2022, το Συμβούλιο είχε στην κατοχή του 773,4 πιστοποιητικά πράσινης ενέργειας, έναντι 2 589,2 που είχε στο τέλος του 2021, με βάση την ενέργεια που παράγεται από ηλιακούς συλλέκτες που βρίσκονται στη στέγη των κτιρίων του Συμβουλίου· σημειώνει ότι τα πιστοποιητικά αποτιμώνται σε 65 EUR έκαστο· συνεχίζει να ζητεί από το Συμβούλιο να υποβάλει έκθεση με περισσότερες λεπτομέρειες σχετικά με την πώληση των εν λόγω πιστοποιητικών στην ανοικτή αγορά και την προβλεπόμενη χρήση των παραγόμενων εσόδων·</w:t>
      </w:r>
    </w:p>
    <w:p w:rsidR="00E52781" w:rsidRPr="00B13356" w:rsidRDefault="00E52781" w:rsidP="00B11AEC">
      <w:pPr>
        <w:widowControl/>
        <w:spacing w:after="240"/>
        <w:rPr>
          <w:b/>
          <w:i/>
          <w:szCs w:val="24"/>
        </w:rPr>
      </w:pPr>
      <w:r w:rsidRPr="00B13356">
        <w:rPr>
          <w:b/>
          <w:i/>
        </w:rPr>
        <w:t>Διοργανική συνεργασία</w:t>
      </w:r>
    </w:p>
    <w:p w:rsidR="00E52781" w:rsidRPr="00B13356" w:rsidRDefault="00B13356" w:rsidP="00B13356">
      <w:pPr>
        <w:pStyle w:val="NormalHanging12a"/>
        <w:widowControl/>
        <w:ind w:left="570" w:hanging="570"/>
        <w:rPr>
          <w:szCs w:val="24"/>
        </w:rPr>
      </w:pPr>
      <w:r w:rsidRPr="00B13356">
        <w:rPr>
          <w:szCs w:val="24"/>
        </w:rPr>
        <w:t>66.</w:t>
      </w:r>
      <w:r w:rsidRPr="00B13356">
        <w:rPr>
          <w:szCs w:val="24"/>
        </w:rPr>
        <w:tab/>
      </w:r>
      <w:r w:rsidR="00E52781" w:rsidRPr="00B13356">
        <w:t>τονίζει ότι είναι αναγκαίο να αναθεωρηθεί το άρθρο 319 ΣΛΕΕ στο πλαίσιο τροποποίησης της εν λόγω Συνθήκης, προκειμένου να οριστεί ρητά ότι το Κοινοβούλιο, εκτός από τη χορήγηση απαλλαγής στην Επιτροπή, χορηγεί απαλλαγή και σε άλλα θεσμικά και λοιπά όργανα και οργανισμούς της Ένωσης όσον αφορά την εκτέλεση των τμημάτων του γενικού προϋπολογισμού που τους αντιστοιχούν ή του προϋπολογισμού τους·</w:t>
      </w:r>
    </w:p>
    <w:p w:rsidR="00E52781" w:rsidRPr="00B13356" w:rsidRDefault="00E52781" w:rsidP="00B11AEC">
      <w:pPr>
        <w:pStyle w:val="NormalHanging12a"/>
        <w:widowControl/>
        <w:ind w:left="0" w:firstLine="0"/>
        <w:rPr>
          <w:b/>
          <w:i/>
          <w:szCs w:val="24"/>
        </w:rPr>
      </w:pPr>
      <w:r w:rsidRPr="00B13356">
        <w:rPr>
          <w:b/>
          <w:i/>
        </w:rPr>
        <w:t>Επικοινωνία</w:t>
      </w:r>
    </w:p>
    <w:p w:rsidR="00E52781" w:rsidRPr="00B13356" w:rsidRDefault="00B13356" w:rsidP="00B13356">
      <w:pPr>
        <w:pStyle w:val="NormalHanging12a"/>
        <w:widowControl/>
        <w:ind w:left="570" w:hanging="570"/>
        <w:rPr>
          <w:szCs w:val="24"/>
        </w:rPr>
      </w:pPr>
      <w:r w:rsidRPr="00B13356">
        <w:rPr>
          <w:szCs w:val="24"/>
        </w:rPr>
        <w:t>67.</w:t>
      </w:r>
      <w:r w:rsidRPr="00B13356">
        <w:rPr>
          <w:szCs w:val="24"/>
        </w:rPr>
        <w:tab/>
      </w:r>
      <w:r w:rsidR="00E52781" w:rsidRPr="00B13356">
        <w:t xml:space="preserve">σημειώνει ότι το 2022 ήταν έτος ρεκόρ με περισσότερες από 24,5 εκατομμύρια επισκέψεις στον ιστότοπο του Συμβουλίου, αριθμός που αντιστοιχεί σε αύξηση κατά 16 % συγκριτικά με το 2020, και ότι ο αριθμός των ακολούθων στο Facebook αυξήθηκε κατά 8 %, ενώ ο αριθμός των ακολούθων στο X (προηγουμένως Twitter), στο </w:t>
      </w:r>
      <w:proofErr w:type="spellStart"/>
      <w:r w:rsidR="00E52781" w:rsidRPr="00B13356">
        <w:t>Instagram</w:t>
      </w:r>
      <w:proofErr w:type="spellEnd"/>
      <w:r w:rsidR="00E52781" w:rsidRPr="00B13356">
        <w:t xml:space="preserve"> και στο LinkedIn αυξήθηκε κατά 19 %, 17 % και 33 % αντίστοιχα·</w:t>
      </w:r>
    </w:p>
    <w:p w:rsidR="00B11AEC" w:rsidRPr="00B13356" w:rsidRDefault="00B13356" w:rsidP="00B13356">
      <w:pPr>
        <w:pStyle w:val="NormalHanging12a"/>
        <w:widowControl/>
        <w:ind w:left="570" w:hanging="570"/>
      </w:pPr>
      <w:r w:rsidRPr="00B13356">
        <w:t>68.</w:t>
      </w:r>
      <w:r w:rsidRPr="00B13356">
        <w:tab/>
      </w:r>
      <w:r w:rsidR="00E52781" w:rsidRPr="00B13356">
        <w:t xml:space="preserve">ενθαρρύνει το Συμβούλιο να συνεργαστεί με τον Ευρωπαίο Επόπτη Προστασίας Δεδομένων με σκοπό τη χρήση των δύο πλατφορμών μέσων κοινωνικής δικτύωσης ανοικτού κώδικα, EU </w:t>
      </w:r>
      <w:proofErr w:type="spellStart"/>
      <w:r w:rsidR="00E52781" w:rsidRPr="00B13356">
        <w:t>Voice</w:t>
      </w:r>
      <w:proofErr w:type="spellEnd"/>
      <w:r w:rsidR="00E52781" w:rsidRPr="00B13356">
        <w:t xml:space="preserve"> και EU </w:t>
      </w:r>
      <w:proofErr w:type="spellStart"/>
      <w:r w:rsidR="00E52781" w:rsidRPr="00B13356">
        <w:t>Video</w:t>
      </w:r>
      <w:proofErr w:type="spellEnd"/>
      <w:r w:rsidR="00E52781" w:rsidRPr="00B13356">
        <w:t xml:space="preserve">, που ξεκίνησαν να λειτουργούν ως δημόσιο πιλοτικό έργο για την προώθηση της χρήσης ελεύθερων κοινωνικών δικτύων ανοικτού κώδικα· ενθαρρύνει το Συμβούλιο, αντί των πολύ μεγάλων διαδικτυακών πλατφορμών, να χρησιμοποιήσει αποκεντρωμένα μέσα κοινωνικής δικτύωσης, όπως το </w:t>
      </w:r>
      <w:proofErr w:type="spellStart"/>
      <w:r w:rsidR="00E52781" w:rsidRPr="00B13356">
        <w:t>Mastodon</w:t>
      </w:r>
      <w:proofErr w:type="spellEnd"/>
      <w:r w:rsidR="00E52781" w:rsidRPr="00B13356">
        <w:t>.</w:t>
      </w:r>
      <w:bookmarkStart w:id="10" w:name="TextBodyEnd"/>
      <w:bookmarkEnd w:id="10"/>
    </w:p>
    <w:p w:rsidR="00E365E1" w:rsidRPr="00B13356" w:rsidRDefault="00E365E1" w:rsidP="00B11AEC">
      <w:pPr>
        <w:pStyle w:val="NormalHanging12a"/>
        <w:widowControl/>
      </w:pPr>
    </w:p>
    <w:p w:rsidR="00B11AEC" w:rsidRPr="00B13356" w:rsidRDefault="00B11AEC" w:rsidP="00B11AEC">
      <w:pPr>
        <w:pStyle w:val="NormalHanging12a"/>
        <w:widowControl/>
      </w:pPr>
    </w:p>
    <w:sectPr w:rsidR="00B11AEC" w:rsidRPr="00B13356" w:rsidSect="00DE57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7DF" w:rsidRPr="00DE576E" w:rsidRDefault="00DC07DF">
      <w:r w:rsidRPr="00DE576E">
        <w:separator/>
      </w:r>
    </w:p>
  </w:endnote>
  <w:endnote w:type="continuationSeparator" w:id="0">
    <w:p w:rsidR="00DC07DF" w:rsidRPr="00DE576E" w:rsidRDefault="00DC07DF">
      <w:r w:rsidRPr="00DE57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81" w:rsidRPr="00DE576E" w:rsidRDefault="00E52781" w:rsidP="004B3CBE">
    <w:pPr>
      <w:pStyle w:val="EPFooter"/>
    </w:pPr>
    <w:r w:rsidRPr="00DE576E">
      <w:t>PE</w:t>
    </w:r>
    <w:r w:rsidRPr="00DE576E">
      <w:rPr>
        <w:rStyle w:val="HideTWBExt"/>
      </w:rPr>
      <w:t>&lt;NoPE&gt;</w:t>
    </w:r>
    <w:r w:rsidRPr="00DE576E">
      <w:t>753.479</w:t>
    </w:r>
    <w:r w:rsidRPr="00DE576E">
      <w:rPr>
        <w:rStyle w:val="HideTWBExt"/>
      </w:rPr>
      <w:t>&lt;/NoPE&gt;&lt;Version&gt;</w:t>
    </w:r>
    <w:r w:rsidRPr="00DE576E">
      <w:t>v02-00</w:t>
    </w:r>
    <w:r w:rsidRPr="00DE576E">
      <w:rPr>
        <w:rStyle w:val="HideTWBExt"/>
      </w:rPr>
      <w:t>&lt;/Version&gt;</w:t>
    </w:r>
    <w:r w:rsidRPr="00DE576E">
      <w:tab/>
    </w:r>
    <w:r w:rsidRPr="00DE576E">
      <w:fldChar w:fldCharType="begin"/>
    </w:r>
    <w:r w:rsidRPr="00DE576E">
      <w:instrText xml:space="preserve"> PAGE  \* MERGEFORMAT </w:instrText>
    </w:r>
    <w:r w:rsidRPr="00DE576E">
      <w:fldChar w:fldCharType="separate"/>
    </w:r>
    <w:r w:rsidR="00DE576E" w:rsidRPr="00DE576E">
      <w:rPr>
        <w:noProof/>
      </w:rPr>
      <w:t>2</w:t>
    </w:r>
    <w:r w:rsidRPr="00DE576E">
      <w:fldChar w:fldCharType="end"/>
    </w:r>
    <w:r w:rsidRPr="00DE576E">
      <w:t>/</w:t>
    </w:r>
    <w:fldSimple w:instr=" NUMPAGES  \* MERGEFORMAT ">
      <w:r w:rsidR="00DE576E" w:rsidRPr="00DE576E">
        <w:rPr>
          <w:noProof/>
        </w:rPr>
        <w:t>4</w:t>
      </w:r>
    </w:fldSimple>
    <w:r w:rsidRPr="00DE576E">
      <w:tab/>
    </w:r>
    <w:r w:rsidRPr="00DE576E">
      <w:rPr>
        <w:rStyle w:val="HideTWBExt"/>
      </w:rPr>
      <w:t>&lt;PathFdR&gt;</w:t>
    </w:r>
    <w:r w:rsidRPr="00DE576E">
      <w:t>RR\1298435EL.docx</w:t>
    </w:r>
    <w:r w:rsidRPr="00DE576E">
      <w:rPr>
        <w:rStyle w:val="HideTWBExt"/>
      </w:rPr>
      <w:t>&lt;/PathFdR&gt;</w:t>
    </w:r>
  </w:p>
  <w:p w:rsidR="00E52781" w:rsidRPr="00DE576E" w:rsidRDefault="00E52781" w:rsidP="004B3CBE">
    <w:pPr>
      <w:pStyle w:val="EPFooter2"/>
    </w:pPr>
    <w:r w:rsidRPr="00DE576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81" w:rsidRPr="00DE576E" w:rsidRDefault="00E52781" w:rsidP="004B3CBE">
    <w:pPr>
      <w:pStyle w:val="EPFooter"/>
    </w:pPr>
    <w:r w:rsidRPr="00DE576E">
      <w:rPr>
        <w:rStyle w:val="HideTWBExt"/>
      </w:rPr>
      <w:t>&lt;PathFdR&gt;</w:t>
    </w:r>
    <w:r w:rsidRPr="00DE576E">
      <w:t>RR\1298435EL.docx</w:t>
    </w:r>
    <w:r w:rsidRPr="00DE576E">
      <w:rPr>
        <w:rStyle w:val="HideTWBExt"/>
      </w:rPr>
      <w:t>&lt;/PathFdR&gt;</w:t>
    </w:r>
    <w:r w:rsidRPr="00DE576E">
      <w:tab/>
    </w:r>
    <w:r w:rsidRPr="00DE576E">
      <w:tab/>
      <w:t>PE</w:t>
    </w:r>
    <w:r w:rsidRPr="00DE576E">
      <w:rPr>
        <w:rStyle w:val="HideTWBExt"/>
      </w:rPr>
      <w:t>&lt;NoPE&gt;</w:t>
    </w:r>
    <w:r w:rsidRPr="00DE576E">
      <w:t>753.479</w:t>
    </w:r>
    <w:r w:rsidRPr="00DE576E">
      <w:rPr>
        <w:rStyle w:val="HideTWBExt"/>
      </w:rPr>
      <w:t>&lt;/NoPE&gt;&lt;Version&gt;</w:t>
    </w:r>
    <w:r w:rsidRPr="00DE576E">
      <w:t>v02-00</w:t>
    </w:r>
    <w:r w:rsidRPr="00DE576E">
      <w:rPr>
        <w:rStyle w:val="HideTWBExt"/>
      </w:rPr>
      <w:t>&lt;/Version&gt;</w:t>
    </w:r>
  </w:p>
  <w:p w:rsidR="00E52781" w:rsidRPr="00DE576E" w:rsidRDefault="00E52781" w:rsidP="004B3CBE">
    <w:pPr>
      <w:pStyle w:val="EPFooter2"/>
    </w:pPr>
    <w:r w:rsidRPr="00DE576E">
      <w:t>EL</w:t>
    </w:r>
    <w:r w:rsidRPr="00DE576E">
      <w:tab/>
    </w:r>
    <w:r w:rsidRPr="00DE576E">
      <w:rPr>
        <w:b w:val="0"/>
        <w:i/>
        <w:color w:val="C0C0C0"/>
        <w:sz w:val="22"/>
      </w:rPr>
      <w:t>Ενωμένη στην πολυμορφία</w:t>
    </w:r>
    <w:r w:rsidRPr="00DE576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7DF" w:rsidRPr="00DE576E" w:rsidRDefault="00DC07DF">
      <w:r w:rsidRPr="00DE576E">
        <w:separator/>
      </w:r>
    </w:p>
  </w:footnote>
  <w:footnote w:type="continuationSeparator" w:id="0">
    <w:p w:rsidR="00DC07DF" w:rsidRPr="00DE576E" w:rsidRDefault="00DC07DF">
      <w:r w:rsidRPr="00DE576E">
        <w:continuationSeparator/>
      </w:r>
    </w:p>
  </w:footnote>
  <w:footnote w:id="1">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L 45 της 24.2.2022.</w:t>
      </w:r>
    </w:p>
  </w:footnote>
  <w:footnote w:id="2">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C, C/2023/2, 12.10.2023.</w:t>
      </w:r>
    </w:p>
  </w:footnote>
  <w:footnote w:id="3">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C, C/2023/103, 4.10.2023.</w:t>
      </w:r>
    </w:p>
  </w:footnote>
  <w:footnote w:id="4">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C, C/2023/112, 12.10.2023.</w:t>
      </w:r>
    </w:p>
  </w:footnote>
  <w:footnote w:id="5">
    <w:p w:rsidR="00E52781" w:rsidRPr="00DE576E" w:rsidRDefault="00E52781" w:rsidP="00B11AEC">
      <w:pPr>
        <w:pStyle w:val="FootnoteText"/>
        <w:spacing w:line="240" w:lineRule="auto"/>
        <w:ind w:left="567" w:hanging="567"/>
        <w:rPr>
          <w:sz w:val="24"/>
          <w:szCs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L 193 της 30.7.2018, σ. 1.</w:t>
      </w:r>
    </w:p>
  </w:footnote>
  <w:footnote w:id="6">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 xml:space="preserve">Απόφαση του Γενικού Δικαστηρίου, της 25ης Ιανουαρίου 2023, στην υπόθεση T-163/21, De </w:t>
      </w:r>
      <w:proofErr w:type="spellStart"/>
      <w:r w:rsidRPr="00DE576E">
        <w:rPr>
          <w:sz w:val="24"/>
          <w:lang w:val="el-GR"/>
        </w:rPr>
        <w:t>Capitani</w:t>
      </w:r>
      <w:proofErr w:type="spellEnd"/>
      <w:r w:rsidRPr="00DE576E">
        <w:rPr>
          <w:sz w:val="24"/>
          <w:lang w:val="el-GR"/>
        </w:rPr>
        <w:t xml:space="preserve"> κατά Συμβουλίου, ECLI:EU:T:2023:15.</w:t>
      </w:r>
    </w:p>
  </w:footnote>
  <w:footnote w:id="7">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C 445 της 29.10.2021, σ. 150.</w:t>
      </w:r>
    </w:p>
  </w:footnote>
  <w:footnote w:id="8">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L 207 της 11.6.2021, σ. 1.</w:t>
      </w:r>
    </w:p>
  </w:footnote>
  <w:footnote w:id="9">
    <w:p w:rsidR="00E52781" w:rsidRPr="00DE576E" w:rsidRDefault="00E52781" w:rsidP="00B11AEC">
      <w:pPr>
        <w:pStyle w:val="FootnoteText"/>
        <w:spacing w:line="240" w:lineRule="auto"/>
        <w:ind w:left="567" w:hanging="567"/>
        <w:rPr>
          <w:sz w:val="24"/>
          <w:lang w:val="el-GR"/>
        </w:rPr>
      </w:pPr>
      <w:r w:rsidRPr="00DE576E">
        <w:rPr>
          <w:rStyle w:val="FootnoteReference"/>
          <w:sz w:val="24"/>
          <w:lang w:val="el-GR"/>
        </w:rPr>
        <w:footnoteRef/>
      </w:r>
      <w:r w:rsidR="00DE576E" w:rsidRPr="00DE576E">
        <w:rPr>
          <w:sz w:val="24"/>
          <w:lang w:val="el-GR"/>
        </w:rPr>
        <w:t xml:space="preserve"> </w:t>
      </w:r>
      <w:r w:rsidR="00DE576E" w:rsidRPr="00DE576E">
        <w:rPr>
          <w:sz w:val="24"/>
          <w:lang w:val="el-GR"/>
        </w:rPr>
        <w:tab/>
      </w:r>
      <w:r w:rsidRPr="00DE576E">
        <w:rPr>
          <w:sz w:val="24"/>
          <w:lang w:val="el-GR"/>
        </w:rPr>
        <w:t>ΕΕ L 238 της 27.9.2023, σ.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7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DAF2420"/>
    <w:multiLevelType w:val="hybridMultilevel"/>
    <w:tmpl w:val="E80E013A"/>
    <w:lvl w:ilvl="0" w:tplc="E752DB9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EL"/>
    <w:docVar w:name="dvnumam" w:val="0"/>
    <w:docVar w:name="dvpe" w:val="753.479"/>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2023/2131(DEC))"/>
  </w:docVars>
  <w:rsids>
    <w:rsidRoot w:val="00DC07DF"/>
    <w:rsid w:val="00002272"/>
    <w:rsid w:val="00047D5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122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FB5"/>
    <w:rsid w:val="008C2AC6"/>
    <w:rsid w:val="00930C23"/>
    <w:rsid w:val="0093193B"/>
    <w:rsid w:val="00931B26"/>
    <w:rsid w:val="009509D8"/>
    <w:rsid w:val="00950B64"/>
    <w:rsid w:val="00981893"/>
    <w:rsid w:val="00A15308"/>
    <w:rsid w:val="00A1687D"/>
    <w:rsid w:val="00A43E52"/>
    <w:rsid w:val="00A4678D"/>
    <w:rsid w:val="00A778C7"/>
    <w:rsid w:val="00AB441E"/>
    <w:rsid w:val="00AB6293"/>
    <w:rsid w:val="00AE0928"/>
    <w:rsid w:val="00AF3B82"/>
    <w:rsid w:val="00B11AEC"/>
    <w:rsid w:val="00B12E95"/>
    <w:rsid w:val="00B13356"/>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7DF"/>
    <w:rsid w:val="00DE576E"/>
    <w:rsid w:val="00E365E1"/>
    <w:rsid w:val="00E52781"/>
    <w:rsid w:val="00E820A4"/>
    <w:rsid w:val="00EA699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0C0BF"/>
  <w15:chartTrackingRefBased/>
  <w15:docId w15:val="{E47DAF33-9656-4199-B450-54508174A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27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2781"/>
    <w:pPr>
      <w:spacing w:before="480" w:after="240"/>
    </w:pPr>
  </w:style>
  <w:style w:type="paragraph" w:customStyle="1" w:styleId="PageHeading">
    <w:name w:val="PageHeading"/>
    <w:basedOn w:val="Normal"/>
    <w:link w:val="PageHeadingChar"/>
    <w:rsid w:val="00E52781"/>
    <w:pPr>
      <w:keepNext/>
      <w:spacing w:after="480"/>
      <w:jc w:val="center"/>
    </w:pPr>
    <w:rPr>
      <w:rFonts w:ascii="Arial" w:hAnsi="Arial" w:cs="Arial"/>
      <w:b/>
    </w:rPr>
  </w:style>
  <w:style w:type="paragraph" w:customStyle="1" w:styleId="NormalBold">
    <w:name w:val="NormalBold"/>
    <w:basedOn w:val="Normal"/>
    <w:rsid w:val="00E52781"/>
    <w:rPr>
      <w:b/>
    </w:rPr>
  </w:style>
  <w:style w:type="paragraph" w:customStyle="1" w:styleId="NormalHanging12a">
    <w:name w:val="NormalHanging12a"/>
    <w:basedOn w:val="Normal"/>
    <w:link w:val="NormalHanging12aChar"/>
    <w:rsid w:val="00E52781"/>
    <w:pPr>
      <w:spacing w:after="240"/>
      <w:ind w:left="567" w:hanging="567"/>
    </w:pPr>
  </w:style>
  <w:style w:type="paragraph" w:styleId="Header">
    <w:name w:val="header"/>
    <w:basedOn w:val="Normal"/>
    <w:link w:val="HeaderChar"/>
    <w:rsid w:val="00E52781"/>
    <w:pPr>
      <w:tabs>
        <w:tab w:val="center" w:pos="4513"/>
        <w:tab w:val="right" w:pos="9026"/>
      </w:tabs>
    </w:pPr>
  </w:style>
  <w:style w:type="character" w:customStyle="1" w:styleId="HeaderChar">
    <w:name w:val="Header Char"/>
    <w:basedOn w:val="DefaultParagraphFont"/>
    <w:link w:val="Header"/>
    <w:rsid w:val="00E52781"/>
    <w:rPr>
      <w:sz w:val="24"/>
      <w:lang w:val="el-GR"/>
    </w:rPr>
  </w:style>
  <w:style w:type="paragraph" w:customStyle="1" w:styleId="EPFooter">
    <w:name w:val="EPFooter"/>
    <w:basedOn w:val="Normal"/>
    <w:rsid w:val="00E5278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52781"/>
    <w:rPr>
      <w:sz w:val="24"/>
      <w:lang w:val="el-GR"/>
    </w:rPr>
  </w:style>
  <w:style w:type="character" w:customStyle="1" w:styleId="PageHeadingChar">
    <w:name w:val="PageHeading Char"/>
    <w:basedOn w:val="DefaultParagraphFont"/>
    <w:link w:val="PageHeading"/>
    <w:rsid w:val="00E52781"/>
    <w:rPr>
      <w:rFonts w:ascii="Arial" w:hAnsi="Arial" w:cs="Arial"/>
      <w:b/>
      <w:sz w:val="24"/>
      <w:lang w:val="el-GR"/>
    </w:rPr>
  </w:style>
  <w:style w:type="paragraph" w:styleId="Footer">
    <w:name w:val="footer"/>
    <w:basedOn w:val="Normal"/>
    <w:link w:val="FooterChar"/>
    <w:rsid w:val="00B11AEC"/>
    <w:pPr>
      <w:tabs>
        <w:tab w:val="center" w:pos="4513"/>
        <w:tab w:val="right" w:pos="9026"/>
      </w:tabs>
    </w:pPr>
  </w:style>
  <w:style w:type="character" w:customStyle="1" w:styleId="FooterChar">
    <w:name w:val="Footer Char"/>
    <w:basedOn w:val="DefaultParagraphFont"/>
    <w:link w:val="Footer"/>
    <w:rsid w:val="00B11AEC"/>
    <w:rPr>
      <w:sz w:val="24"/>
      <w:lang w:val="el-GR"/>
    </w:rPr>
  </w:style>
  <w:style w:type="paragraph" w:styleId="ListParagraph">
    <w:name w:val="List Paragraph"/>
    <w:basedOn w:val="Normal"/>
    <w:uiPriority w:val="34"/>
    <w:qFormat/>
    <w:rsid w:val="00B11AEC"/>
    <w:pPr>
      <w:ind w:left="720"/>
      <w:contextualSpacing/>
    </w:pPr>
  </w:style>
  <w:style w:type="paragraph" w:styleId="BalloonText">
    <w:name w:val="Balloon Text"/>
    <w:basedOn w:val="Normal"/>
    <w:link w:val="BalloonTextChar"/>
    <w:rsid w:val="00B11AEC"/>
    <w:rPr>
      <w:rFonts w:ascii="Segoe UI" w:hAnsi="Segoe UI" w:cs="Segoe UI"/>
      <w:sz w:val="18"/>
      <w:szCs w:val="18"/>
    </w:rPr>
  </w:style>
  <w:style w:type="character" w:customStyle="1" w:styleId="BalloonTextChar">
    <w:name w:val="Balloon Text Char"/>
    <w:basedOn w:val="DefaultParagraphFont"/>
    <w:link w:val="BalloonText"/>
    <w:rsid w:val="00B11AE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430EA-4490-4A6D-99EB-D6C0CBF19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6274</Words>
  <Characters>36036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2024-04-23T14:41:00Z</dcterms:created>
  <dcterms:modified xsi:type="dcterms:W3CDTF">2024-04-23T14:41:00Z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A9-0071/2024</vt:lpwstr>
  </property>
  <property fmtid="{D5CDD505-2E9C-101B-9397-08002B2CF9AE}" pid="4" name="&lt;Type&gt;">
    <vt:lpwstr>RR</vt:lpwstr>
  </property>
</Properties>
</file>