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70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7061" w:rsidRDefault="00D2088F" w:rsidP="0010095E">
            <w:pPr>
              <w:pStyle w:val="EPName"/>
            </w:pPr>
            <w:r w:rsidRPr="008B7061">
              <w:t>Európai Parlament</w:t>
            </w:r>
          </w:p>
          <w:p w:rsidR="00751A4A" w:rsidRPr="008B70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706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B7061" w:rsidRDefault="00187494" w:rsidP="0010095E">
            <w:pPr>
              <w:pStyle w:val="EPLogo"/>
            </w:pPr>
            <w:r w:rsidRPr="008B70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7061" w:rsidRDefault="00D058B8" w:rsidP="004C5D52">
      <w:pPr>
        <w:pStyle w:val="LineTop"/>
      </w:pPr>
    </w:p>
    <w:p w:rsidR="00680577" w:rsidRPr="008B7061" w:rsidRDefault="00D2088F" w:rsidP="00680577">
      <w:pPr>
        <w:pStyle w:val="EPBodyTA1"/>
      </w:pPr>
      <w:r w:rsidRPr="008B7061">
        <w:t>ELFOGADOTT SZÖVEGEK</w:t>
      </w:r>
    </w:p>
    <w:p w:rsidR="00D058B8" w:rsidRPr="008B7061" w:rsidRDefault="00D058B8" w:rsidP="00D058B8">
      <w:pPr>
        <w:pStyle w:val="LineBottom"/>
      </w:pPr>
    </w:p>
    <w:p w:rsidR="00D2088F" w:rsidRPr="008B7061" w:rsidRDefault="00D2088F" w:rsidP="00D2088F">
      <w:pPr>
        <w:pStyle w:val="ATHeading1"/>
      </w:pPr>
      <w:bookmarkStart w:id="0" w:name="TANumber"/>
      <w:r w:rsidRPr="008B7061">
        <w:t>P9_</w:t>
      </w:r>
      <w:proofErr w:type="gramStart"/>
      <w:r w:rsidRPr="008B7061">
        <w:t>TA(</w:t>
      </w:r>
      <w:proofErr w:type="gramEnd"/>
      <w:r w:rsidRPr="008B7061">
        <w:t>2024)</w:t>
      </w:r>
      <w:bookmarkEnd w:id="0"/>
      <w:r w:rsidR="00061C9B" w:rsidRPr="008B7061">
        <w:t>0288</w:t>
      </w:r>
    </w:p>
    <w:p w:rsidR="00D2088F" w:rsidRPr="008B7061" w:rsidRDefault="00B47A25" w:rsidP="00D2088F">
      <w:pPr>
        <w:pStyle w:val="ATHeading2"/>
      </w:pPr>
      <w:r w:rsidRPr="008B7061">
        <w:rPr>
          <w:bCs/>
        </w:rPr>
        <w:t xml:space="preserve">2022. évi </w:t>
      </w:r>
      <w:proofErr w:type="gramStart"/>
      <w:r w:rsidRPr="008B7061">
        <w:rPr>
          <w:bCs/>
        </w:rPr>
        <w:t>mentesítés</w:t>
      </w:r>
      <w:proofErr w:type="gramEnd"/>
      <w:r w:rsidRPr="008B7061">
        <w:rPr>
          <w:bCs/>
        </w:rPr>
        <w:t xml:space="preserve">: Az EU általános költségvetése – Európai Tanács és </w:t>
      </w:r>
      <w:bookmarkStart w:id="1" w:name="_GoBack"/>
      <w:r w:rsidRPr="008B7061">
        <w:rPr>
          <w:bCs/>
        </w:rPr>
        <w:t>Tanács</w:t>
      </w:r>
    </w:p>
    <w:bookmarkEnd w:id="1"/>
    <w:p w:rsidR="00D2088F" w:rsidRPr="008B7061" w:rsidRDefault="00D2088F" w:rsidP="00D2088F">
      <w:pPr>
        <w:rPr>
          <w:i/>
          <w:vanish/>
        </w:rPr>
      </w:pPr>
      <w:r w:rsidRPr="008B7061">
        <w:rPr>
          <w:i/>
        </w:rPr>
        <w:fldChar w:fldCharType="begin"/>
      </w:r>
      <w:r w:rsidRPr="008B7061">
        <w:rPr>
          <w:i/>
        </w:rPr>
        <w:instrText xml:space="preserve"> TC"(</w:instrText>
      </w:r>
      <w:bookmarkStart w:id="2" w:name="DocNumber"/>
      <w:r w:rsidRPr="008B7061">
        <w:rPr>
          <w:i/>
        </w:rPr>
        <w:instrText>A9-0071/2024</w:instrText>
      </w:r>
      <w:bookmarkEnd w:id="2"/>
      <w:r w:rsidRPr="008B7061">
        <w:rPr>
          <w:i/>
        </w:rPr>
        <w:instrText xml:space="preserve"> - Előadó: </w:instrText>
      </w:r>
      <w:proofErr w:type="spellStart"/>
      <w:r w:rsidRPr="008B7061">
        <w:rPr>
          <w:i/>
        </w:rPr>
        <w:instrText>Luke</w:instrText>
      </w:r>
      <w:proofErr w:type="spellEnd"/>
      <w:r w:rsidRPr="008B7061">
        <w:rPr>
          <w:i/>
        </w:rPr>
        <w:instrText xml:space="preserve"> </w:instrText>
      </w:r>
      <w:proofErr w:type="spellStart"/>
      <w:r w:rsidRPr="008B7061">
        <w:rPr>
          <w:i/>
        </w:rPr>
        <w:instrText>Ming</w:instrText>
      </w:r>
      <w:proofErr w:type="spellEnd"/>
      <w:r w:rsidRPr="008B7061">
        <w:rPr>
          <w:i/>
        </w:rPr>
        <w:instrText xml:space="preserve"> </w:instrText>
      </w:r>
      <w:proofErr w:type="spellStart"/>
      <w:r w:rsidRPr="008B7061">
        <w:rPr>
          <w:i/>
        </w:rPr>
        <w:instrText>Flanagan</w:instrText>
      </w:r>
      <w:proofErr w:type="spellEnd"/>
      <w:r w:rsidRPr="008B7061">
        <w:rPr>
          <w:i/>
        </w:rPr>
        <w:instrText xml:space="preserve">)"\l3 \n&gt; \* MERGEFORMAT </w:instrText>
      </w:r>
      <w:r w:rsidRPr="008B7061">
        <w:rPr>
          <w:i/>
        </w:rPr>
        <w:fldChar w:fldCharType="end"/>
      </w:r>
    </w:p>
    <w:p w:rsidR="00D2088F" w:rsidRPr="008B7061" w:rsidRDefault="00D2088F" w:rsidP="00D2088F">
      <w:pPr>
        <w:rPr>
          <w:vanish/>
        </w:rPr>
      </w:pPr>
      <w:bookmarkStart w:id="3" w:name="Commission"/>
      <w:r w:rsidRPr="008B7061">
        <w:rPr>
          <w:vanish/>
        </w:rPr>
        <w:t>Költségvetési Ellenőrző Bizottság</w:t>
      </w:r>
      <w:bookmarkEnd w:id="3"/>
    </w:p>
    <w:p w:rsidR="00D2088F" w:rsidRPr="008B7061" w:rsidRDefault="00D2088F" w:rsidP="00D2088F">
      <w:pPr>
        <w:rPr>
          <w:vanish/>
        </w:rPr>
      </w:pPr>
      <w:bookmarkStart w:id="4" w:name="PE"/>
      <w:r w:rsidRPr="008B7061">
        <w:rPr>
          <w:vanish/>
        </w:rPr>
        <w:t>PE753.479</w:t>
      </w:r>
      <w:bookmarkEnd w:id="4"/>
    </w:p>
    <w:p w:rsidR="00D2088F" w:rsidRPr="008B7061" w:rsidRDefault="00B47A25" w:rsidP="00D2088F">
      <w:pPr>
        <w:pStyle w:val="ATHeading3"/>
      </w:pPr>
      <w:bookmarkStart w:id="5" w:name="Sujet"/>
      <w:r w:rsidRPr="008B7061">
        <w:t xml:space="preserve">1. </w:t>
      </w:r>
      <w:r w:rsidR="00D2088F" w:rsidRPr="008B7061">
        <w:t xml:space="preserve">Az Európai Parlament 2024. </w:t>
      </w:r>
      <w:r w:rsidRPr="008B7061">
        <w:t xml:space="preserve">április </w:t>
      </w:r>
      <w:r w:rsidR="002E15D4" w:rsidRPr="008B7061">
        <w:t>2</w:t>
      </w:r>
      <w:r w:rsidR="008B7061" w:rsidRPr="008B7061">
        <w:t>3</w:t>
      </w:r>
      <w:r w:rsidR="00D2088F" w:rsidRPr="008B7061">
        <w:t>-i határozata az Európai Unió 2022. évi pénzügyi évre szóló általános költségvetésének végrehajtására vonatkozó mentesítésről, II. szakasz – Európai Tanács és Tanács</w:t>
      </w:r>
      <w:bookmarkEnd w:id="5"/>
      <w:r w:rsidR="00D2088F" w:rsidRPr="008B7061">
        <w:t xml:space="preserve"> </w:t>
      </w:r>
      <w:bookmarkStart w:id="6" w:name="References"/>
      <w:r w:rsidR="00D2088F" w:rsidRPr="008B7061">
        <w:t>(2023/</w:t>
      </w:r>
      <w:proofErr w:type="gramStart"/>
      <w:r w:rsidR="00D2088F" w:rsidRPr="008B7061">
        <w:t>2131(</w:t>
      </w:r>
      <w:proofErr w:type="gramEnd"/>
      <w:r w:rsidR="00D2088F" w:rsidRPr="008B7061">
        <w:t>DEC))</w:t>
      </w:r>
      <w:bookmarkEnd w:id="6"/>
    </w:p>
    <w:p w:rsidR="00D2088F" w:rsidRPr="008B7061" w:rsidRDefault="00D2088F" w:rsidP="00D2088F"/>
    <w:p w:rsidR="0048063A" w:rsidRPr="008B7061" w:rsidRDefault="0048063A" w:rsidP="00B47A25">
      <w:pPr>
        <w:pStyle w:val="EPComma"/>
        <w:widowControl/>
        <w:spacing w:before="0"/>
        <w:ind w:left="567" w:hanging="567"/>
      </w:pPr>
      <w:bookmarkStart w:id="7" w:name="TextBodyBegin"/>
      <w:bookmarkEnd w:id="7"/>
      <w:r w:rsidRPr="008B7061">
        <w:rPr>
          <w:i/>
        </w:rPr>
        <w:t>Az Európai Parlament,</w:t>
      </w:r>
    </w:p>
    <w:p w:rsidR="0048063A" w:rsidRPr="008B7061" w:rsidRDefault="0048063A" w:rsidP="00B47A25">
      <w:pPr>
        <w:pStyle w:val="NormalHanging12a"/>
        <w:widowControl/>
      </w:pPr>
      <w:r w:rsidRPr="008B7061">
        <w:t>–</w:t>
      </w:r>
      <w:r w:rsidRPr="008B7061">
        <w:tab/>
        <w:t>tekintettel az Európai Unió 2022. pénzügyi évre vonatkozó általános költségvetésére</w:t>
      </w:r>
      <w:r w:rsidRPr="008B7061">
        <w:rPr>
          <w:rStyle w:val="FootnoteReference"/>
        </w:rPr>
        <w:footnoteReference w:id="1"/>
      </w:r>
      <w:r w:rsidRPr="008B7061">
        <w:t>,</w:t>
      </w:r>
    </w:p>
    <w:p w:rsidR="0048063A" w:rsidRPr="008B7061" w:rsidRDefault="0048063A" w:rsidP="00B47A25">
      <w:pPr>
        <w:pStyle w:val="NormalHanging12a"/>
        <w:widowControl/>
      </w:pPr>
      <w:r w:rsidRPr="008B7061">
        <w:t>–</w:t>
      </w:r>
      <w:r w:rsidRPr="008B7061">
        <w:tab/>
        <w:t>tekintettel az Európai Unió 2022. évi pénzügyi évre vonatkozó összevont éves beszámolójára (</w:t>
      </w:r>
      <w:proofErr w:type="gramStart"/>
      <w:r w:rsidRPr="008B7061">
        <w:t>COM(</w:t>
      </w:r>
      <w:proofErr w:type="gramEnd"/>
      <w:r w:rsidRPr="008B7061">
        <w:t>2023)0391 – C9-0250/2023)</w:t>
      </w:r>
      <w:r w:rsidRPr="008B7061">
        <w:rPr>
          <w:rStyle w:val="FootnoteReference"/>
        </w:rPr>
        <w:footnoteReference w:id="2"/>
      </w:r>
      <w:r w:rsidRPr="008B7061">
        <w:t>,</w:t>
      </w:r>
    </w:p>
    <w:p w:rsidR="0048063A" w:rsidRPr="008B7061" w:rsidRDefault="0048063A" w:rsidP="00B47A25">
      <w:pPr>
        <w:pStyle w:val="NormalHanging12a"/>
        <w:widowControl/>
      </w:pPr>
      <w:r w:rsidRPr="008B7061">
        <w:t>–</w:t>
      </w:r>
      <w:r w:rsidRPr="008B7061">
        <w:tab/>
        <w:t>tekintettel a Tanácsnak a 2022-ben elvégzett belső ellenőrzésekről a mentesítésért felelős hatóság számára készített éves jelentésére,</w:t>
      </w:r>
    </w:p>
    <w:p w:rsidR="0048063A" w:rsidRPr="008B7061" w:rsidRDefault="0048063A" w:rsidP="00B47A25">
      <w:pPr>
        <w:pStyle w:val="NormalHanging12a"/>
        <w:widowControl/>
      </w:pPr>
      <w:r w:rsidRPr="008B7061">
        <w:t>–</w:t>
      </w:r>
      <w:r w:rsidRPr="008B7061">
        <w:tab/>
        <w:t>tekintettel a Számvevőszéknek a 2022. évi pénzügyi év költségvetésének végrehajtásáról szóló éves jelentésére, az intézmények válaszaival együtt</w:t>
      </w:r>
      <w:r w:rsidRPr="008B7061">
        <w:rPr>
          <w:rStyle w:val="FootnoteReference"/>
        </w:rPr>
        <w:footnoteReference w:id="3"/>
      </w:r>
      <w:r w:rsidRPr="008B7061">
        <w:t>,</w:t>
      </w:r>
    </w:p>
    <w:p w:rsidR="0048063A" w:rsidRPr="008B7061" w:rsidRDefault="0048063A" w:rsidP="00B47A25">
      <w:pPr>
        <w:pStyle w:val="NormalHanging12a"/>
        <w:widowControl/>
      </w:pPr>
      <w:r w:rsidRPr="008B7061">
        <w:t>–</w:t>
      </w:r>
      <w:r w:rsidRPr="008B7061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D33656" w:rsidRPr="008B7061">
        <w:t xml:space="preserve">megbízhatósági </w:t>
      </w:r>
      <w:r w:rsidRPr="008B7061">
        <w:t>nyilatkozatára</w:t>
      </w:r>
      <w:r w:rsidRPr="008B7061">
        <w:rPr>
          <w:rStyle w:val="FootnoteReference"/>
        </w:rPr>
        <w:footnoteReference w:id="4"/>
      </w:r>
      <w:r w:rsidRPr="008B7061">
        <w:t>,</w:t>
      </w:r>
    </w:p>
    <w:p w:rsidR="0048063A" w:rsidRPr="008B7061" w:rsidRDefault="0048063A" w:rsidP="00B47A25">
      <w:pPr>
        <w:pStyle w:val="NormalHanging12a"/>
        <w:widowControl/>
      </w:pPr>
      <w:r w:rsidRPr="008B7061">
        <w:t>–</w:t>
      </w:r>
      <w:r w:rsidRPr="008B7061">
        <w:tab/>
        <w:t>tekintettel az Európai Unió működéséről szóló szerződés 314. cikkének (10) bekezdésére, valamint 317., 318. és 319. cikkére,</w:t>
      </w:r>
    </w:p>
    <w:p w:rsidR="0048063A" w:rsidRPr="008B7061" w:rsidRDefault="0048063A" w:rsidP="00B47A25">
      <w:pPr>
        <w:pStyle w:val="NormalHanging12a"/>
        <w:widowControl/>
      </w:pPr>
      <w:proofErr w:type="gramStart"/>
      <w:r w:rsidRPr="008B7061">
        <w:t>–</w:t>
      </w:r>
      <w:r w:rsidRPr="008B7061">
        <w:tab/>
        <w:t xml:space="preserve"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</w:t>
      </w:r>
      <w:r w:rsidRPr="008B7061">
        <w:lastRenderedPageBreak/>
        <w:t>parlamenti és tanácsi rendeletre</w:t>
      </w:r>
      <w:r w:rsidRPr="008B7061">
        <w:rPr>
          <w:rStyle w:val="FootnoteReference"/>
        </w:rPr>
        <w:footnoteReference w:id="5"/>
      </w:r>
      <w:r w:rsidRPr="008B7061">
        <w:t xml:space="preserve"> és különösen annak 59., 118., 260., 261. és 262. cikkére,</w:t>
      </w:r>
      <w:proofErr w:type="gramEnd"/>
    </w:p>
    <w:p w:rsidR="0048063A" w:rsidRPr="008B7061" w:rsidRDefault="0048063A" w:rsidP="00B47A25">
      <w:pPr>
        <w:pStyle w:val="NormalHanging12a"/>
        <w:widowControl/>
      </w:pPr>
      <w:r w:rsidRPr="008B7061">
        <w:t>–</w:t>
      </w:r>
      <w:r w:rsidRPr="008B7061">
        <w:tab/>
        <w:t>tekintettel eljárási szabályzata 100. cikkére és V. mellékletére,</w:t>
      </w:r>
    </w:p>
    <w:p w:rsidR="0048063A" w:rsidRPr="008B7061" w:rsidRDefault="0048063A" w:rsidP="00B47A25">
      <w:pPr>
        <w:pStyle w:val="NormalHanging12a"/>
        <w:widowControl/>
      </w:pPr>
      <w:r w:rsidRPr="008B7061">
        <w:t>–</w:t>
      </w:r>
      <w:r w:rsidRPr="008B7061">
        <w:tab/>
        <w:t>tekintettel az Alkotmányügyi Bizottság levelére,</w:t>
      </w:r>
    </w:p>
    <w:p w:rsidR="0048063A" w:rsidRPr="008B7061" w:rsidRDefault="0048063A" w:rsidP="00B47A25">
      <w:pPr>
        <w:pStyle w:val="NormalHanging12a"/>
        <w:widowControl/>
      </w:pPr>
      <w:r w:rsidRPr="008B7061">
        <w:t>–</w:t>
      </w:r>
      <w:r w:rsidRPr="008B7061">
        <w:tab/>
        <w:t>tekintettel a Költségvetési Ellenőrző Bizottság jelentésére (A9-0071/2024),</w:t>
      </w:r>
    </w:p>
    <w:p w:rsidR="0048063A" w:rsidRPr="008B7061" w:rsidRDefault="0048063A" w:rsidP="00B47A25">
      <w:pPr>
        <w:pStyle w:val="NormalHanging12a"/>
        <w:widowControl/>
      </w:pPr>
      <w:r w:rsidRPr="008B7061">
        <w:t>1.</w:t>
      </w:r>
      <w:r w:rsidRPr="008B7061">
        <w:tab/>
        <w:t xml:space="preserve">elhalasztja a Tanács főtitkára számára az Európai Tanács és a Tanács 2022. évi pénzügyi évre szóló költségvetésének végrehajtására vonatkozó </w:t>
      </w:r>
      <w:proofErr w:type="gramStart"/>
      <w:r w:rsidRPr="008B7061">
        <w:t>mentesítés</w:t>
      </w:r>
      <w:proofErr w:type="gramEnd"/>
      <w:r w:rsidRPr="008B7061">
        <w:t xml:space="preserve"> megadásáról szóló határozatát;</w:t>
      </w:r>
    </w:p>
    <w:p w:rsidR="0048063A" w:rsidRPr="008B7061" w:rsidRDefault="0048063A" w:rsidP="00B47A25">
      <w:pPr>
        <w:pStyle w:val="NormalHanging12a"/>
        <w:widowControl/>
      </w:pPr>
      <w:r w:rsidRPr="008B7061">
        <w:t>2.</w:t>
      </w:r>
      <w:r w:rsidRPr="008B7061">
        <w:tab/>
        <w:t>megjegyzéseit a mellékelt állásfoglalásban foglalja össze;</w:t>
      </w:r>
    </w:p>
    <w:p w:rsidR="0048063A" w:rsidRPr="008B7061" w:rsidRDefault="0048063A" w:rsidP="00B47A25">
      <w:pPr>
        <w:pStyle w:val="NormalHanging12a"/>
        <w:widowControl/>
      </w:pPr>
      <w:r w:rsidRPr="008B7061">
        <w:t>3.</w:t>
      </w:r>
      <w:r w:rsidRPr="008B7061">
        <w:tab/>
        <w:t>utasítja elnökét, hogy továbbítsa ezt a határozatot, valamint az annak szerves részét képező állásfoglalást az Európai Tanácsnak, a Tanácsnak, a Bizottságnak és a Számvevőszéknek</w:t>
      </w:r>
      <w:r w:rsidR="001B6BFC" w:rsidRPr="008B7061">
        <w:t>,</w:t>
      </w:r>
      <w:r w:rsidRPr="008B7061">
        <w:t xml:space="preserve"> és gondoskodjon az </w:t>
      </w:r>
      <w:r w:rsidRPr="008B7061">
        <w:rPr>
          <w:i/>
        </w:rPr>
        <w:t>Európai Unió Hivatalos Lapjában</w:t>
      </w:r>
      <w:r w:rsidRPr="008B7061">
        <w:t xml:space="preserve"> (L sorozat) való közzétételükről.</w:t>
      </w:r>
    </w:p>
    <w:p w:rsidR="0048063A" w:rsidRPr="008B7061" w:rsidRDefault="0048063A" w:rsidP="00B47A25">
      <w:pPr>
        <w:pStyle w:val="PageHeading"/>
        <w:keepNext w:val="0"/>
        <w:widowControl/>
        <w:spacing w:after="240"/>
        <w:ind w:left="567" w:hanging="567"/>
      </w:pPr>
    </w:p>
    <w:p w:rsidR="004047F3" w:rsidRPr="008B7061" w:rsidRDefault="004047F3" w:rsidP="00B47A25">
      <w:pPr>
        <w:pStyle w:val="PageHeading"/>
        <w:keepNext w:val="0"/>
        <w:widowControl/>
        <w:spacing w:after="240"/>
        <w:ind w:left="567" w:hanging="567"/>
        <w:sectPr w:rsidR="004047F3" w:rsidRPr="008B7061" w:rsidSect="00E76EF3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8063A" w:rsidRPr="008B7061" w:rsidRDefault="0048063A" w:rsidP="00B47A25">
      <w:pPr>
        <w:pStyle w:val="ATHeading3"/>
      </w:pPr>
      <w:bookmarkStart w:id="8" w:name="_Toc161818627"/>
      <w:r w:rsidRPr="008B7061">
        <w:lastRenderedPageBreak/>
        <w:t xml:space="preserve">2. </w:t>
      </w:r>
      <w:bookmarkEnd w:id="8"/>
      <w:r w:rsidR="00B47A25" w:rsidRPr="008B7061">
        <w:t xml:space="preserve">Az Európai Parlament 2024. április </w:t>
      </w:r>
      <w:r w:rsidR="002E15D4" w:rsidRPr="008B7061">
        <w:t>2</w:t>
      </w:r>
      <w:r w:rsidR="008B7061" w:rsidRPr="008B7061">
        <w:t>3</w:t>
      </w:r>
      <w:r w:rsidR="00B47A25" w:rsidRPr="008B7061">
        <w:t xml:space="preserve">-i állásfoglalása </w:t>
      </w:r>
      <w:r w:rsidRPr="008B7061">
        <w:t>az Európai Unió 2022. évi pénzügyi évre szóló általános költségvetésének végrehajtására vonatkozó mentesítésről szóló határozat szerves részét képező megjegyzésekkel, II. szakasz – Európai Tanács és Tanács</w:t>
      </w:r>
      <w:r w:rsidR="00B47A25" w:rsidRPr="008B7061">
        <w:t xml:space="preserve"> </w:t>
      </w:r>
      <w:r w:rsidRPr="008B7061">
        <w:t>(2023/</w:t>
      </w:r>
      <w:proofErr w:type="gramStart"/>
      <w:r w:rsidRPr="008B7061">
        <w:t>2131(</w:t>
      </w:r>
      <w:proofErr w:type="gramEnd"/>
      <w:r w:rsidRPr="008B7061">
        <w:t>DEC))</w:t>
      </w:r>
    </w:p>
    <w:p w:rsidR="001B6BFC" w:rsidRPr="008B7061" w:rsidRDefault="001B6BFC" w:rsidP="00B47A25">
      <w:pPr>
        <w:pStyle w:val="EPComma"/>
        <w:widowControl/>
        <w:spacing w:before="0"/>
        <w:ind w:left="567" w:hanging="567"/>
        <w:rPr>
          <w:i/>
        </w:rPr>
      </w:pPr>
    </w:p>
    <w:p w:rsidR="0048063A" w:rsidRPr="008B7061" w:rsidRDefault="0048063A" w:rsidP="00B47A25">
      <w:pPr>
        <w:pStyle w:val="EPComma"/>
        <w:widowControl/>
        <w:spacing w:before="0"/>
        <w:ind w:left="567" w:hanging="567"/>
      </w:pPr>
      <w:r w:rsidRPr="008B7061">
        <w:rPr>
          <w:i/>
        </w:rPr>
        <w:t>Az Európai Parlament,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–</w:t>
      </w:r>
      <w:r w:rsidRPr="008B7061">
        <w:tab/>
        <w:t xml:space="preserve">tekintettel az Európai Unió 2022. évi pénzügyi évre szóló általános költségvetésének végrehajtására vonatkozó </w:t>
      </w:r>
      <w:proofErr w:type="gramStart"/>
      <w:r w:rsidRPr="008B7061">
        <w:t>mentesítésről</w:t>
      </w:r>
      <w:proofErr w:type="gramEnd"/>
      <w:r w:rsidRPr="008B7061">
        <w:t xml:space="preserve"> szóló határozatára, II. szakasz – Európai Tanács és Tanács,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–</w:t>
      </w:r>
      <w:r w:rsidRPr="008B7061">
        <w:tab/>
        <w:t>tekintettel eljárási szabályzata 100. cikkére és V. mellékletére,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–</w:t>
      </w:r>
      <w:r w:rsidRPr="008B7061">
        <w:tab/>
        <w:t>tekintettel az Alkotmányügyi Bizottság levelére,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–</w:t>
      </w:r>
      <w:r w:rsidRPr="008B7061">
        <w:tab/>
        <w:t>tekintettel a Költségvetési Ellenőrző Bizottság jelentésére (A9-0071/2024),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A.</w:t>
      </w:r>
      <w:r w:rsidRPr="008B7061">
        <w:tab/>
        <w:t xml:space="preserve">mivel a mentesítésért felelős hatóság a mentesítési eljárás keretében hangsúlyozni kívánja, hogy különösen fontos az uniós intézmények demokratikus legitimitásának további erősítése az átláthatóság és az elszámoltathatóság javítása, a teljesítményalapú költségvetés-tervezés </w:t>
      </w:r>
      <w:proofErr w:type="gramStart"/>
      <w:r w:rsidRPr="008B7061">
        <w:t>koncepciójának</w:t>
      </w:r>
      <w:proofErr w:type="gramEnd"/>
      <w:r w:rsidRPr="008B7061">
        <w:t xml:space="preserve"> végrehajtása és az emberi erőforrások megfelelő irányítása révén;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B.</w:t>
      </w:r>
      <w:r w:rsidRPr="008B7061">
        <w:tab/>
        <w:t xml:space="preserve">mivel az Európai Unió működéséről szóló szerződés (EUMSZ) 319. cikke értelmében egyedül az Európai Parlament feladata az Unió általános költségvetésének végrehajtására vonatkozó felelősség alóli </w:t>
      </w:r>
      <w:proofErr w:type="gramStart"/>
      <w:r w:rsidRPr="008B7061">
        <w:t>mentesítés</w:t>
      </w:r>
      <w:proofErr w:type="gramEnd"/>
      <w:r w:rsidRPr="008B7061">
        <w:t xml:space="preserve"> megadása, és mivel az Európai Tanács és a Tanács költségvetése az Unió költségvetésének egyik szakasza;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C.</w:t>
      </w:r>
      <w:r w:rsidRPr="008B7061">
        <w:tab/>
        <w:t>mivel az Európai Unióról szóló szerződés (EUSZ) 15. cikkének (1) bekezdése értelmében az Európai Tanács nem lát el jogalkotási feladatokat;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D.</w:t>
      </w:r>
      <w:r w:rsidRPr="008B7061">
        <w:tab/>
        <w:t>mivel az EUMSZ 317. cikkének értelmében a Bizottság saját felelősségére, a hatékony és eredményes pénzgazdálkodás elveinek tiszteletben tartásával hajtja végre az uniós költségvetést, és mivel a jelenlegi keretek között a Bizottságnak át kell ruháznia a többi uniós intézményre a költségvetés rájuk vonatkozó szakaszának végrehajtásához szükséges hatásköröket;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E.</w:t>
      </w:r>
      <w:r w:rsidRPr="008B7061">
        <w:tab/>
      </w:r>
      <w:proofErr w:type="gramStart"/>
      <w:r w:rsidRPr="008B7061">
        <w:t>mivel</w:t>
      </w:r>
      <w:proofErr w:type="gramEnd"/>
      <w:r w:rsidRPr="008B7061">
        <w:t xml:space="preserve"> az EUMSZ 235. cikkének (4) bekezdése és 240. cikkének (2) bekezdése értelmében az Európai Tanácsot és a Tanácsot (a továbbiakban: a Tanács) a Tanács Főtitkársága segíti, és mivel a Tanács főtitkára teljes mértékben felelős az uniós költségvetés II. szakaszában szereplő előirányzatokkal való hatékony és eredményes gazdálkodásért;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F.</w:t>
      </w:r>
      <w:r w:rsidRPr="008B7061">
        <w:tab/>
      </w:r>
      <w:proofErr w:type="gramStart"/>
      <w:r w:rsidRPr="008B7061">
        <w:t>mivel</w:t>
      </w:r>
      <w:proofErr w:type="gramEnd"/>
      <w:r w:rsidRPr="008B7061">
        <w:t xml:space="preserve"> a Parlament közel húsz év alatt megszilárdította a jól bevált és tiszteletben tartott gyakorlatot, miszerint valamennyi uniós intézménynek, szervnek, hivatalnak és ügynökségnek mentesítést ad, és mivel a Bizottság támogatja, hogy folytatni kell azt a gyakorlatot, hogy minden uniós intézmény, szerv és hivatal számára mentesítést adnak igazgatási kiadásaik tekintetében;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lastRenderedPageBreak/>
        <w:t>G.</w:t>
      </w:r>
      <w:r w:rsidRPr="008B7061">
        <w:tab/>
      </w:r>
      <w:proofErr w:type="gramStart"/>
      <w:r w:rsidRPr="008B7061">
        <w:t>mivel</w:t>
      </w:r>
      <w:proofErr w:type="gramEnd"/>
      <w:r w:rsidRPr="008B7061">
        <w:t xml:space="preserve"> a költségvetési rendelet 59. cikkének (1) bekezdése értelmében a Bizottság átruházza a többi uniós intézményre a költségvetés rájuk vonatkozó szakaszának végrehajtásához szükséges hatásköröket;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H.</w:t>
      </w:r>
      <w:r w:rsidRPr="008B7061">
        <w:tab/>
      </w:r>
      <w:proofErr w:type="gramStart"/>
      <w:r w:rsidRPr="008B7061">
        <w:t>mivel</w:t>
      </w:r>
      <w:proofErr w:type="gramEnd"/>
      <w:r w:rsidRPr="008B7061">
        <w:t xml:space="preserve"> 2009 óta a Tanács mentesítési eljárásban való együttműködésének hiánya arra kényszerítette a Parlamentet, hogy megtagadja a mentesítés megadását a Tanács főtitkára számára;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I.</w:t>
      </w:r>
      <w:r w:rsidRPr="008B7061">
        <w:tab/>
        <w:t xml:space="preserve">mivel az Európai Tanácsnak és a </w:t>
      </w:r>
      <w:proofErr w:type="gramStart"/>
      <w:r w:rsidRPr="008B7061">
        <w:t>Tanácsnak</w:t>
      </w:r>
      <w:proofErr w:type="gramEnd"/>
      <w:r w:rsidRPr="008B7061">
        <w:t xml:space="preserve"> mint uniós intézményeknek és mint az Unió általános költségvetése címzettjeinek átláthatónak és demokratikusan elszámoltathatónak kell lenniük az uniós polgárok felé, és alá kell vetniük magukat a közpénzek elköltése feletti demokratikus ellenőrzésnek;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J.</w:t>
      </w:r>
      <w:r w:rsidRPr="008B7061">
        <w:tab/>
      </w:r>
      <w:proofErr w:type="gramStart"/>
      <w:r w:rsidRPr="008B7061">
        <w:t>mivel</w:t>
      </w:r>
      <w:proofErr w:type="gramEnd"/>
      <w:r w:rsidRPr="008B7061">
        <w:t xml:space="preserve"> az európai ombudsman (a továbbiakban: az ombudsman) ajánlása a Tanács jogalkotási folyamatának átláthatóságára vonatkozó OI/2/2017/TE sz. stratégiai vizsgálatban jelezte, hogy a Tanácsnak a jogalkotási folyamat átláthatóságával kapcsolatos gyakorlata hivatali visszásságnak minősül, és azzal foglalkozni kell annak érdekében, hogy a polgárok követhessék az uniós jogalkotási folyamatot;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K.</w:t>
      </w:r>
      <w:r w:rsidRPr="008B7061">
        <w:tab/>
      </w:r>
      <w:proofErr w:type="gramStart"/>
      <w:r w:rsidRPr="008B7061">
        <w:t xml:space="preserve">mivel az Európai Unió Bíróságának ítélkezési gyakorlata megerősíti az adófizetők és a közvélemény jogát arra, hogy tájékoztatást kapjanak az állami bevételek felhasználásáról, és hogy a Törvényszék az uniós jogalkotási folyamat átláthatóságáról szóló T-163/21. sz. De </w:t>
      </w:r>
      <w:proofErr w:type="spellStart"/>
      <w:r w:rsidRPr="008B7061">
        <w:t>Capitani</w:t>
      </w:r>
      <w:proofErr w:type="spellEnd"/>
      <w:r w:rsidRPr="008B7061">
        <w:t xml:space="preserve"> kontra Tanács ügyben 2023. január 25-én hozott ítéletében</w:t>
      </w:r>
      <w:r w:rsidRPr="008B7061">
        <w:rPr>
          <w:rStyle w:val="FootnoteReference"/>
          <w:szCs w:val="24"/>
        </w:rPr>
        <w:footnoteReference w:id="6"/>
      </w:r>
      <w:r w:rsidRPr="008B7061">
        <w:t xml:space="preserve"> megállapította, hogy a Tanács által a munkacsoportjaiban kidolgozott dokumentumok nem technikai jellegűnek, hanem jogalkotási jellegűnek tekintendők, ezért a dokumentumokhoz való hozzáférés iránti kérelmek tárgyát képezik;</w:t>
      </w:r>
      <w:proofErr w:type="gramEnd"/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1.</w:t>
      </w:r>
      <w:r w:rsidRPr="008B7061">
        <w:tab/>
      </w:r>
      <w:proofErr w:type="spellStart"/>
      <w:r w:rsidRPr="008B7061">
        <w:t>megjegyzi</w:t>
      </w:r>
      <w:proofErr w:type="spellEnd"/>
      <w:r w:rsidRPr="008B7061">
        <w:t>, hogy a Tanács költségvetése a többéves pénzügyi keret „Európai közigazgatás” elnevezésű 7. fejezetébe tartozik, amely 2022-ben 11,6 milliárd EUR-t tett ki (ami az összes uniós kiadás 5,9%-</w:t>
      </w:r>
      <w:proofErr w:type="spellStart"/>
      <w:r w:rsidRPr="008B7061">
        <w:t>ának</w:t>
      </w:r>
      <w:proofErr w:type="spellEnd"/>
      <w:r w:rsidRPr="008B7061">
        <w:t xml:space="preserve"> felel meg); </w:t>
      </w:r>
      <w:proofErr w:type="spellStart"/>
      <w:r w:rsidRPr="008B7061">
        <w:t>megjegyzi</w:t>
      </w:r>
      <w:proofErr w:type="spellEnd"/>
      <w:r w:rsidRPr="008B7061">
        <w:t xml:space="preserve">, hogy a Tanács mintegy 0,6 milliárd </w:t>
      </w:r>
      <w:r w:rsidR="00B47A25" w:rsidRPr="008B7061">
        <w:t>EUR-ós</w:t>
      </w:r>
      <w:r w:rsidRPr="008B7061">
        <w:t xml:space="preserve"> költségvetése az Unió teljes igazgatási kiadásának mintegy 5,3%-át teszi ki;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proofErr w:type="gramStart"/>
      <w:r w:rsidRPr="008B7061">
        <w:t>2.</w:t>
      </w:r>
      <w:r w:rsidRPr="008B7061">
        <w:tab/>
      </w:r>
      <w:proofErr w:type="spellStart"/>
      <w:r w:rsidRPr="008B7061">
        <w:t>megjegyzi</w:t>
      </w:r>
      <w:proofErr w:type="spellEnd"/>
      <w:r w:rsidRPr="008B7061">
        <w:t xml:space="preserve">, hogy a Számvevőszék a 2022-es pénzügyi évre vonatkozó éves jelentésében 60 ügyletből álló mintát vizsgált, ugyanannyit, mint amennyit 2021-ben vizsgáltak; </w:t>
      </w:r>
      <w:proofErr w:type="spellStart"/>
      <w:r w:rsidRPr="008B7061">
        <w:t>megjegyzi</w:t>
      </w:r>
      <w:proofErr w:type="spellEnd"/>
      <w:r w:rsidRPr="008B7061">
        <w:t xml:space="preserve"> továbbá, hogy a Számvevőszék szerint az igazgatási kiadások magukban foglalják a humánerőforrás-kiadásokat, beleértve a nyugdíjkiadásokat is, amelyek 2022-ben az összes igazgatási kiadás mintegy 70%-át tették ki, valamint az épületekre, berendezésekre, energiára, kommunikációra és informatikára fordított kiadásokat, és hogy az évek során végzett munkája azt mutatja, hogy ezek a kiadások összességében alacsony kockázatúak;</w:t>
      </w:r>
      <w:proofErr w:type="gramEnd"/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3.</w:t>
      </w:r>
      <w:r w:rsidRPr="008B7061">
        <w:tab/>
        <w:t>megállapítja, hogy a 60 ügyletből 14 (23%) esetében merült fel hiba, de a számszerűsített öt hiba alapján a Számvevőszék által becsült hibaszint nem éri el a lényegességi küszöböt;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4.</w:t>
      </w:r>
      <w:r w:rsidRPr="008B7061">
        <w:tab/>
        <w:t xml:space="preserve">elégedetten veszi tudomásul, hogy a Számvevőszék a 2022. évi pénzügyi évre vonatkozó éves jelentésében is </w:t>
      </w:r>
      <w:proofErr w:type="spellStart"/>
      <w:r w:rsidRPr="008B7061">
        <w:t>megjegyzi</w:t>
      </w:r>
      <w:proofErr w:type="spellEnd"/>
      <w:r w:rsidRPr="008B7061">
        <w:t xml:space="preserve">, hogy nem tárt fel </w:t>
      </w:r>
      <w:proofErr w:type="gramStart"/>
      <w:r w:rsidRPr="008B7061">
        <w:t>konkrét</w:t>
      </w:r>
      <w:proofErr w:type="gramEnd"/>
      <w:r w:rsidRPr="008B7061">
        <w:t xml:space="preserve"> problémákat a Tanáccsal kapcsolatban;</w:t>
      </w:r>
    </w:p>
    <w:p w:rsidR="0048063A" w:rsidRPr="008B7061" w:rsidRDefault="0048063A" w:rsidP="00B47A25">
      <w:pPr>
        <w:pStyle w:val="NormalHanging12a"/>
        <w:widowControl/>
        <w:rPr>
          <w:b/>
          <w:i/>
          <w:szCs w:val="24"/>
        </w:rPr>
      </w:pPr>
      <w:r w:rsidRPr="008B7061">
        <w:rPr>
          <w:b/>
          <w:i/>
        </w:rPr>
        <w:lastRenderedPageBreak/>
        <w:t xml:space="preserve">A mentesítési eljárás </w:t>
      </w:r>
      <w:proofErr w:type="gramStart"/>
      <w:r w:rsidRPr="008B7061">
        <w:rPr>
          <w:b/>
          <w:i/>
        </w:rPr>
        <w:t>aktuális</w:t>
      </w:r>
      <w:proofErr w:type="gramEnd"/>
      <w:r w:rsidRPr="008B7061">
        <w:rPr>
          <w:b/>
          <w:i/>
        </w:rPr>
        <w:t xml:space="preserve"> helyzete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5.</w:t>
      </w:r>
      <w:r w:rsidRPr="008B7061">
        <w:tab/>
        <w:t xml:space="preserve">mély sajnálatát fejezi ki amiatt, hogy 2009 óta és a 2021-es pénzügyi évre vonatkozóan is a Parlamentnek meg kellett tagadnia a </w:t>
      </w:r>
      <w:proofErr w:type="gramStart"/>
      <w:r w:rsidRPr="008B7061">
        <w:t>mentesítést</w:t>
      </w:r>
      <w:proofErr w:type="gramEnd"/>
      <w:r w:rsidRPr="008B7061">
        <w:t xml:space="preserve"> a Tanács számára, mivel a Tanács továbbra sem hajlandó együttműködni a Parlamenttel a mentesítési eljárás tekintetében, megakadályozva, hogy a Parlament megalapozott döntést hozzon a Tanács költségvetése végrehajtásának súlyos és alapos ellenőrzése alapján;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 xml:space="preserve">6. </w:t>
      </w:r>
      <w:r w:rsidRPr="008B7061">
        <w:tab/>
      </w:r>
      <w:proofErr w:type="spellStart"/>
      <w:r w:rsidRPr="008B7061">
        <w:t>megjegyzi</w:t>
      </w:r>
      <w:proofErr w:type="spellEnd"/>
      <w:r w:rsidRPr="008B7061">
        <w:t xml:space="preserve">, hogy a Parlament illetékes szolgálatai a </w:t>
      </w:r>
      <w:proofErr w:type="gramStart"/>
      <w:r w:rsidRPr="008B7061">
        <w:t>mentesítési</w:t>
      </w:r>
      <w:proofErr w:type="gramEnd"/>
      <w:r w:rsidRPr="008B7061">
        <w:t xml:space="preserve"> eljárás előadójának nevében 2023. szeptember 28-án kérdőívet továbbítottak a Tanács Főtitkárságának, amely 74, a Parlament által feltett fontos kérdést tartalmazott annak érdekében, hogy lehetővé váljon a tanácsi költségvetés végrehajtásának és a Tanács irányításának alapos ellenőrzése; </w:t>
      </w:r>
      <w:proofErr w:type="spellStart"/>
      <w:r w:rsidRPr="008B7061">
        <w:t>megjegyzi</w:t>
      </w:r>
      <w:proofErr w:type="spellEnd"/>
      <w:r w:rsidRPr="008B7061">
        <w:t xml:space="preserve"> továbbá, hogy hasonló kérdőíveket küldtek az összes többi intézménynek, amelyek mindegyike alapos választ adott a Parlamentnek valamennyi kérdésre;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7.</w:t>
      </w:r>
      <w:r w:rsidRPr="008B7061">
        <w:tab/>
        <w:t xml:space="preserve">sajnálatát fejezi ki amiatt, hogy 2023. október 12-én a Tanács Főtitkársága ismét arról tájékoztatta a Parlamentet, hogy nem fog válaszolni a Parlament kérdőívére, és hogy a Tanács nem fog részt venni a </w:t>
      </w:r>
      <w:proofErr w:type="gramStart"/>
      <w:r w:rsidRPr="008B7061">
        <w:t>mentesítési</w:t>
      </w:r>
      <w:proofErr w:type="gramEnd"/>
      <w:r w:rsidRPr="008B7061">
        <w:t xml:space="preserve"> eljárás részeként 2023. október 25-én tartott meghallgatáson, amelyen az összes többi meghívott intézmény részt vett;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8.</w:t>
      </w:r>
      <w:r w:rsidRPr="008B7061">
        <w:tab/>
        <w:t xml:space="preserve">hangsúlyozza a Parlament azon előjogát, hogy az EUMSZ 319. cikke, valamint a költségvetési rendelet és a Parlament eljárási szabályzata vonatkozó rendelkezései szerint, a jelenlegi értelmezéssel és gyakorlattal összhangban gyakorolhassa </w:t>
      </w:r>
      <w:proofErr w:type="gramStart"/>
      <w:r w:rsidRPr="008B7061">
        <w:t>mentesítési</w:t>
      </w:r>
      <w:proofErr w:type="gramEnd"/>
      <w:r w:rsidRPr="008B7061">
        <w:t xml:space="preserve"> jogkörét, azaz az átláthatóság fenntartása és az uniós adófizetőkkel szembeni demokratikus elszámoltathatóság biztosítása érdekében mentesítést adjon;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9.</w:t>
      </w:r>
      <w:r w:rsidRPr="008B7061">
        <w:tab/>
        <w:t>hangsúlyozza, hogy a költségvetési rendelet 59. cikkének (1) bekezdése kimondja, hogy a Bizottság a többi uniós intézményre ruházza a költségvetés rájuk vonatkozó szakaszainak végrehajtásához szükséges hatásköröket, és ezért érthetetlennek tartja, hogy a Tanács helyénvalónak tartja a Bizottság mentesítését a Tanács költségvetésének végrehajtására vonatkozóan;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10.</w:t>
      </w:r>
      <w:r w:rsidRPr="008B7061">
        <w:tab/>
        <w:t xml:space="preserve">hangsúlyozza a Parlament által közel húsz éve követett, jól bevált és tiszteletben tartott gyakorlatot, miszerint valamennyi uniós intézménynek, szervnek és hivatalnak </w:t>
      </w:r>
      <w:proofErr w:type="gramStart"/>
      <w:r w:rsidRPr="008B7061">
        <w:t>mentesítést</w:t>
      </w:r>
      <w:proofErr w:type="gramEnd"/>
      <w:r w:rsidRPr="008B7061">
        <w:t xml:space="preserve"> ad; emlékeztet arra, hogy a Bizottság kijelentette, hogy nem képes felügyelni a többi uniós intézmény költségvetésének végrehajtását; hangsúlyozza a Bizottság azon ismételt álláspontját, hogy továbbra is folytatni kell a Parlament szintjén az egyes uniós intézmények igazgatási kiadásai tekintetében a mentesítés megadásának gyakorlatát;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11.</w:t>
      </w:r>
      <w:r w:rsidRPr="008B7061">
        <w:tab/>
        <w:t xml:space="preserve">hangsúlyozza, hogy a jelenlegi helyzet lehetővé teszi a Parlament számára, hogy csak a Számvevőszék és az ombudsman jelentéseit, valamint a Tanács honlapján nyilvánosan hozzáférhető </w:t>
      </w:r>
      <w:proofErr w:type="gramStart"/>
      <w:r w:rsidRPr="008B7061">
        <w:t>információkat</w:t>
      </w:r>
      <w:proofErr w:type="gramEnd"/>
      <w:r w:rsidRPr="008B7061">
        <w:t xml:space="preserve"> ellenőrizze, mivel a Tanács továbbra sem működik együtt a Parlamenttel, ami lehetetlenné teszi a Parlament számára, hogy megfelelően </w:t>
      </w:r>
      <w:proofErr w:type="spellStart"/>
      <w:r w:rsidRPr="008B7061">
        <w:t>ellássa</w:t>
      </w:r>
      <w:proofErr w:type="spellEnd"/>
      <w:r w:rsidRPr="008B7061">
        <w:t xml:space="preserve"> feladatait, és megalapozott döntést hozzon a mentesítés megadásáról;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12.</w:t>
      </w:r>
      <w:r w:rsidRPr="008B7061">
        <w:tab/>
        <w:t xml:space="preserve">sajnálatát fejezi ki amiatt, hogy a Tanács több mint egy évtizede nem mutat politikai hajlandóságot arra, hogy </w:t>
      </w:r>
      <w:proofErr w:type="spellStart"/>
      <w:r w:rsidRPr="008B7061">
        <w:t>együttműködjön</w:t>
      </w:r>
      <w:proofErr w:type="spellEnd"/>
      <w:r w:rsidRPr="008B7061">
        <w:t xml:space="preserve"> a Parlamenttel az éves mentesítési eljárás keretében; hangsúlyozza, hogy ez a hozzáállás tartós negatív hatást gyakorolt mindkét intézményre, hiteltelenné tette az uniós költségvetési gazdálkodást és a költségvetés </w:t>
      </w:r>
      <w:r w:rsidRPr="008B7061">
        <w:lastRenderedPageBreak/>
        <w:t xml:space="preserve">demokratikus ellenőrzését, valamint megingatta a polgároknak az </w:t>
      </w:r>
      <w:proofErr w:type="gramStart"/>
      <w:r w:rsidRPr="008B7061">
        <w:t>Unióba</w:t>
      </w:r>
      <w:proofErr w:type="gramEnd"/>
      <w:r w:rsidRPr="008B7061">
        <w:t xml:space="preserve"> mint átlátható szervezetbe vetett bizalmát;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13.</w:t>
      </w:r>
      <w:r w:rsidRPr="008B7061">
        <w:tab/>
        <w:t xml:space="preserve">emlékeztet arra, hogy az Európai Unió Bíróságának ítélkezési gyakorlata támogatja az adófizetők és a közvélemény jogát arra, hogy tájékoztatást kapjanak az állami bevételek felhasználásáról; ezért kéri a Parlament előjogának és a demokratikus elszámoltathatóság elve tekintetében játszott szerepének teljes mértékű tiszteletben tartását; felhívja a Tanácsot, hogy megfelelően kövesse nyomon a Parlament által a </w:t>
      </w:r>
      <w:proofErr w:type="gramStart"/>
      <w:r w:rsidRPr="008B7061">
        <w:t>mentesítési</w:t>
      </w:r>
      <w:proofErr w:type="gramEnd"/>
      <w:r w:rsidRPr="008B7061">
        <w:t xml:space="preserve"> eljárás keretében elfogadott ajánlásokat;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14.</w:t>
      </w:r>
      <w:r w:rsidRPr="008B7061">
        <w:tab/>
        <w:t xml:space="preserve">felhívja a Tanácsot, hogy a lehető leghamarabb folytassa a tárgyalásokat a Parlamenttel a legmagasabb szinten, bevonva a főtitkárokat és a két intézmény elnökét a patthelyzet megszüntetése és a megoldás megtalálása érdekében, tiszteletben tartva ugyanakkor a Parlament és a Tanács szerepét a </w:t>
      </w:r>
      <w:proofErr w:type="gramStart"/>
      <w:r w:rsidRPr="008B7061">
        <w:t>mentesítési</w:t>
      </w:r>
      <w:proofErr w:type="gramEnd"/>
      <w:r w:rsidRPr="008B7061">
        <w:t xml:space="preserve"> eljárásban, valamint biztosítva a költségvetés végrehajtásának átláthatóságát és megfelelő demokratikus ellenőrzését;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proofErr w:type="gramStart"/>
      <w:r w:rsidRPr="008B7061">
        <w:t>15.</w:t>
      </w:r>
      <w:r w:rsidRPr="008B7061">
        <w:tab/>
        <w:t>hangsúlyozza, hogy bár a jelenlegi helyzetet javítani kell az intézmények közötti, a Szerződések keretein belüli jobb együttműködés révén, a Szerződések felülvizsgálata egyértelműbbé és átláthatóbbá tehetné a mentesítési eljárást abban a tekintetben, hogy a Parlament számára kifejezett hatáskört biztosítanak arra, hogy külön-külön adjon mentesítést valamennyi uniós intézménynek, szervnek és hivatalnak; hangsúlyozza azonban, hogy egy ilyen felülvizsgálatig a jelenlegi helyzetet a Szerződések jelenlegi keretén belüli jobb intézményközi együttműködés révén javítani kell, és sürgeti a Tanácsot,</w:t>
      </w:r>
      <w:proofErr w:type="gramEnd"/>
      <w:r w:rsidRPr="008B7061">
        <w:t xml:space="preserve"> hogy </w:t>
      </w:r>
      <w:proofErr w:type="gramStart"/>
      <w:r w:rsidRPr="008B7061">
        <w:t>aktívan</w:t>
      </w:r>
      <w:proofErr w:type="gramEnd"/>
      <w:r w:rsidRPr="008B7061">
        <w:t xml:space="preserve"> működjön együtt a Parlamenttel a jelenlegi helyzet kezelése érdekében;</w:t>
      </w:r>
    </w:p>
    <w:p w:rsidR="0048063A" w:rsidRPr="008B7061" w:rsidRDefault="0048063A" w:rsidP="00B47A25">
      <w:pPr>
        <w:pStyle w:val="NormalHanging12a"/>
        <w:widowControl/>
      </w:pPr>
      <w:r w:rsidRPr="008B7061">
        <w:t>16.</w:t>
      </w:r>
      <w:r w:rsidRPr="008B7061">
        <w:tab/>
      </w:r>
      <w:proofErr w:type="spellStart"/>
      <w:r w:rsidRPr="008B7061">
        <w:t>megjegyzi</w:t>
      </w:r>
      <w:proofErr w:type="spellEnd"/>
      <w:r w:rsidRPr="008B7061">
        <w:t xml:space="preserve">, hogy annak ellenére, hogy a Tanács nem hajlandó együttműködni a mentesítési eljárás során, a Parlament ebben az állásfoglalásban mindazonáltal rámutat néhány politikai prioritásra, és észrevételeket tesz a Tanács költségvetési és pénzgazdálkodásával, valamint egyéb, a mentesítési eljárás szempontjából releváns </w:t>
      </w:r>
      <w:proofErr w:type="gramStart"/>
      <w:r w:rsidRPr="008B7061">
        <w:t>aspektussal</w:t>
      </w:r>
      <w:proofErr w:type="gramEnd"/>
      <w:r w:rsidRPr="008B7061">
        <w:t xml:space="preserve"> kapcsolatban;</w:t>
      </w:r>
    </w:p>
    <w:p w:rsidR="00A45D81" w:rsidRPr="008B7061" w:rsidRDefault="00A45D81" w:rsidP="00B47A25">
      <w:pPr>
        <w:pStyle w:val="NormalHanging12a"/>
        <w:widowControl/>
        <w:rPr>
          <w:szCs w:val="24"/>
        </w:rPr>
      </w:pPr>
      <w:proofErr w:type="gramStart"/>
      <w:r w:rsidRPr="008B7061">
        <w:rPr>
          <w:szCs w:val="24"/>
        </w:rPr>
        <w:t>1</w:t>
      </w:r>
      <w:r w:rsidR="00061C9B" w:rsidRPr="008B7061">
        <w:rPr>
          <w:szCs w:val="24"/>
        </w:rPr>
        <w:t>7</w:t>
      </w:r>
      <w:r w:rsidRPr="008B7061">
        <w:rPr>
          <w:szCs w:val="24"/>
        </w:rPr>
        <w:t>.</w:t>
      </w:r>
      <w:r w:rsidRPr="008B7061">
        <w:rPr>
          <w:szCs w:val="24"/>
        </w:rPr>
        <w:tab/>
      </w:r>
      <w:r w:rsidR="008B7061" w:rsidRPr="008B7061">
        <w:rPr>
          <w:szCs w:val="24"/>
        </w:rPr>
        <w:t>e</w:t>
      </w:r>
      <w:r w:rsidRPr="008B7061">
        <w:rPr>
          <w:szCs w:val="24"/>
        </w:rPr>
        <w:t>mlékeztet arra, hogy mivel Oroszország 2022. február 24. óta jogellenes, provokáció nélkül indított és indokolatlan, teljes körű agresszív háborút folytat Ukrajna ellen, az U</w:t>
      </w:r>
      <w:r w:rsidR="008B7061" w:rsidRPr="008B7061">
        <w:rPr>
          <w:szCs w:val="24"/>
        </w:rPr>
        <w:t>nió</w:t>
      </w:r>
      <w:r w:rsidRPr="008B7061">
        <w:rPr>
          <w:szCs w:val="24"/>
        </w:rPr>
        <w:t xml:space="preserve"> és tagállamai támogatást ajánlottak fel Ukrajnának és népének; emlékeztet a lőszerekre vonatkozó kezdeményezésre, amelynek eredetileg az volt a célja, hogy 2024 márciusáig </w:t>
      </w:r>
      <w:r w:rsidR="008B7061" w:rsidRPr="008B7061">
        <w:rPr>
          <w:szCs w:val="24"/>
        </w:rPr>
        <w:t>egy</w:t>
      </w:r>
      <w:r w:rsidRPr="008B7061">
        <w:rPr>
          <w:szCs w:val="24"/>
        </w:rPr>
        <w:t xml:space="preserve"> millió darab 155 mm</w:t>
      </w:r>
      <w:r w:rsidRPr="008B7061">
        <w:rPr>
          <w:szCs w:val="24"/>
        </w:rPr>
        <w:noBreakHyphen/>
        <w:t>es lövedéket biztosítson Ukrajnának, de addig az időpontig ennek a mennyiségnek csak körülbelül a felét szállította le; sürgeti a Bizottságot és a tagállamokat, hogy haladéktalanul gyorsítsák fel a lőszerek gyártását, beszerzését</w:t>
      </w:r>
      <w:proofErr w:type="gramEnd"/>
      <w:r w:rsidRPr="008B7061">
        <w:rPr>
          <w:szCs w:val="24"/>
        </w:rPr>
        <w:t xml:space="preserve"> </w:t>
      </w:r>
      <w:proofErr w:type="gramStart"/>
      <w:r w:rsidRPr="008B7061">
        <w:rPr>
          <w:szCs w:val="24"/>
        </w:rPr>
        <w:t xml:space="preserve">és Ukrajnába történő szállítását; rámutat, hogy az ukrán kormány arra kérte európai szövetségeseit, hogy a </w:t>
      </w:r>
      <w:r w:rsidR="008B7061" w:rsidRPr="008B7061">
        <w:rPr>
          <w:szCs w:val="24"/>
        </w:rPr>
        <w:t>tagállamok</w:t>
      </w:r>
      <w:r w:rsidRPr="008B7061">
        <w:rPr>
          <w:szCs w:val="24"/>
        </w:rPr>
        <w:t xml:space="preserve">ban rendelkezésre álló mintegy 30 </w:t>
      </w:r>
      <w:proofErr w:type="spellStart"/>
      <w:r w:rsidRPr="008B7061">
        <w:rPr>
          <w:szCs w:val="24"/>
        </w:rPr>
        <w:t>Patriot</w:t>
      </w:r>
      <w:proofErr w:type="spellEnd"/>
      <w:r w:rsidRPr="008B7061">
        <w:rPr>
          <w:szCs w:val="24"/>
        </w:rPr>
        <w:t xml:space="preserve"> rakétavédelmi rendszerből 7-et szállítsanak </w:t>
      </w:r>
      <w:r w:rsidR="008B7061" w:rsidRPr="008B7061">
        <w:rPr>
          <w:szCs w:val="24"/>
        </w:rPr>
        <w:t>Ukrajnának</w:t>
      </w:r>
      <w:r w:rsidRPr="008B7061">
        <w:rPr>
          <w:szCs w:val="24"/>
        </w:rPr>
        <w:t>, hogy a polgári infrastruktúra orosz agresszióval szembeni megfelelőbb védelme érdekében; sajnálatát fejezi ki amiatt, hogy eddig csak egy tagállam tett ígéretet egy további rendszer biztosítására, és sürgeti az Európai Tanácsot, hogy gyorsítsa fel a döntéshozatali folyamatot, és különítsen el forrásokat Ukrajna szükséges légvédelmi képességeinek biztosítására; hangsúlyozza, hogy a Parlamen</w:t>
      </w:r>
      <w:proofErr w:type="gramEnd"/>
      <w:r w:rsidRPr="008B7061">
        <w:rPr>
          <w:szCs w:val="24"/>
        </w:rPr>
        <w:t xml:space="preserve">t </w:t>
      </w:r>
      <w:proofErr w:type="gramStart"/>
      <w:r w:rsidRPr="008B7061">
        <w:rPr>
          <w:szCs w:val="24"/>
        </w:rPr>
        <w:t>nem</w:t>
      </w:r>
      <w:proofErr w:type="gramEnd"/>
      <w:r w:rsidRPr="008B7061">
        <w:rPr>
          <w:szCs w:val="24"/>
        </w:rPr>
        <w:t xml:space="preserve"> adja meg a mentesítést a Tanács számára a Parlament ajánlásai végrehajtásának elmulasztása miatt, valamint mindaddig, amíg az Ukrajnának nyújtott szükséges támogatás nem kerül megfelelően a költségvetésbe;  megerősíti szolidaritását Ukrajnával, és hangsúlyozza annak fontosságát, hogy az európai vezetők határozottan lépjenek fel ukrán partnereink sürgős biztonsági szükségleteinek kezelése érdekében;</w:t>
      </w:r>
    </w:p>
    <w:p w:rsidR="0048063A" w:rsidRPr="008B7061" w:rsidRDefault="0048063A" w:rsidP="00B47A25">
      <w:pPr>
        <w:pStyle w:val="NormalHanging12a"/>
        <w:widowControl/>
        <w:rPr>
          <w:b/>
          <w:i/>
          <w:szCs w:val="24"/>
        </w:rPr>
      </w:pPr>
      <w:r w:rsidRPr="008B7061">
        <w:rPr>
          <w:b/>
          <w:i/>
        </w:rPr>
        <w:lastRenderedPageBreak/>
        <w:t>Politikai prioritások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18</w:t>
      </w:r>
      <w:r w:rsidR="0048063A" w:rsidRPr="008B7061">
        <w:t>.</w:t>
      </w:r>
      <w:r w:rsidR="0048063A" w:rsidRPr="008B7061">
        <w:tab/>
        <w:t>sajnálatát fejezi ki amiatt, hogy a Tanács számos uniós intézmény, szerv, hivatal és ügynökség esetében olyan módon gyakorolja a jelölési és kinevezési eljárásokkal kapcsolatos előjogát, hogy nem veszi figyelembe az érdekelt felek véleményét, vagy az Európai Csalás Elleni Hivatal (OLAF) ajánlásait;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19</w:t>
      </w:r>
      <w:r w:rsidR="0048063A" w:rsidRPr="008B7061">
        <w:t xml:space="preserve">. </w:t>
      </w:r>
      <w:r w:rsidR="0048063A" w:rsidRPr="008B7061">
        <w:tab/>
        <w:t>hangsúlyozza, hogy a Tanács hagyománya, hogy a legtöbb pozíció esetében nem kérdőjelezi meg az egyes tagállamok kinevezését, azt jelenti, hogy a jelöltek szakmai képesítését nem ellenőrzik alaposan; kitart ezért amellett, hogy felül kell vizsgálni a Tanácsnak ezt az előjogát az érintett intézmények, szervek, hivatalok és ügynökségek részvételének biztosítása és megerősítése, valamint a kinevezett személyek legitimitásának fokozása céljából; javasolja, hogy az egyik lehetőség annak biztosítására, hogy a jelöltek rendelkezzenek a szükséges képesítéssel, az lenne, ha független szakértői testületeket</w:t>
      </w:r>
      <w:proofErr w:type="gramEnd"/>
      <w:r w:rsidR="0048063A" w:rsidRPr="008B7061">
        <w:t xml:space="preserve"> </w:t>
      </w:r>
      <w:proofErr w:type="gramStart"/>
      <w:r w:rsidR="0048063A" w:rsidRPr="008B7061">
        <w:t>hoznának</w:t>
      </w:r>
      <w:proofErr w:type="gramEnd"/>
      <w:r w:rsidR="0048063A" w:rsidRPr="008B7061">
        <w:t xml:space="preserve"> létre, amelyek ilyen ellenőrzéseket végeznek;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20</w:t>
      </w:r>
      <w:r w:rsidR="0048063A" w:rsidRPr="008B7061">
        <w:t>.</w:t>
      </w:r>
      <w:r w:rsidR="0048063A" w:rsidRPr="008B7061">
        <w:tab/>
        <w:t xml:space="preserve">emlékeztet arra, hogy az EUMSZ 286. cikkének (2) bekezdése értelmében a Tanács a Parlamenttel folytatott </w:t>
      </w:r>
      <w:proofErr w:type="gramStart"/>
      <w:r w:rsidR="0048063A" w:rsidRPr="008B7061">
        <w:t>konzultációt</w:t>
      </w:r>
      <w:proofErr w:type="gramEnd"/>
      <w:r w:rsidR="0048063A" w:rsidRPr="008B7061">
        <w:t xml:space="preserve"> követően nevezi ki a Számvevőszék tagjait; sajnálja, hogy a Tanács ismételten elmulasztotta figyelembe venni a Számvevőszék tagjainak kinevezésével kapcsolatban a Parlament – konzultatív szerepe keretében tett – ajánlásait;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21</w:t>
      </w:r>
      <w:r w:rsidR="0048063A" w:rsidRPr="008B7061">
        <w:t>.</w:t>
      </w:r>
      <w:r w:rsidR="0048063A" w:rsidRPr="008B7061">
        <w:tab/>
        <w:t xml:space="preserve">rámutat a nemek közötti súlyos egyensúlyhiányra a Számvevőszéken belül, ahol 2022 végén mindössze 9 női tag volt, szemben a 17 férfi taggal; </w:t>
      </w:r>
      <w:proofErr w:type="spellStart"/>
      <w:r w:rsidR="0048063A" w:rsidRPr="008B7061">
        <w:t>megjegyzi</w:t>
      </w:r>
      <w:proofErr w:type="spellEnd"/>
      <w:r w:rsidR="0048063A" w:rsidRPr="008B7061">
        <w:t>, hogy a jelenlegi kinevezési eljárás miatt nehézségekbe ütközik a nemek közötti egyensúly elérése a Számvevőszéken belül; ismételten felhívja a Tanácsot, hogy vizsgálja felül a kinevezési eljárást azzal a céllal, hogy ezt a problémát konkrét intézkedésekkel kezelje, például kötelezővé téve a tagállamok számára legalább két különböző nemű jelölt jelölését minden egyes megüresedett helyre;</w:t>
      </w:r>
      <w:proofErr w:type="gramEnd"/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22</w:t>
      </w:r>
      <w:r w:rsidR="0048063A" w:rsidRPr="008B7061">
        <w:t>.</w:t>
      </w:r>
      <w:r w:rsidR="0048063A" w:rsidRPr="008B7061">
        <w:tab/>
        <w:t xml:space="preserve">sajnálatát fejezi ki amiatt, hogy a Tanács eddig figyelmen kívül hagyta a nemek közötti egyenlőséggel foglalkozó tanácsi </w:t>
      </w:r>
      <w:proofErr w:type="gramStart"/>
      <w:r w:rsidR="0048063A" w:rsidRPr="008B7061">
        <w:t>formáció</w:t>
      </w:r>
      <w:proofErr w:type="gramEnd"/>
      <w:r w:rsidR="0048063A" w:rsidRPr="008B7061">
        <w:t xml:space="preserve"> szükségességéről szóló, 2020. december 17-i parlamenti állásfoglalást</w:t>
      </w:r>
      <w:r w:rsidR="0048063A" w:rsidRPr="008B7061">
        <w:rPr>
          <w:rStyle w:val="FootnoteReference"/>
          <w:szCs w:val="24"/>
        </w:rPr>
        <w:footnoteReference w:id="7"/>
      </w:r>
      <w:r w:rsidR="0048063A" w:rsidRPr="008B7061">
        <w:t>, és kitart amellett, hogy egy külön erre a célra létrehozott intézményi fórum biztosítaná a nemek közötti egyenlőség fokozottabb beépítését az uniós szakpolitikákba és stratégiákba, valamint a nemek közötti egyenlőséggel kapcsolatos fő ügyek alapvető koordinációját és előrehaladását;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23</w:t>
      </w:r>
      <w:r w:rsidR="0048063A" w:rsidRPr="008B7061">
        <w:t>.</w:t>
      </w:r>
      <w:r w:rsidR="0048063A" w:rsidRPr="008B7061">
        <w:tab/>
        <w:t>sajnálja, hogy a Tanácsban a döntéshozatali folyamat még mindig messze nem teljesen átlátható, ami hatással van a polgárok Unióba mint átlátható szervezetbe vetett bizalmára, és ezáltal veszélyezteti az Unió egészének hírnevét; emlékeztet az ombudsmannak a Tanács jogalkotási folyamatának átláthatóságára vonatkozó OI/2/2017/TE sz. stratégiai vizsgálatban megfogalmazott ajánlásaira, és támogatja azokat; sürgeti a Tanácsot, hogy haladéktalanul tegyen meg minden szükséges intézkedést az ombudsman ajánlásainak és az Európai Unió Bírósága vonatkozó ítéleteinek végrehajtása érdekében; emlékeztet</w:t>
      </w:r>
      <w:proofErr w:type="gramEnd"/>
      <w:r w:rsidR="0048063A" w:rsidRPr="008B7061">
        <w:t xml:space="preserve"> arra, hogy a Törvényszék a T-163/21. sz. </w:t>
      </w:r>
      <w:r w:rsidR="0048063A" w:rsidRPr="008B7061">
        <w:rPr>
          <w:iCs/>
        </w:rPr>
        <w:t xml:space="preserve">De </w:t>
      </w:r>
      <w:proofErr w:type="spellStart"/>
      <w:r w:rsidR="0048063A" w:rsidRPr="008B7061">
        <w:rPr>
          <w:iCs/>
        </w:rPr>
        <w:t>Capitani</w:t>
      </w:r>
      <w:proofErr w:type="spellEnd"/>
      <w:r w:rsidR="0048063A" w:rsidRPr="008B7061">
        <w:rPr>
          <w:iCs/>
        </w:rPr>
        <w:t xml:space="preserve"> kontra Tanács</w:t>
      </w:r>
      <w:r w:rsidR="0048063A" w:rsidRPr="008B7061">
        <w:t xml:space="preserve"> ügyben hozott ítéletében hangsúlyozta, hogy a jogalkotási </w:t>
      </w:r>
      <w:proofErr w:type="gramStart"/>
      <w:r w:rsidR="0048063A" w:rsidRPr="008B7061">
        <w:t>dokumentumokhoz</w:t>
      </w:r>
      <w:proofErr w:type="gramEnd"/>
      <w:r w:rsidR="0048063A" w:rsidRPr="008B7061">
        <w:t xml:space="preserve"> való hozzáférés biztosítása érdekében egyértelműbb jogalkotási átláthatóságra lenne szükség a Tanács részéről, ami megfelel a társjogalkotók nyilvános </w:t>
      </w:r>
      <w:r w:rsidR="0048063A" w:rsidRPr="008B7061">
        <w:lastRenderedPageBreak/>
        <w:t>ellenőrzésére és elszámoltathatóságára vonatkozó tanácsi kötelezettségnek, amely a demokratikus legitimitás alapját képezi;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24</w:t>
      </w:r>
      <w:r w:rsidR="0048063A" w:rsidRPr="008B7061">
        <w:t>.</w:t>
      </w:r>
      <w:r w:rsidR="0048063A" w:rsidRPr="008B7061">
        <w:tab/>
        <w:t xml:space="preserve">mélységes aggodalmát fejezi ki amiatt, hogy a jogalkotási dossziék tekintetében egyre nő az Európai Tanács szerepe, annak ellenére, hogy ez az intézmény sem jogalkotási, sem végrehajtási </w:t>
      </w:r>
      <w:proofErr w:type="gramStart"/>
      <w:r w:rsidR="0048063A" w:rsidRPr="008B7061">
        <w:t>funkcióval</w:t>
      </w:r>
      <w:proofErr w:type="gramEnd"/>
      <w:r w:rsidR="0048063A" w:rsidRPr="008B7061">
        <w:t xml:space="preserve"> nem rendelkezik, és nem ugyanazokat az átláthatósági normákat alkalmazza, mint a Tanács, ami azt jelenti, hogy nem vonják felelősségre;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25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 xml:space="preserve">, hogy a Tanácsban bizonyos politikai területeken az egyhangú szavazási eljárás alkalmazása negatívan befolyásolhatja az Unió döntéshozatali folyamatát, és ezért a Tanács hajlamos arra, hogy zsarolja a tagállamokat, különösen azokat, amelyek nem tartják tiszteletben a jogállamiságot; felhívja a Tanácsot, hogy a Szerződésekben meghatározott esetekben alkalmazza a minősített többségi szavazási eljárást; </w:t>
      </w:r>
      <w:proofErr w:type="spellStart"/>
      <w:r w:rsidR="0048063A" w:rsidRPr="008B7061">
        <w:t>megjegyzi</w:t>
      </w:r>
      <w:proofErr w:type="spellEnd"/>
      <w:r w:rsidR="0048063A" w:rsidRPr="008B7061">
        <w:t>, hogy a Tanácsban a minősített többségi szavazási eljárásra való áttérés lehet az egyik út a hatékonyabb politikai döntéshozatal felé;</w:t>
      </w:r>
      <w:proofErr w:type="gramEnd"/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26</w:t>
      </w:r>
      <w:r w:rsidR="0048063A" w:rsidRPr="008B7061">
        <w:t>.</w:t>
      </w:r>
      <w:r w:rsidR="0048063A" w:rsidRPr="008B7061">
        <w:tab/>
        <w:t>sajnálja, hogy a tagállamok állandó képviselőinek részvétele a kötelező átláthatósági nyilvántartásban, amelyet az Európai Parlament, az Európai Unió Tanácsa és az Európai Bizottság között a kötelező átláthatósági nyilvántartásról szóló, 2021. május 20-i intézményközi megállapodás</w:t>
      </w:r>
      <w:r w:rsidR="0048063A" w:rsidRPr="008B7061">
        <w:rPr>
          <w:szCs w:val="24"/>
          <w:vertAlign w:val="superscript"/>
        </w:rPr>
        <w:footnoteReference w:id="8"/>
      </w:r>
      <w:r w:rsidR="0048063A" w:rsidRPr="008B7061">
        <w:t xml:space="preserve"> hozott létre, teljes mértékben önkéntes, és kitart amellett, hogy valamennyi állandó képviseletnek aktívan részt kellene vennie a kötelező átláthatósági nyilvántartásban a saját tagállama tanácsi elnöksége előtt, annak során és azt követően; úgy véli, hogy meg kell erősíteni és harmonizálni kell az összeférhetetlenségre,</w:t>
      </w:r>
      <w:proofErr w:type="gramEnd"/>
      <w:r w:rsidR="0048063A" w:rsidRPr="008B7061">
        <w:t xml:space="preserve"> a forgóajtó-jelenségre és a lobbizás átláthatóságára vonatkozó </w:t>
      </w:r>
      <w:proofErr w:type="gramStart"/>
      <w:r w:rsidR="0048063A" w:rsidRPr="008B7061">
        <w:t>etikai</w:t>
      </w:r>
      <w:proofErr w:type="gramEnd"/>
      <w:r w:rsidR="0048063A" w:rsidRPr="008B7061">
        <w:t xml:space="preserve"> szabályokat, továbbá hogy nem helyénvaló, hogy azok a tagállami képviselők, akik a tulajdonukban lévő vállalkozásokon keresztül közvetlenül részesülnek uniós támogatásokban, részt vegyenek az e támogatásokkal kapcsolatos politikai vagy költségvetési vitákban és szavazásokon;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27</w:t>
      </w:r>
      <w:r w:rsidR="0048063A" w:rsidRPr="008B7061">
        <w:t>.</w:t>
      </w:r>
      <w:r w:rsidR="0048063A" w:rsidRPr="008B7061">
        <w:tab/>
        <w:t>sajnálatát fejezi ki amiatt, hogy a Tanács a jelenlegi korlátokon túl nem használja ki teljes mértékben a kötelező átláthatósági nyilvántartást, elutasítva minden javításra irányuló ajánlást; ismételten felhívja a Tanácsot, hogy utasítsa el a nyilvántartásba nem vett lobbistákkal való találkozókat;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28</w:t>
      </w:r>
      <w:r w:rsidR="0048063A" w:rsidRPr="008B7061">
        <w:t>.</w:t>
      </w:r>
      <w:r w:rsidR="0048063A" w:rsidRPr="008B7061">
        <w:tab/>
        <w:t>a Parlament Költségvetési Ellenőrző Bizottsága által 2023. június 27-én tartott munkaértekezlet következtetéseivel összhangban felhívja a Tanács soros elnökségeit, hogy ne vegyék igénybe a vállalati szponzorálást a kiadásaik fedezéséhez való hozzájárulás céljából; megérti, hogy a nemzeti költségvetésekből származó pénzügyi források jelentősen eltérnek a tagállamok között, és hogy minden tagállamnak – méretétől és rendelkezésre álló költségvetésétől függetlenül – egyenlő esélyekkel kell rendelkeznie egy sikeres tanácsi elnökség megszervezéséhez, de úgy véli, hogy a vállalati szponzoráció elfogadása</w:t>
      </w:r>
      <w:proofErr w:type="gramEnd"/>
      <w:r w:rsidR="0048063A" w:rsidRPr="008B7061">
        <w:t xml:space="preserve"> árt a jó hírnévnek, mivel az összeférhetetlenség kockázatát hordozza magában; megismétli a Tanácshoz intézett azon felhívását, hogy a Tanács munkájának hatékonyságára és eredményességére vonatkozó megfelelő és egységes normák biztosítása érdekében biztosítsanak költségvetést a tanácsi elnökségek számára; e tekintetben csalódottságának ad hangot a Tanács által a vállalati szponzorálásról kiadott, nem kötelező erejű iránymutatások miatt;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29</w:t>
      </w:r>
      <w:r w:rsidR="0048063A" w:rsidRPr="008B7061">
        <w:t>.</w:t>
      </w:r>
      <w:r w:rsidR="0048063A" w:rsidRPr="008B7061">
        <w:tab/>
        <w:t xml:space="preserve">sajnálja, hogy a Parlament többszöri kérése ellenére sem hozták összhangba az Európai Tanács elnökének magatartási kódexét a Parlament és a Bizottság magatartási </w:t>
      </w:r>
      <w:proofErr w:type="gramStart"/>
      <w:r w:rsidR="0048063A" w:rsidRPr="008B7061">
        <w:lastRenderedPageBreak/>
        <w:t>kódexével</w:t>
      </w:r>
      <w:proofErr w:type="gramEnd"/>
      <w:r w:rsidR="0048063A" w:rsidRPr="008B7061">
        <w:t>, különösen az elnök távozását követően jóváhagyandó tevékenységek tekintetében;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30</w:t>
      </w:r>
      <w:r w:rsidR="0048063A" w:rsidRPr="008B7061">
        <w:t>.</w:t>
      </w:r>
      <w:r w:rsidR="0048063A" w:rsidRPr="008B7061">
        <w:tab/>
        <w:t>megismétli, hogy az Európai Parlament összetételének megállapításáról szóló, 2023. szeptember 22-i</w:t>
      </w:r>
      <w:r w:rsidR="0048063A" w:rsidRPr="008B7061">
        <w:rPr>
          <w:b/>
          <w:color w:val="333333"/>
          <w:shd w:val="clear" w:color="auto" w:fill="FFFFFF"/>
        </w:rPr>
        <w:t xml:space="preserve"> </w:t>
      </w:r>
      <w:r w:rsidR="0048063A" w:rsidRPr="008B7061">
        <w:t>(EU) 2023/2061 tanácsi határozat</w:t>
      </w:r>
      <w:r w:rsidR="0048063A" w:rsidRPr="008B7061">
        <w:rPr>
          <w:rStyle w:val="FootnoteReference"/>
          <w:szCs w:val="24"/>
        </w:rPr>
        <w:footnoteReference w:id="9"/>
      </w:r>
      <w:r w:rsidR="0048063A" w:rsidRPr="008B7061">
        <w:t xml:space="preserve"> nem érinti a Parlament és a Tanács előjogait az éves költségvetési eljárás során, és e határozat (5) preambulumbekezdése olyan kérdésekre vonatkozik, amelyek nem tartoznak az Európai Tanácsnak az EUSZ 15. cikkének (1) bekezdése szerinti hatáskörei és a Parlament összetételének az EUSZ 14. cikkének (2) bekezdése szerinti megállapítására vonatkozó jogalap hatálya alá; kitart amellett, hogy az EUMSZ 314. cikkében megállapított eljárásnak megfelelően kizárólag a</w:t>
      </w:r>
      <w:proofErr w:type="gramEnd"/>
      <w:r w:rsidR="0048063A" w:rsidRPr="008B7061">
        <w:t xml:space="preserve"> Parlament és a Tanács dönthet az uniós költségvetés tartalmáról;</w:t>
      </w:r>
    </w:p>
    <w:p w:rsidR="0048063A" w:rsidRPr="008B7061" w:rsidRDefault="0048063A" w:rsidP="00B47A25">
      <w:pPr>
        <w:pStyle w:val="NormalHanging12a"/>
        <w:widowControl/>
        <w:rPr>
          <w:b/>
          <w:i/>
          <w:szCs w:val="24"/>
        </w:rPr>
      </w:pPr>
      <w:r w:rsidRPr="008B7061">
        <w:rPr>
          <w:b/>
          <w:i/>
        </w:rPr>
        <w:t>Költségvetési és pénzgazdálkodás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31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>, hogy a Tanács költségvetése 2022-ben 611 473 556 EUR volt, ami 2021</w:t>
      </w:r>
      <w:r w:rsidR="0048063A" w:rsidRPr="008B7061">
        <w:noBreakHyphen/>
        <w:t>hez képest 2,9%-</w:t>
      </w:r>
      <w:proofErr w:type="spellStart"/>
      <w:r w:rsidR="0048063A" w:rsidRPr="008B7061">
        <w:t>os</w:t>
      </w:r>
      <w:proofErr w:type="spellEnd"/>
      <w:r w:rsidR="0048063A" w:rsidRPr="008B7061">
        <w:t xml:space="preserve"> növekedést jelent, ami jelentősen magasabb, mint a 2020 és 2021 közötti növekedés, amely 0,6 %-</w:t>
      </w:r>
      <w:proofErr w:type="spellStart"/>
      <w:r w:rsidR="0048063A" w:rsidRPr="008B7061">
        <w:t>os</w:t>
      </w:r>
      <w:proofErr w:type="spellEnd"/>
      <w:r w:rsidR="0048063A" w:rsidRPr="008B7061">
        <w:t xml:space="preserve"> volt;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32</w:t>
      </w:r>
      <w:r w:rsidR="0048063A" w:rsidRPr="008B7061">
        <w:t>.</w:t>
      </w:r>
      <w:r w:rsidR="0048063A" w:rsidRPr="008B7061">
        <w:tab/>
        <w:t xml:space="preserve">ismételten sajnálatát fejezi ki amiatt, hogy az Európai Tanács és a Tanács költségvetését nem osztották fel két egyértelműen elkülönített költségvetésre, amint azt a Parlament korábbi </w:t>
      </w:r>
      <w:proofErr w:type="gramStart"/>
      <w:r w:rsidR="0048063A" w:rsidRPr="008B7061">
        <w:t>mentesítési</w:t>
      </w:r>
      <w:proofErr w:type="gramEnd"/>
      <w:r w:rsidR="0048063A" w:rsidRPr="008B7061">
        <w:t xml:space="preserve"> állásfoglalásaiban javasolta az átláthatóság és az elszámoltathatóság javítása érdekében, nem utolsósorban az Európai Tanácsot illetően, mivel jelenleg lehetetlen megbízható tájékoztatást kapni az intézmény költségeiről;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33</w:t>
      </w:r>
      <w:r w:rsidR="0048063A" w:rsidRPr="008B7061">
        <w:t>.</w:t>
      </w:r>
      <w:r w:rsidR="0048063A" w:rsidRPr="008B7061">
        <w:tab/>
        <w:t xml:space="preserve">sajnálattal veszi tudomásul, hogy a Tanács Főtitkársága jelentést tesz közzé az éves beszámolóról egy sor éves tevékenységi jelentést tesz közzé a Főtitkárság különböző egységeiről, de nehéz tömör és könnyen hozzáférhető áttekintést kapni a Tanács Főtitkárságának valamennyi tevékenységéről, mivel nem létezik egyetlen olyan jelentés, amely </w:t>
      </w:r>
      <w:proofErr w:type="gramStart"/>
      <w:r w:rsidR="0048063A" w:rsidRPr="008B7061">
        <w:t>összefoglalja</w:t>
      </w:r>
      <w:proofErr w:type="gramEnd"/>
      <w:r w:rsidR="0048063A" w:rsidRPr="008B7061">
        <w:t xml:space="preserve"> és koherens áttekintést nyújt a Tanács tevékenységeiről;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34</w:t>
      </w:r>
      <w:r w:rsidR="0048063A" w:rsidRPr="008B7061">
        <w:t>.</w:t>
      </w:r>
      <w:r w:rsidR="0048063A" w:rsidRPr="008B7061">
        <w:tab/>
        <w:t>megelégedéssel nyugtázza, hogy a Tanács számvitelért felelős tisztviselője igazolni tudja, hogy a Tanács 2022. évi éves beszámolója a költségvetési rendelet XIII. címével és a Bizottság számvitelért felelős tisztviselője által elfogadott számviteli szabályokkal összhangban készült, ahogyan azt valamennyi intézmény, uniós szerv, hivatal és ügynökség előírja, és hogy a számvitelért felelős tisztviselő kellő mértékben megbizonyosodott arról, hogy a 2022. évi beszámoló minden lényeges szempontból híven és minden lényeges szempontból hűen tükrözi a Tanács pénzügyi helyzetét, műveleteinek eredményét</w:t>
      </w:r>
      <w:proofErr w:type="gramEnd"/>
      <w:r w:rsidR="0048063A" w:rsidRPr="008B7061">
        <w:t xml:space="preserve"> </w:t>
      </w:r>
      <w:proofErr w:type="gramStart"/>
      <w:r w:rsidR="0048063A" w:rsidRPr="008B7061">
        <w:t>és</w:t>
      </w:r>
      <w:proofErr w:type="gramEnd"/>
      <w:r w:rsidR="0048063A" w:rsidRPr="008B7061">
        <w:t xml:space="preserve"> pénzforgalmát;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35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 xml:space="preserve">, hogy a Tanács 2022-ben 64 költségvetési átcsoportosítást hajtott végre, amelyek mindegyike a költségvetési rendelet 29. cikke alapján történt, és ami jelentős növekedés a 2021-ben végrehajtott 43 költségvetési átcsoportosításhoz képest; </w:t>
      </w:r>
      <w:proofErr w:type="spellStart"/>
      <w:r w:rsidR="0048063A" w:rsidRPr="008B7061">
        <w:t>megjegyzi</w:t>
      </w:r>
      <w:proofErr w:type="spellEnd"/>
      <w:r w:rsidR="0048063A" w:rsidRPr="008B7061">
        <w:t xml:space="preserve"> továbbá, hogy az átcsoportosítások közül hat a költségvetési hatóság tájékoztatását jelentette, és hogy ezen átcsoportosítások fő oka a megnövekedett víz-, gáz-, villamosenergia- és fűtési költségek, valamint a béremelés volt;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36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>, hogy az átcsoportosítások a Tanács Főtitkárságának kiküldetési költségeinek 300</w:t>
      </w:r>
      <w:r w:rsidR="001B6BFC" w:rsidRPr="008B7061">
        <w:t> </w:t>
      </w:r>
      <w:r w:rsidR="0048063A" w:rsidRPr="008B7061">
        <w:t xml:space="preserve">000 </w:t>
      </w:r>
      <w:r w:rsidR="001B6BFC" w:rsidRPr="008B7061">
        <w:t>EUR-</w:t>
      </w:r>
      <w:r w:rsidR="0048063A" w:rsidRPr="008B7061">
        <w:t>val, azaz 9%-</w:t>
      </w:r>
      <w:proofErr w:type="spellStart"/>
      <w:r w:rsidR="0048063A" w:rsidRPr="008B7061">
        <w:t>kal</w:t>
      </w:r>
      <w:proofErr w:type="spellEnd"/>
      <w:r w:rsidR="0048063A" w:rsidRPr="008B7061">
        <w:t xml:space="preserve"> történő csökkentését, valamint az Európai Tanácshoz kapcsolódó személyzet kiküldetési költségeinek hasonló, 300</w:t>
      </w:r>
      <w:r w:rsidR="001B6BFC" w:rsidRPr="008B7061">
        <w:t> </w:t>
      </w:r>
      <w:r w:rsidR="0048063A" w:rsidRPr="008B7061">
        <w:t xml:space="preserve">000 </w:t>
      </w:r>
      <w:r w:rsidR="001B6BFC" w:rsidRPr="008B7061">
        <w:t>EUR-</w:t>
      </w:r>
      <w:r w:rsidR="0048063A" w:rsidRPr="008B7061">
        <w:t>val, azaz 20%-</w:t>
      </w:r>
      <w:proofErr w:type="spellStart"/>
      <w:r w:rsidR="0048063A" w:rsidRPr="008B7061">
        <w:t>kal</w:t>
      </w:r>
      <w:proofErr w:type="spellEnd"/>
      <w:r w:rsidR="0048063A" w:rsidRPr="008B7061">
        <w:t xml:space="preserve"> történő növelését jelentették; kéri a Tanácsot, hogy biztosítsa az Európai Tanács </w:t>
      </w:r>
      <w:r w:rsidR="0048063A" w:rsidRPr="008B7061">
        <w:lastRenderedPageBreak/>
        <w:t>elnökének utazásaival kapcsolatos teljes átláthatóságot, beleértve a közlekedési eszközöket, a választott eszközök indokolását és a kísérő személyzetet is;</w:t>
      </w:r>
      <w:proofErr w:type="gramEnd"/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37</w:t>
      </w:r>
      <w:r w:rsidR="0048063A" w:rsidRPr="008B7061">
        <w:t>.</w:t>
      </w:r>
      <w:r w:rsidR="0048063A" w:rsidRPr="008B7061">
        <w:tab/>
        <w:t>bírálja az Európai Tanács elnöke utazási költségvetésének évek óta tartó jelentős növekedését, és aggodalmát fejezi ki amiatt, hogy sajtóbeszámolók szerint az Európai Tanács elnöke a hivatali idejének kezdete, 2019 és 2022 decembere között végrehajtott 112 kiküldetésből csak 18 során vett igénybe menetrendszerinti repülőgépeket; hangsúlyozza, hogy a menetrendszerinti repülőgépeknek az Európai Tanács elnöke számára is a szokásos megoldásnak kell lenniük, amennyiben ez az alternatíva rendelkezésre áll, és összhangban van az érintett ülések napirendjével és helyszínével, és hangsúlyozza, hogy</w:t>
      </w:r>
      <w:proofErr w:type="gramEnd"/>
      <w:r w:rsidR="0048063A" w:rsidRPr="008B7061">
        <w:t xml:space="preserve"> </w:t>
      </w:r>
      <w:proofErr w:type="gramStart"/>
      <w:r w:rsidR="0048063A" w:rsidRPr="008B7061">
        <w:t>az</w:t>
      </w:r>
      <w:proofErr w:type="gramEnd"/>
      <w:r w:rsidR="0048063A" w:rsidRPr="008B7061">
        <w:t xml:space="preserve"> uniós intézmények vezetőinek jó példaként kell szolgálniuk a nyilvánosság számára, nem utolsósorban az éghajlati fenntarthatósági politikák biztosítása tekintetében;</w:t>
      </w:r>
    </w:p>
    <w:p w:rsidR="0048063A" w:rsidRPr="008B7061" w:rsidRDefault="0048063A" w:rsidP="00B47A25">
      <w:pPr>
        <w:pStyle w:val="NormalHanging12a"/>
        <w:widowControl/>
        <w:rPr>
          <w:b/>
          <w:i/>
          <w:szCs w:val="24"/>
        </w:rPr>
      </w:pPr>
      <w:r w:rsidRPr="008B7061">
        <w:rPr>
          <w:b/>
          <w:i/>
        </w:rPr>
        <w:t xml:space="preserve">Belső irányítás, teljesítmény és belső </w:t>
      </w:r>
      <w:proofErr w:type="gramStart"/>
      <w:r w:rsidRPr="008B7061">
        <w:rPr>
          <w:b/>
          <w:i/>
        </w:rPr>
        <w:t>kontroll</w:t>
      </w:r>
      <w:proofErr w:type="gramEnd"/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38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 xml:space="preserve">, hogy 2022-ben fokozatosan megszüntették a Covid19-világjárvánnyal kapcsolatos rendkívüli intézkedéseket, és hogy az ülésekkel kapcsolatos tevékenységek visszatértek a normális szintre; e tekintetben </w:t>
      </w:r>
      <w:proofErr w:type="spellStart"/>
      <w:r w:rsidR="0048063A" w:rsidRPr="008B7061">
        <w:t>megjegyzi</w:t>
      </w:r>
      <w:proofErr w:type="spellEnd"/>
      <w:r w:rsidR="0048063A" w:rsidRPr="008B7061">
        <w:t>, hogy a videokonferenciák száma 2021-től, amikor az ülések 35%-a videokonferencia és 65%-a személyes részvétellel tartott ülés volt, 2022-re, amikor az ülések 15%-a videokonferencia és 85%-a személyes részvétellel tartott ülés volt, csökkent a személyes részvétellel tartott ülések javára;</w:t>
      </w:r>
      <w:proofErr w:type="gramEnd"/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39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>, hogy 2022-ben a hivatalos ülések teljes száma 4</w:t>
      </w:r>
      <w:r w:rsidR="001B6BFC" w:rsidRPr="008B7061">
        <w:t> </w:t>
      </w:r>
      <w:r w:rsidR="0048063A" w:rsidRPr="008B7061">
        <w:t>415 volt, ami 2,9%-</w:t>
      </w:r>
      <w:proofErr w:type="spellStart"/>
      <w:r w:rsidR="0048063A" w:rsidRPr="008B7061">
        <w:t>os</w:t>
      </w:r>
      <w:proofErr w:type="spellEnd"/>
      <w:r w:rsidR="0048063A" w:rsidRPr="008B7061">
        <w:t xml:space="preserve"> növekedést jelent a 2021. évi 4</w:t>
      </w:r>
      <w:r w:rsidR="004047F3" w:rsidRPr="008B7061">
        <w:t> </w:t>
      </w:r>
      <w:r w:rsidR="0048063A" w:rsidRPr="008B7061">
        <w:t>291-hez képest, ami magában foglalja a személyes részvétellel tartott ülések számának jelentős, több mint 150%-</w:t>
      </w:r>
      <w:proofErr w:type="spellStart"/>
      <w:r w:rsidR="0048063A" w:rsidRPr="008B7061">
        <w:t>os</w:t>
      </w:r>
      <w:proofErr w:type="spellEnd"/>
      <w:r w:rsidR="0048063A" w:rsidRPr="008B7061">
        <w:t xml:space="preserve"> növekedését is;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40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>, hogy 2022-ben a Tanács Főtitkársága 44 új közbeszerzési eljárást indított, és hogy 42 szerződést írtak alá összesen 123 863 392 EUR értékben, ami jelentős csökkenést jelent 2021-hez képest, amikor 62 új közbeszerzési eljárást indítottak és 102 szerződést írtak alá összesen 416 013 813 EUR értékben;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41</w:t>
      </w:r>
      <w:r w:rsidR="0048063A" w:rsidRPr="008B7061">
        <w:t>.</w:t>
      </w:r>
      <w:r w:rsidR="0048063A" w:rsidRPr="008B7061">
        <w:tab/>
        <w:t xml:space="preserve">üdvözli, hogy a Tanács Főtitkársága összefoglalót készített a Főtitkárságon 2022-ben elvégzett belső ellenőrzések számáról és típusáról, valamint a költségvetési rendelet 118. cikkének (8) bekezdésével összhangban összefoglalta az ajánlásokat és az ajánlások nyomán hozott intézkedéseket; </w:t>
      </w:r>
      <w:proofErr w:type="spellStart"/>
      <w:r w:rsidR="0048063A" w:rsidRPr="008B7061">
        <w:t>megjegyzi</w:t>
      </w:r>
      <w:proofErr w:type="spellEnd"/>
      <w:r w:rsidR="0048063A" w:rsidRPr="008B7061">
        <w:t xml:space="preserve">, hogy a belső ellenőr hároméves munkaprogramot dolgozott ki a 2022–2024-es időszakra, amely éves munkaprogramokra oszlik; </w:t>
      </w:r>
      <w:proofErr w:type="spellStart"/>
      <w:r w:rsidR="0048063A" w:rsidRPr="008B7061">
        <w:t>megjegyzi</w:t>
      </w:r>
      <w:proofErr w:type="spellEnd"/>
      <w:r w:rsidR="0048063A" w:rsidRPr="008B7061">
        <w:t xml:space="preserve"> továbbá, hogy 2022-ben hét belső ellenőrzésre került sor; aggodalommal állapítja meg, hogy 2022 végén a 2019–2021-es munkaprogram ajánlásainak csupán 72%-át hajtották</w:t>
      </w:r>
      <w:proofErr w:type="gramEnd"/>
      <w:r w:rsidR="0048063A" w:rsidRPr="008B7061">
        <w:t xml:space="preserve"> </w:t>
      </w:r>
      <w:proofErr w:type="gramStart"/>
      <w:r w:rsidR="0048063A" w:rsidRPr="008B7061">
        <w:t>végre</w:t>
      </w:r>
      <w:proofErr w:type="gramEnd"/>
      <w:r w:rsidR="0048063A" w:rsidRPr="008B7061">
        <w:t>, és 27% még mindig lezáratlan;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42</w:t>
      </w:r>
      <w:r w:rsidR="0048063A" w:rsidRPr="008B7061">
        <w:t>.</w:t>
      </w:r>
      <w:r w:rsidR="0048063A" w:rsidRPr="008B7061">
        <w:tab/>
        <w:t xml:space="preserve">üdvözli, hogy a belső ellenőrzéseket számos területen elvégezték; üdvözli továbbá, hogy a hét ellenőrzés közül hatra vonatkozó valamennyi ajánlást elfogadták; sajnálattal veszi tudomásul, hogy a </w:t>
      </w:r>
      <w:proofErr w:type="spellStart"/>
      <w:r w:rsidR="0048063A" w:rsidRPr="008B7061">
        <w:t>kriptovaluták</w:t>
      </w:r>
      <w:proofErr w:type="spellEnd"/>
      <w:r w:rsidR="0048063A" w:rsidRPr="008B7061">
        <w:t xml:space="preserve"> kezelésére vonatkozó ellenőrzés eredményeit nem közölték, mivel az ellenőrzési jelentést minősítették; hangsúlyozza, hogy a Parlament rendelkezik a minősített </w:t>
      </w:r>
      <w:proofErr w:type="gramStart"/>
      <w:r w:rsidR="0048063A" w:rsidRPr="008B7061">
        <w:t>információk</w:t>
      </w:r>
      <w:proofErr w:type="gramEnd"/>
      <w:r w:rsidR="0048063A" w:rsidRPr="008B7061">
        <w:t xml:space="preserve"> kezelésére szolgáló rendszerekkel, és a </w:t>
      </w:r>
      <w:proofErr w:type="spellStart"/>
      <w:r w:rsidR="0048063A" w:rsidRPr="008B7061">
        <w:t>kriptovaluták</w:t>
      </w:r>
      <w:proofErr w:type="spellEnd"/>
      <w:r w:rsidR="0048063A" w:rsidRPr="008B7061">
        <w:t xml:space="preserve"> kezelésével kapcsolatos ellenőrzés eredményeit e rendszerek segítségével lehetett volna közölni;</w:t>
      </w:r>
    </w:p>
    <w:p w:rsidR="0048063A" w:rsidRPr="008B7061" w:rsidRDefault="0048063A" w:rsidP="00B47A25">
      <w:pPr>
        <w:pStyle w:val="NormalHanging12a"/>
        <w:widowControl/>
        <w:rPr>
          <w:b/>
          <w:i/>
          <w:szCs w:val="24"/>
        </w:rPr>
      </w:pPr>
      <w:r w:rsidRPr="008B7061">
        <w:rPr>
          <w:b/>
          <w:i/>
        </w:rPr>
        <w:t>Emberi erőforrások, egyenlőség és a személyzet jólléte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lastRenderedPageBreak/>
        <w:t>43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 xml:space="preserve">, hogy mivel a Tanács nem működött együtt a Parlamenttel, az e szakaszban szereplő észrevételek elsősorban a Tanács honlapján közzétett összesített </w:t>
      </w:r>
      <w:proofErr w:type="gramStart"/>
      <w:r w:rsidR="0048063A" w:rsidRPr="008B7061">
        <w:t>információkon</w:t>
      </w:r>
      <w:proofErr w:type="gramEnd"/>
      <w:r w:rsidR="0048063A" w:rsidRPr="008B7061">
        <w:t xml:space="preserve"> alapulnak, amelyek csak korlátozott részletességgel szolgálnak;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44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>, hogy a Tanács a 2022. évi költségvetésében 3</w:t>
      </w:r>
      <w:r w:rsidR="001B6BFC" w:rsidRPr="008B7061">
        <w:t> </w:t>
      </w:r>
      <w:r w:rsidR="0048063A" w:rsidRPr="008B7061">
        <w:t xml:space="preserve">029 </w:t>
      </w:r>
      <w:proofErr w:type="spellStart"/>
      <w:r w:rsidR="0048063A" w:rsidRPr="008B7061">
        <w:t>álláshelyet</w:t>
      </w:r>
      <w:proofErr w:type="spellEnd"/>
      <w:r w:rsidR="0048063A" w:rsidRPr="008B7061">
        <w:t xml:space="preserve"> kapott, ami megegyezik a 2021. évi költségvetéssel, de a kategóriák közötti megoszlás megváltozott: az adminisztrátori (AD) álláshelyek száma 1</w:t>
      </w:r>
      <w:r w:rsidR="001B6BFC" w:rsidRPr="008B7061">
        <w:t> </w:t>
      </w:r>
      <w:r w:rsidR="0048063A" w:rsidRPr="008B7061">
        <w:t>493-ról 1</w:t>
      </w:r>
      <w:r w:rsidR="001B6BFC" w:rsidRPr="008B7061">
        <w:t> </w:t>
      </w:r>
      <w:r w:rsidR="0048063A" w:rsidRPr="008B7061">
        <w:t>519-re nőtt, az asszisztensi (AST) álláshelyek száma 1</w:t>
      </w:r>
      <w:r w:rsidR="004047F3" w:rsidRPr="008B7061">
        <w:t> </w:t>
      </w:r>
      <w:r w:rsidR="0048063A" w:rsidRPr="008B7061">
        <w:t>320-ról 1</w:t>
      </w:r>
      <w:r w:rsidR="004047F3" w:rsidRPr="008B7061">
        <w:t> </w:t>
      </w:r>
      <w:r w:rsidR="0048063A" w:rsidRPr="008B7061">
        <w:t>284-re csökkent, a titkári (SC) álláshelyek száma pedig 180-ról 190-re nőtt; kéri a Tanácsot, hogy nyújtson részletesebb tájékoztatást a kiégés megelőzéséről a személyzet számára, különösen mivel az asszisztensek száma csökken;</w:t>
      </w:r>
      <w:proofErr w:type="gramEnd"/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45</w:t>
      </w:r>
      <w:r w:rsidR="0048063A" w:rsidRPr="008B7061">
        <w:t>.</w:t>
      </w:r>
      <w:r w:rsidR="0048063A" w:rsidRPr="008B7061">
        <w:tab/>
        <w:t>megállapítja, hogy a 2022. évi pénzügyi tevékenységi jelentése szerint a Tanács Főtitkársága 2022. december 31-én 2</w:t>
      </w:r>
      <w:r w:rsidR="004047F3" w:rsidRPr="008B7061">
        <w:t> </w:t>
      </w:r>
      <w:r w:rsidR="0048063A" w:rsidRPr="008B7061">
        <w:t xml:space="preserve">924 betöltött álláshellyel rendelkezett; </w:t>
      </w:r>
      <w:proofErr w:type="spellStart"/>
      <w:r w:rsidR="0048063A" w:rsidRPr="008B7061">
        <w:t>megjegyzi</w:t>
      </w:r>
      <w:proofErr w:type="spellEnd"/>
      <w:r w:rsidR="0048063A" w:rsidRPr="008B7061">
        <w:t xml:space="preserve"> továbbá, hogy a Tanács honlapja szerint a Tanács Főtitkárságának 2023. január 1-jén 3</w:t>
      </w:r>
      <w:r w:rsidR="001B6BFC" w:rsidRPr="008B7061">
        <w:t> </w:t>
      </w:r>
      <w:r w:rsidR="0048063A" w:rsidRPr="008B7061">
        <w:t xml:space="preserve">108 alkalmazottja volt (tisztviselők, ideiglenes és szerződéses alkalmazottak, valamint kirendelt nemzeti szakértők); felhívja a Tanácsot, hogy nyílt forrásaiban ne tegyen közzé ellentmondásos </w:t>
      </w:r>
      <w:proofErr w:type="gramStart"/>
      <w:r w:rsidR="0048063A" w:rsidRPr="008B7061">
        <w:t>információkat</w:t>
      </w:r>
      <w:proofErr w:type="gramEnd"/>
      <w:r w:rsidR="0048063A" w:rsidRPr="008B7061">
        <w:t>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46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>, hogy a 3</w:t>
      </w:r>
      <w:r w:rsidR="001B6BFC" w:rsidRPr="008B7061">
        <w:t> </w:t>
      </w:r>
      <w:r w:rsidR="0048063A" w:rsidRPr="008B7061">
        <w:t>108 alkalmazottból 1</w:t>
      </w:r>
      <w:r w:rsidR="001B6BFC" w:rsidRPr="008B7061">
        <w:t> </w:t>
      </w:r>
      <w:r w:rsidR="0048063A" w:rsidRPr="008B7061">
        <w:t>783 (57%) nő és 1</w:t>
      </w:r>
      <w:r w:rsidR="001B6BFC" w:rsidRPr="008B7061">
        <w:t> </w:t>
      </w:r>
      <w:r w:rsidR="0048063A" w:rsidRPr="008B7061">
        <w:t xml:space="preserve">325 (43%) férfi volt; sajnálatát fejezi ki amiatt, hogy a „felső vezetés” </w:t>
      </w:r>
      <w:proofErr w:type="gramStart"/>
      <w:r w:rsidR="0048063A" w:rsidRPr="008B7061">
        <w:t>kategóriában</w:t>
      </w:r>
      <w:proofErr w:type="gramEnd"/>
      <w:r w:rsidR="0048063A" w:rsidRPr="008B7061">
        <w:t xml:space="preserve"> 51-ből csak 18 nő volt, ami 35%-</w:t>
      </w:r>
      <w:proofErr w:type="spellStart"/>
      <w:r w:rsidR="0048063A" w:rsidRPr="008B7061">
        <w:t>nak</w:t>
      </w:r>
      <w:proofErr w:type="spellEnd"/>
      <w:r w:rsidR="0048063A" w:rsidRPr="008B7061">
        <w:t xml:space="preserve"> felel meg; sajnálja továbbá, hogy ez a nők felső vezetésen belüli arányának csökkenését jelenti a 2021. évi 38%-</w:t>
      </w:r>
      <w:proofErr w:type="spellStart"/>
      <w:r w:rsidR="0048063A" w:rsidRPr="008B7061">
        <w:t>ról</w:t>
      </w:r>
      <w:proofErr w:type="spellEnd"/>
      <w:r w:rsidR="0048063A" w:rsidRPr="008B7061">
        <w:t>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47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 xml:space="preserve">, hogy a „középvezetés” kategóriában 83-ból 37, azaz 45% nő volt, ami a tavalyi 44%-hoz képest kismértékű növekedést jelent; végül </w:t>
      </w:r>
      <w:proofErr w:type="spellStart"/>
      <w:r w:rsidR="0048063A" w:rsidRPr="008B7061">
        <w:t>megjegyzi</w:t>
      </w:r>
      <w:proofErr w:type="spellEnd"/>
      <w:r w:rsidR="0048063A" w:rsidRPr="008B7061">
        <w:t>, hogy az AD besorolású tisztviselők közül 1</w:t>
      </w:r>
      <w:r w:rsidR="001B6BFC" w:rsidRPr="008B7061">
        <w:t> </w:t>
      </w:r>
      <w:r w:rsidR="0048063A" w:rsidRPr="008B7061">
        <w:t xml:space="preserve">462-ből 814, azaz 56% volt nő, ami szintén kismértékű növekedést jelent a 2021-es 55%-hoz képest, és </w:t>
      </w:r>
      <w:proofErr w:type="spellStart"/>
      <w:r w:rsidR="0048063A" w:rsidRPr="008B7061">
        <w:t>megjegyzi</w:t>
      </w:r>
      <w:proofErr w:type="spellEnd"/>
      <w:r w:rsidR="0048063A" w:rsidRPr="008B7061">
        <w:t>, hogy az AST-k és SC-k közül 1</w:t>
      </w:r>
      <w:r w:rsidR="001B6BFC" w:rsidRPr="008B7061">
        <w:t> </w:t>
      </w:r>
      <w:r w:rsidR="0048063A" w:rsidRPr="008B7061">
        <w:t>411-ből 882, azaz 63% volt nő, ami megegyezik a 2021-es értékkel;</w:t>
      </w:r>
      <w:proofErr w:type="gramEnd"/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48</w:t>
      </w:r>
      <w:r w:rsidR="0048063A" w:rsidRPr="008B7061">
        <w:t>.</w:t>
      </w:r>
      <w:r w:rsidR="0048063A" w:rsidRPr="008B7061">
        <w:tab/>
        <w:t xml:space="preserve">sajnálatát fejezi ki a nemek közötti egyensúly hiánya miatt a Tanács Főtitkárságán belüli felső vezetői </w:t>
      </w:r>
      <w:proofErr w:type="gramStart"/>
      <w:r w:rsidR="0048063A" w:rsidRPr="008B7061">
        <w:t>pozíciókban</w:t>
      </w:r>
      <w:proofErr w:type="gramEnd"/>
      <w:r w:rsidR="0048063A" w:rsidRPr="008B7061">
        <w:t>; felhívja a Tanácsot, hogy tegyen azonnali és konkrét intézkedéseket a nemek közötti egyensúly elérése érdekében a hierarchia minden szintjén;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49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>, hogy mind a 27 tagállam képviselteti magát a személyzetben, de súlyos földrajzi egyensúlytalanságok tapasztalhatók: 527 belga alkalmazott, ami 17%-</w:t>
      </w:r>
      <w:proofErr w:type="spellStart"/>
      <w:r w:rsidR="0048063A" w:rsidRPr="008B7061">
        <w:t>nak</w:t>
      </w:r>
      <w:proofErr w:type="spellEnd"/>
      <w:r w:rsidR="0048063A" w:rsidRPr="008B7061">
        <w:t xml:space="preserve"> felel meg, míg csupán 0,2%-a ciprusi és 0,3%-a luxemburgi; hangsúlyozza a személyzet tagjai közötti igazságos földrajzi egyensúly minden szinten való meglétének fontosságát, különösen a közép- és felső vezetői szinteken, ugyanakkor teljesítse a személyzeti szabályzatban a jelöltek kompetenciáira és érdemeire vonatkozó követelményeket;</w:t>
      </w:r>
      <w:proofErr w:type="gramEnd"/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50</w:t>
      </w:r>
      <w:r w:rsidR="0048063A" w:rsidRPr="008B7061">
        <w:t>.</w:t>
      </w:r>
      <w:r w:rsidR="0048063A" w:rsidRPr="008B7061">
        <w:tab/>
        <w:t xml:space="preserve">sajnálja, hogy nem áll rendelkezésre </w:t>
      </w:r>
      <w:proofErr w:type="gramStart"/>
      <w:r w:rsidR="0048063A" w:rsidRPr="008B7061">
        <w:t>információ</w:t>
      </w:r>
      <w:proofErr w:type="gramEnd"/>
      <w:r w:rsidR="0048063A" w:rsidRPr="008B7061">
        <w:t xml:space="preserve"> a Tanács nemek közötti egyenlőségre vonatkozó cselekvési tervének végrehajtásáról, valamint a Tanács által alkalmazott, fogyatékossággal élő személyek esélyegyenlőségének biztosítása érdekében hozott intézkedésekről; felhívja a Tanácsot, hogy adjon tájékoztatást a Parlament számára a személyzet tagjai körében a nemek közötti egyensúlyról, a földrajzi eloszlásról és a fogyatékosságokról, valamint a kapcsolódó belső politikákról;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51</w:t>
      </w:r>
      <w:r w:rsidR="0048063A" w:rsidRPr="008B7061">
        <w:t>.</w:t>
      </w:r>
      <w:r w:rsidR="0048063A" w:rsidRPr="008B7061">
        <w:tab/>
        <w:t xml:space="preserve">sajnálatát fejezi ki amiatt, hogy mivel a Tanács nem válaszolt a Parlament kérdőívére, a Parlamentnek nincs </w:t>
      </w:r>
      <w:proofErr w:type="gramStart"/>
      <w:r w:rsidR="0048063A" w:rsidRPr="008B7061">
        <w:t>információja</w:t>
      </w:r>
      <w:proofErr w:type="gramEnd"/>
      <w:r w:rsidR="0048063A" w:rsidRPr="008B7061">
        <w:t xml:space="preserve"> arról, hogy 2022-ben hány gyakornok volt a </w:t>
      </w:r>
      <w:r w:rsidR="0048063A" w:rsidRPr="008B7061">
        <w:lastRenderedPageBreak/>
        <w:t>Tanácsnál, és hogy a gyakornoki idő alatt kaptak-e fizetést vagy sem; emlékeztet a Parlament valamennyi intézményhez intézett azon kérésére, hogy minden gyakornok kapjon fizetést, kivéve, ha már más forrásból kapnak fizetést;</w:t>
      </w:r>
    </w:p>
    <w:p w:rsidR="0048063A" w:rsidRPr="008B7061" w:rsidRDefault="0048063A" w:rsidP="00B47A25">
      <w:pPr>
        <w:pStyle w:val="NormalHanging12a"/>
        <w:widowControl/>
        <w:rPr>
          <w:b/>
          <w:i/>
          <w:szCs w:val="24"/>
        </w:rPr>
      </w:pPr>
      <w:proofErr w:type="gramStart"/>
      <w:r w:rsidRPr="008B7061">
        <w:rPr>
          <w:b/>
          <w:i/>
        </w:rPr>
        <w:t>Etikai</w:t>
      </w:r>
      <w:proofErr w:type="gramEnd"/>
      <w:r w:rsidRPr="008B7061">
        <w:rPr>
          <w:b/>
          <w:i/>
        </w:rPr>
        <w:t xml:space="preserve"> keret és átláthatóság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52</w:t>
      </w:r>
      <w:r w:rsidR="0048063A" w:rsidRPr="008B7061">
        <w:t>.</w:t>
      </w:r>
      <w:r w:rsidR="0048063A" w:rsidRPr="008B7061">
        <w:tab/>
        <w:t xml:space="preserve">megismétli, hogy az </w:t>
      </w:r>
      <w:proofErr w:type="gramStart"/>
      <w:r w:rsidR="0048063A" w:rsidRPr="008B7061">
        <w:t>etikus</w:t>
      </w:r>
      <w:proofErr w:type="gramEnd"/>
      <w:r w:rsidR="0048063A" w:rsidRPr="008B7061">
        <w:t xml:space="preserve"> magatartás hozzájárul a hatékony és eredményes pénzgazdálkodáshoz és növeli a közvélemény bizalmát, és hogy amint azt a Számvevőszék a 13/2019. sz. </w:t>
      </w:r>
      <w:proofErr w:type="spellStart"/>
      <w:r w:rsidR="0048063A" w:rsidRPr="008B7061">
        <w:t>különjelentésében</w:t>
      </w:r>
      <w:proofErr w:type="spellEnd"/>
      <w:r w:rsidR="0048063A" w:rsidRPr="008B7061">
        <w:t xml:space="preserve"> is hangsúlyozta, van még javítanivaló az uniós intézmények etikai keretét illetően, ami kulcsfontosságú, mivel a személyzet és a tagok etikátlan magatartása nagyfokú közérdeklődést vált ki és csökkenti az Unióba vetett bizalmat;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53</w:t>
      </w:r>
      <w:r w:rsidR="0048063A" w:rsidRPr="008B7061">
        <w:t>.</w:t>
      </w:r>
      <w:r w:rsidR="0048063A" w:rsidRPr="008B7061">
        <w:tab/>
        <w:t xml:space="preserve">sajnálatát fejezi ki amiatt, hogy a Parlamentnek nincs lehetősége arra, hogy kérdéseket tegyen fel a Tanácson belül érvényben lévő </w:t>
      </w:r>
      <w:proofErr w:type="gramStart"/>
      <w:r w:rsidR="0048063A" w:rsidRPr="008B7061">
        <w:t>etikai</w:t>
      </w:r>
      <w:proofErr w:type="gramEnd"/>
      <w:r w:rsidR="0048063A" w:rsidRPr="008B7061">
        <w:t xml:space="preserve"> kerettel kapcsolatban, mivel a Tanács nem válaszol a Parlament kérdéseire, és ezért nem kap tájékoztatást a Tanács személyzetének valamennyi tagjára alkalmazandó magatartási kódexről;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54</w:t>
      </w:r>
      <w:r w:rsidR="0048063A" w:rsidRPr="008B7061">
        <w:t>.</w:t>
      </w:r>
      <w:r w:rsidR="0048063A" w:rsidRPr="008B7061">
        <w:tab/>
        <w:t xml:space="preserve">emlékeztet a Számvevőszék által a 13/2019. sz. </w:t>
      </w:r>
      <w:proofErr w:type="spellStart"/>
      <w:r w:rsidR="0048063A" w:rsidRPr="008B7061">
        <w:t>különjelentésében</w:t>
      </w:r>
      <w:proofErr w:type="spellEnd"/>
      <w:r w:rsidR="0048063A" w:rsidRPr="008B7061">
        <w:t xml:space="preserve"> a Tanács </w:t>
      </w:r>
      <w:proofErr w:type="gramStart"/>
      <w:r w:rsidR="0048063A" w:rsidRPr="008B7061">
        <w:t>etikai</w:t>
      </w:r>
      <w:proofErr w:type="gramEnd"/>
      <w:r w:rsidR="0048063A" w:rsidRPr="008B7061">
        <w:t xml:space="preserve"> keretének javítása érdekében kiadott ajánlásra; aggodalmát fejezi ki amiatt, hogy a Számvevőszék szerint nincs olyan közös uniós etikai keret, amely a tagállamok Tanácson belüli képviselőinek munkáját szabályozza;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t>55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 xml:space="preserve">, hogy a Tanács Főtitkársága éves jelentést tesz közzé a Tanács Főtitkársága volt vezető tisztviselőinek a szolgálati jogviszony megszűnését követő szakmai tevékenységeiről (a személyzeti szabályzat 16. cikkének harmadik és negyedik bekezdése); </w:t>
      </w:r>
      <w:proofErr w:type="spellStart"/>
      <w:r w:rsidR="0048063A" w:rsidRPr="008B7061">
        <w:t>megjegyzi</w:t>
      </w:r>
      <w:proofErr w:type="spellEnd"/>
      <w:r w:rsidR="0048063A" w:rsidRPr="008B7061">
        <w:t xml:space="preserve">, hogy a 2022-re vonatkozó jelentés szerint négy vezető tisztviselő jelezte, hogy 2022 folyamán szakmai tevékenységet kíván folytatni, és hogy két volt vezető tisztviselő 2021 végén nyilatkozatot nyújtott be, amelyet 2022-ben is megvizsgáltak; </w:t>
      </w:r>
      <w:proofErr w:type="spellStart"/>
      <w:r w:rsidR="0048063A" w:rsidRPr="008B7061">
        <w:t>megjegyzi</w:t>
      </w:r>
      <w:proofErr w:type="spellEnd"/>
      <w:r w:rsidR="0048063A" w:rsidRPr="008B7061">
        <w:t>, hogy egyik kérelem sem tartozik a 16. cikk hatálya alá;</w:t>
      </w:r>
      <w:proofErr w:type="gramEnd"/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r w:rsidRPr="008B7061">
        <w:t>56</w:t>
      </w:r>
      <w:r w:rsidR="0048063A" w:rsidRPr="008B7061">
        <w:t>.</w:t>
      </w:r>
      <w:r w:rsidR="0048063A" w:rsidRPr="008B7061">
        <w:tab/>
        <w:t>megelégedéssel veszi tudomásul, hogy a Tanács valamennyi illetékes főigazgatója éves tevékenységi jelentésében kijelentette, hogy 2022-ben nem hívták fel a figyelmét csalásra vagy szabálytalanságra;</w:t>
      </w:r>
    </w:p>
    <w:p w:rsidR="0048063A" w:rsidRPr="008B7061" w:rsidRDefault="0048063A" w:rsidP="00B47A25">
      <w:pPr>
        <w:widowControl/>
        <w:spacing w:after="240"/>
        <w:ind w:left="567" w:hanging="567"/>
        <w:rPr>
          <w:b/>
          <w:i/>
          <w:szCs w:val="24"/>
        </w:rPr>
      </w:pPr>
      <w:proofErr w:type="spellStart"/>
      <w:r w:rsidRPr="008B7061">
        <w:rPr>
          <w:b/>
          <w:i/>
        </w:rPr>
        <w:t>Digitalizáció</w:t>
      </w:r>
      <w:proofErr w:type="spellEnd"/>
      <w:r w:rsidRPr="008B7061">
        <w:rPr>
          <w:b/>
          <w:i/>
        </w:rPr>
        <w:t xml:space="preserve">, </w:t>
      </w:r>
      <w:proofErr w:type="spellStart"/>
      <w:r w:rsidRPr="008B7061">
        <w:rPr>
          <w:b/>
          <w:i/>
        </w:rPr>
        <w:t>kiberbiztonság</w:t>
      </w:r>
      <w:proofErr w:type="spellEnd"/>
      <w:r w:rsidRPr="008B7061">
        <w:rPr>
          <w:b/>
          <w:i/>
        </w:rPr>
        <w:t xml:space="preserve"> és adatvédelem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proofErr w:type="gramStart"/>
      <w:r w:rsidRPr="008B7061">
        <w:t>5</w:t>
      </w:r>
      <w:r w:rsidR="00061C9B" w:rsidRPr="008B7061">
        <w:t>7</w:t>
      </w:r>
      <w:r w:rsidRPr="008B7061">
        <w:t>.</w:t>
      </w:r>
      <w:r w:rsidRPr="008B7061">
        <w:tab/>
      </w:r>
      <w:proofErr w:type="spellStart"/>
      <w:r w:rsidRPr="008B7061">
        <w:t>megjegyzi</w:t>
      </w:r>
      <w:proofErr w:type="spellEnd"/>
      <w:r w:rsidRPr="008B7061">
        <w:t>, hogy a Tanács informatikai rendszerekre és távközlésre szánt költségvetése 2022-ben eredetileg 48 115 000 EUR volt, ami 2021-hez képest 2,1%-</w:t>
      </w:r>
      <w:proofErr w:type="spellStart"/>
      <w:r w:rsidRPr="008B7061">
        <w:t>os</w:t>
      </w:r>
      <w:proofErr w:type="spellEnd"/>
      <w:r w:rsidRPr="008B7061">
        <w:t xml:space="preserve"> növekedést jelent; </w:t>
      </w:r>
      <w:proofErr w:type="spellStart"/>
      <w:r w:rsidRPr="008B7061">
        <w:t>megjegyzi</w:t>
      </w:r>
      <w:proofErr w:type="spellEnd"/>
      <w:r w:rsidRPr="008B7061">
        <w:t xml:space="preserve"> azonban, hogy 2022-ben további 6 805 000 EUR-t csoportosítottak át a költségvetésbe, de a tényleges kifizetések jelentősen alacsonyabbak voltak, 27 096 067 EUR-t tettek ki, ami az összes végleges előirányzatnak csak mintegy 50%-át teszi ki;</w:t>
      </w:r>
      <w:proofErr w:type="gramEnd"/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5</w:t>
      </w:r>
      <w:r w:rsidR="00061C9B" w:rsidRPr="008B7061">
        <w:t>8</w:t>
      </w:r>
      <w:r w:rsidRPr="008B7061">
        <w:t>.</w:t>
      </w:r>
      <w:r w:rsidRPr="008B7061">
        <w:tab/>
        <w:t>üdvözli, hogy a számlák elektronikus feldolgozása 2022-ben elérte a 97%-</w:t>
      </w:r>
      <w:proofErr w:type="spellStart"/>
      <w:r w:rsidRPr="008B7061">
        <w:t>ot</w:t>
      </w:r>
      <w:proofErr w:type="spellEnd"/>
      <w:r w:rsidRPr="008B7061">
        <w:t>, ami jelentős növekedést jelent a 2021. évi 89%-hoz képest;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5</w:t>
      </w:r>
      <w:r w:rsidR="00061C9B" w:rsidRPr="008B7061">
        <w:t>9</w:t>
      </w:r>
      <w:r w:rsidRPr="008B7061">
        <w:t>.</w:t>
      </w:r>
      <w:r w:rsidRPr="008B7061">
        <w:tab/>
        <w:t xml:space="preserve">ismételten felhívja a Tanácsot, hogy tárja fel a nyílt forráskódú technológiák lehető legszélesebb körű használatának módjait, és számoljon be az ilyen rendszerek használata terén elért </w:t>
      </w:r>
      <w:proofErr w:type="spellStart"/>
      <w:r w:rsidRPr="008B7061">
        <w:t>előrehaladásról</w:t>
      </w:r>
      <w:proofErr w:type="spellEnd"/>
      <w:r w:rsidRPr="008B7061">
        <w:t>;</w:t>
      </w:r>
    </w:p>
    <w:p w:rsidR="0048063A" w:rsidRPr="008B7061" w:rsidRDefault="0048063A" w:rsidP="00B47A25">
      <w:pPr>
        <w:widowControl/>
        <w:spacing w:after="240"/>
        <w:ind w:left="567" w:hanging="567"/>
        <w:rPr>
          <w:b/>
          <w:bCs/>
          <w:i/>
          <w:iCs/>
          <w:szCs w:val="24"/>
        </w:rPr>
      </w:pPr>
      <w:r w:rsidRPr="008B7061">
        <w:rPr>
          <w:b/>
          <w:i/>
        </w:rPr>
        <w:t>Épületek</w:t>
      </w:r>
    </w:p>
    <w:p w:rsidR="0048063A" w:rsidRPr="008B7061" w:rsidRDefault="00061C9B" w:rsidP="00B47A25">
      <w:pPr>
        <w:pStyle w:val="NormalHanging12a"/>
        <w:widowControl/>
        <w:rPr>
          <w:szCs w:val="24"/>
        </w:rPr>
      </w:pPr>
      <w:proofErr w:type="gramStart"/>
      <w:r w:rsidRPr="008B7061">
        <w:lastRenderedPageBreak/>
        <w:t>60</w:t>
      </w:r>
      <w:r w:rsidR="0048063A" w:rsidRPr="008B7061">
        <w:t>.</w:t>
      </w:r>
      <w:r w:rsidR="0048063A" w:rsidRPr="008B7061">
        <w:tab/>
      </w:r>
      <w:proofErr w:type="spellStart"/>
      <w:r w:rsidR="0048063A" w:rsidRPr="008B7061">
        <w:t>megjegyzi</w:t>
      </w:r>
      <w:proofErr w:type="spellEnd"/>
      <w:r w:rsidR="0048063A" w:rsidRPr="008B7061">
        <w:t>, hogy az épületekkel kapcsolatos teljes kifizetések 2022-ben 45 435 994 EUR-t tettek ki, ami a 2021. évi 35 709 119 EUR-hoz képest jelentős, 27,2%-</w:t>
      </w:r>
      <w:proofErr w:type="spellStart"/>
      <w:r w:rsidR="0048063A" w:rsidRPr="008B7061">
        <w:t>os</w:t>
      </w:r>
      <w:proofErr w:type="spellEnd"/>
      <w:r w:rsidR="0048063A" w:rsidRPr="008B7061">
        <w:t xml:space="preserve"> növekedést jelent; </w:t>
      </w:r>
      <w:proofErr w:type="spellStart"/>
      <w:r w:rsidR="0048063A" w:rsidRPr="008B7061">
        <w:t>megjegyzi</w:t>
      </w:r>
      <w:proofErr w:type="spellEnd"/>
      <w:r w:rsidR="0048063A" w:rsidRPr="008B7061">
        <w:t>, hogy e növekedés fő oka a víz-, gáz-, villamosenergia- és fűtési kifizetések, amelyek a 2021. évi 2 565 008 EUR-ról 2022-ben 11 233 088 EUR-ra nőttek, ami 333%-</w:t>
      </w:r>
      <w:proofErr w:type="spellStart"/>
      <w:r w:rsidR="0048063A" w:rsidRPr="008B7061">
        <w:t>os</w:t>
      </w:r>
      <w:proofErr w:type="spellEnd"/>
      <w:r w:rsidR="0048063A" w:rsidRPr="008B7061">
        <w:t xml:space="preserve"> növekedésnek felel meg;</w:t>
      </w:r>
      <w:proofErr w:type="gramEnd"/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6</w:t>
      </w:r>
      <w:r w:rsidR="00061C9B" w:rsidRPr="008B7061">
        <w:t>1</w:t>
      </w:r>
      <w:r w:rsidRPr="008B7061">
        <w:t>.</w:t>
      </w:r>
      <w:r w:rsidRPr="008B7061">
        <w:tab/>
        <w:t xml:space="preserve">üdvözli, hogy a Tanács az előző évekhez képest 2022-ben csökkenteni tudta az energiafogyasztást, többek között az összes uniós intézmény által elfogadott, az épületek hőmérsékletének 19 fokra való csökkentésére irányuló politika miatt; mindazonáltal arra </w:t>
      </w:r>
      <w:proofErr w:type="spellStart"/>
      <w:r w:rsidRPr="008B7061">
        <w:t>ösztönzi</w:t>
      </w:r>
      <w:proofErr w:type="spellEnd"/>
      <w:r w:rsidRPr="008B7061">
        <w:t xml:space="preserve"> a Tanács Főtitkárságát, hogy határozza meg az energiafogyasztás csökkentésére irányuló további kezdeményezéseket;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6</w:t>
      </w:r>
      <w:r w:rsidR="00061C9B" w:rsidRPr="008B7061">
        <w:t>2</w:t>
      </w:r>
      <w:r w:rsidRPr="008B7061">
        <w:t>.</w:t>
      </w:r>
      <w:r w:rsidRPr="008B7061">
        <w:tab/>
        <w:t xml:space="preserve">sajnálatát fejezi ki amiatt, hogy mivel a Tanács nem válaszolt a Parlament kérdőívére, a Parlament nem rendelkezik </w:t>
      </w:r>
      <w:proofErr w:type="gramStart"/>
      <w:r w:rsidRPr="008B7061">
        <w:t>információkkal</w:t>
      </w:r>
      <w:proofErr w:type="gramEnd"/>
      <w:r w:rsidRPr="008B7061">
        <w:t xml:space="preserve"> a Tanács 2022-ben a fogyatékossággal élő személyek számára az épületeikhez való jobb hozzáféréssel kapcsolatos kezdeményezésekről és más lehetséges, a fogyatékossággal élő személyek érdekében indított kezdeményezésekről;</w:t>
      </w:r>
    </w:p>
    <w:p w:rsidR="0048063A" w:rsidRPr="008B7061" w:rsidRDefault="0048063A" w:rsidP="00B47A25">
      <w:pPr>
        <w:widowControl/>
        <w:spacing w:after="240"/>
        <w:ind w:left="567" w:hanging="567"/>
        <w:rPr>
          <w:b/>
          <w:i/>
          <w:szCs w:val="24"/>
        </w:rPr>
      </w:pPr>
      <w:r w:rsidRPr="008B7061">
        <w:rPr>
          <w:b/>
          <w:i/>
        </w:rPr>
        <w:t>Környezetvédelem és fenntarthatóság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proofErr w:type="gramStart"/>
      <w:r w:rsidRPr="008B7061">
        <w:t>6</w:t>
      </w:r>
      <w:r w:rsidR="00061C9B" w:rsidRPr="008B7061">
        <w:t>3</w:t>
      </w:r>
      <w:r w:rsidRPr="008B7061">
        <w:t>.</w:t>
      </w:r>
      <w:r w:rsidRPr="008B7061">
        <w:tab/>
      </w:r>
      <w:proofErr w:type="spellStart"/>
      <w:r w:rsidRPr="008B7061">
        <w:t>megjegyzi</w:t>
      </w:r>
      <w:proofErr w:type="spellEnd"/>
      <w:r w:rsidRPr="008B7061">
        <w:t xml:space="preserve">, hogy továbbra is nehéz naprakész és átfogó információkat szerezni a Tanács környezetvédelemmel és fenntarthatósággal, valamint az általános fogyasztás – többek között a víz, a gáz, a villamos energia és a papír felhasználásával – kapcsolatos kezdeményezéseiről; </w:t>
      </w:r>
      <w:proofErr w:type="spellStart"/>
      <w:r w:rsidRPr="008B7061">
        <w:t>ösztönzi</w:t>
      </w:r>
      <w:proofErr w:type="spellEnd"/>
      <w:r w:rsidRPr="008B7061">
        <w:t xml:space="preserve"> a Tanácsot, hogy éves jelentései részeként rendszeresen számoljon be munkája környezeti és fenntarthatósági elemeiről; megelégedéssel veszi tudomásul az éves jelentésben említett néhány kisebb kezdeményezést, például négy elektromos autó vásárlását és a környezettel kapcsolatos záradékok közbeszerzési eljárásokba</w:t>
      </w:r>
      <w:proofErr w:type="gramEnd"/>
      <w:r w:rsidRPr="008B7061">
        <w:t xml:space="preserve"> való beépítésének ösztönzését;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6</w:t>
      </w:r>
      <w:r w:rsidR="00061C9B" w:rsidRPr="008B7061">
        <w:t>4</w:t>
      </w:r>
      <w:r w:rsidRPr="008B7061">
        <w:t>.</w:t>
      </w:r>
      <w:r w:rsidRPr="008B7061">
        <w:tab/>
        <w:t xml:space="preserve">továbbra is arra kéri a Tanácsot, hogy szénlábnyomának csökkentése érdekében hozzon létre olyan rendszert, amely arra </w:t>
      </w:r>
      <w:proofErr w:type="spellStart"/>
      <w:r w:rsidRPr="008B7061">
        <w:t>ösztönzi</w:t>
      </w:r>
      <w:proofErr w:type="spellEnd"/>
      <w:r w:rsidRPr="008B7061">
        <w:t xml:space="preserve"> a személyzetet, hogy használják a tömegközlekedést vagy más alacsony kibocsátású közlekedést, például kerékpárokat;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6</w:t>
      </w:r>
      <w:r w:rsidR="00061C9B" w:rsidRPr="008B7061">
        <w:t>5</w:t>
      </w:r>
      <w:r w:rsidRPr="008B7061">
        <w:t>.</w:t>
      </w:r>
      <w:r w:rsidRPr="008B7061">
        <w:tab/>
      </w:r>
      <w:proofErr w:type="spellStart"/>
      <w:r w:rsidRPr="008B7061">
        <w:t>megjegyzi</w:t>
      </w:r>
      <w:proofErr w:type="spellEnd"/>
      <w:r w:rsidRPr="008B7061">
        <w:t xml:space="preserve">, hogy a Tanács éves beszámolója szerint 2022 végén a Tanács 773,4 zöldenergia-tanúsítvánnyal rendelkezett – szemben a 2021 végi 2 589,2-vel – a Tanács épületeinek tetején található napelemek által előállított energia alapján; </w:t>
      </w:r>
      <w:proofErr w:type="spellStart"/>
      <w:r w:rsidRPr="008B7061">
        <w:t>megjegyzi</w:t>
      </w:r>
      <w:proofErr w:type="spellEnd"/>
      <w:r w:rsidRPr="008B7061">
        <w:t xml:space="preserve">, hogy a tanúsítványok értéke egyenként 65 EUR; továbbra is arra kéri a Tanácsot, hogy részletesebben számoljon be az ilyen tanúsítványok </w:t>
      </w:r>
      <w:proofErr w:type="gramStart"/>
      <w:r w:rsidRPr="008B7061">
        <w:t>szabad piacon</w:t>
      </w:r>
      <w:proofErr w:type="gramEnd"/>
      <w:r w:rsidRPr="008B7061">
        <w:t xml:space="preserve"> történő értékesítéséről és a keletkező bevételek tervezett felhasználásáról;</w:t>
      </w:r>
    </w:p>
    <w:p w:rsidR="0048063A" w:rsidRPr="008B7061" w:rsidRDefault="0048063A" w:rsidP="00B47A25">
      <w:pPr>
        <w:widowControl/>
        <w:spacing w:after="240"/>
        <w:ind w:left="567" w:hanging="567"/>
        <w:rPr>
          <w:b/>
          <w:i/>
          <w:szCs w:val="24"/>
        </w:rPr>
      </w:pPr>
      <w:r w:rsidRPr="008B7061">
        <w:rPr>
          <w:b/>
          <w:i/>
        </w:rPr>
        <w:t>Intézményközi együttműködés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6</w:t>
      </w:r>
      <w:r w:rsidR="00061C9B" w:rsidRPr="008B7061">
        <w:t>6</w:t>
      </w:r>
      <w:r w:rsidRPr="008B7061">
        <w:t>.</w:t>
      </w:r>
      <w:r w:rsidRPr="008B7061">
        <w:tab/>
        <w:t xml:space="preserve">hangsúlyozza, hogy az EUMSZ 319. cikkét a Szerződés módosításának részeként felül kell vizsgálni annak kifejezett kimondása érdekében, hogy a Parlament – a Bizottság </w:t>
      </w:r>
      <w:proofErr w:type="gramStart"/>
      <w:r w:rsidRPr="008B7061">
        <w:t>mentesítése</w:t>
      </w:r>
      <w:proofErr w:type="gramEnd"/>
      <w:r w:rsidRPr="008B7061">
        <w:t xml:space="preserve"> mellett – mentesítést ad más uniós intézményeknek, szerveknek, hivataloknak és ügynökségeknek is az általános költségvetés rájuk vonatkozó szakaszainak vagy költségvetésüknek végrehajtására vonatkozóan;</w:t>
      </w:r>
    </w:p>
    <w:p w:rsidR="0048063A" w:rsidRPr="008B7061" w:rsidRDefault="0048063A" w:rsidP="00B47A25">
      <w:pPr>
        <w:pStyle w:val="NormalHanging12a"/>
        <w:widowControl/>
        <w:rPr>
          <w:b/>
          <w:i/>
          <w:szCs w:val="24"/>
        </w:rPr>
      </w:pPr>
      <w:r w:rsidRPr="008B7061">
        <w:rPr>
          <w:b/>
          <w:i/>
        </w:rPr>
        <w:t>Kommunikáció</w:t>
      </w:r>
    </w:p>
    <w:p w:rsidR="0048063A" w:rsidRPr="008B7061" w:rsidRDefault="0048063A" w:rsidP="00B47A25">
      <w:pPr>
        <w:pStyle w:val="NormalHanging12a"/>
        <w:widowControl/>
        <w:rPr>
          <w:szCs w:val="24"/>
        </w:rPr>
      </w:pPr>
      <w:r w:rsidRPr="008B7061">
        <w:t>6</w:t>
      </w:r>
      <w:r w:rsidR="00061C9B" w:rsidRPr="008B7061">
        <w:t>7</w:t>
      </w:r>
      <w:r w:rsidRPr="008B7061">
        <w:t>.</w:t>
      </w:r>
      <w:r w:rsidRPr="008B7061">
        <w:tab/>
      </w:r>
      <w:proofErr w:type="spellStart"/>
      <w:r w:rsidRPr="008B7061">
        <w:t>megjegyzi</w:t>
      </w:r>
      <w:proofErr w:type="spellEnd"/>
      <w:r w:rsidRPr="008B7061">
        <w:t>, hogy 2022 rekordév volt: több mint 24,5 millió látogatás történt a Tanács honlapján, ami 2020-hoz képest 16%-</w:t>
      </w:r>
      <w:proofErr w:type="spellStart"/>
      <w:r w:rsidRPr="008B7061">
        <w:t>os</w:t>
      </w:r>
      <w:proofErr w:type="spellEnd"/>
      <w:r w:rsidRPr="008B7061">
        <w:t xml:space="preserve"> növekedést jelent, és hogy a Facebookon a </w:t>
      </w:r>
      <w:r w:rsidRPr="008B7061">
        <w:lastRenderedPageBreak/>
        <w:t>követők száma 8%-</w:t>
      </w:r>
      <w:proofErr w:type="spellStart"/>
      <w:r w:rsidRPr="008B7061">
        <w:t>kal</w:t>
      </w:r>
      <w:proofErr w:type="spellEnd"/>
      <w:r w:rsidRPr="008B7061">
        <w:t xml:space="preserve"> nőtt, míg az X-en (korábban </w:t>
      </w:r>
      <w:proofErr w:type="spellStart"/>
      <w:r w:rsidRPr="008B7061">
        <w:t>Twitter</w:t>
      </w:r>
      <w:proofErr w:type="spellEnd"/>
      <w:r w:rsidRPr="008B7061">
        <w:t xml:space="preserve">), az </w:t>
      </w:r>
      <w:proofErr w:type="spellStart"/>
      <w:r w:rsidRPr="008B7061">
        <w:t>Instagramon</w:t>
      </w:r>
      <w:proofErr w:type="spellEnd"/>
      <w:r w:rsidRPr="008B7061">
        <w:t xml:space="preserve"> és a </w:t>
      </w:r>
      <w:proofErr w:type="spellStart"/>
      <w:r w:rsidRPr="008B7061">
        <w:t>LinkedInen</w:t>
      </w:r>
      <w:proofErr w:type="spellEnd"/>
      <w:r w:rsidRPr="008B7061">
        <w:t xml:space="preserve"> a követők száma 19%-</w:t>
      </w:r>
      <w:proofErr w:type="spellStart"/>
      <w:r w:rsidRPr="008B7061">
        <w:t>kal</w:t>
      </w:r>
      <w:proofErr w:type="spellEnd"/>
      <w:r w:rsidRPr="008B7061">
        <w:t>, 17%-</w:t>
      </w:r>
      <w:proofErr w:type="spellStart"/>
      <w:r w:rsidRPr="008B7061">
        <w:t>kal</w:t>
      </w:r>
      <w:proofErr w:type="spellEnd"/>
      <w:r w:rsidRPr="008B7061">
        <w:t>, illetve 33%-</w:t>
      </w:r>
      <w:proofErr w:type="spellStart"/>
      <w:r w:rsidRPr="008B7061">
        <w:t>kal</w:t>
      </w:r>
      <w:proofErr w:type="spellEnd"/>
      <w:r w:rsidRPr="008B7061">
        <w:t xml:space="preserve"> nőtt;</w:t>
      </w:r>
    </w:p>
    <w:p w:rsidR="00E365E1" w:rsidRPr="008B7061" w:rsidRDefault="0048063A" w:rsidP="001B6BFC">
      <w:pPr>
        <w:pStyle w:val="NormalHanging12a"/>
        <w:widowControl/>
      </w:pPr>
      <w:r w:rsidRPr="008B7061">
        <w:t>6</w:t>
      </w:r>
      <w:r w:rsidR="00061C9B" w:rsidRPr="008B7061">
        <w:t>8</w:t>
      </w:r>
      <w:r w:rsidRPr="008B7061">
        <w:t>.</w:t>
      </w:r>
      <w:r w:rsidRPr="008B7061">
        <w:tab/>
      </w:r>
      <w:proofErr w:type="spellStart"/>
      <w:r w:rsidRPr="008B7061">
        <w:t>ösztönzi</w:t>
      </w:r>
      <w:proofErr w:type="spellEnd"/>
      <w:r w:rsidRPr="008B7061">
        <w:t xml:space="preserve"> a Tanácsot, hogy működjön együtt az európai adatvédelmi biztossal a két nyílt forráskódú közösségimédia-platform, az EU </w:t>
      </w:r>
      <w:proofErr w:type="spellStart"/>
      <w:r w:rsidRPr="008B7061">
        <w:t>Voice</w:t>
      </w:r>
      <w:proofErr w:type="spellEnd"/>
      <w:r w:rsidRPr="008B7061">
        <w:t xml:space="preserve"> és az EU Video használata érdekében, amelyeket nyilvános kísérleti projektként indítottak el az ingyenes és nyílt forráskódú közösségi hálózatok használatának előmozdítása érdekében; arra </w:t>
      </w:r>
      <w:proofErr w:type="spellStart"/>
      <w:r w:rsidRPr="008B7061">
        <w:t>ösztönzi</w:t>
      </w:r>
      <w:proofErr w:type="spellEnd"/>
      <w:r w:rsidRPr="008B7061">
        <w:t xml:space="preserve"> a Tanácsot, hogy használjon a </w:t>
      </w:r>
      <w:proofErr w:type="spellStart"/>
      <w:r w:rsidRPr="008B7061">
        <w:t>Mastodonhoz</w:t>
      </w:r>
      <w:proofErr w:type="spellEnd"/>
      <w:r w:rsidRPr="008B7061">
        <w:t xml:space="preserve"> hasonló decentralizált közösségi hálózati alternatívákat az online óriásplatformok helyett.</w:t>
      </w:r>
    </w:p>
    <w:sectPr w:rsidR="00E365E1" w:rsidRPr="008B7061" w:rsidSect="00B47A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88F" w:rsidRPr="00E76EF3" w:rsidRDefault="00D2088F">
      <w:r w:rsidRPr="00E76EF3">
        <w:separator/>
      </w:r>
    </w:p>
  </w:endnote>
  <w:endnote w:type="continuationSeparator" w:id="0">
    <w:p w:rsidR="00D2088F" w:rsidRPr="00E76EF3" w:rsidRDefault="00D2088F">
      <w:r w:rsidRPr="00E76E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63A" w:rsidRPr="00E76EF3" w:rsidRDefault="0048063A" w:rsidP="00684792">
    <w:pPr>
      <w:pStyle w:val="EPFooter"/>
    </w:pPr>
    <w:proofErr w:type="gramStart"/>
    <w:r w:rsidRPr="00E76EF3">
      <w:t>PE</w:t>
    </w:r>
    <w:r w:rsidRPr="00E76EF3">
      <w:rPr>
        <w:rStyle w:val="HideTWBExt"/>
      </w:rPr>
      <w:t>&lt;</w:t>
    </w:r>
    <w:proofErr w:type="spellStart"/>
    <w:proofErr w:type="gramEnd"/>
    <w:r w:rsidRPr="00E76EF3">
      <w:rPr>
        <w:rStyle w:val="HideTWBExt"/>
      </w:rPr>
      <w:t>NoPE</w:t>
    </w:r>
    <w:proofErr w:type="spellEnd"/>
    <w:r w:rsidRPr="00E76EF3">
      <w:rPr>
        <w:rStyle w:val="HideTWBExt"/>
      </w:rPr>
      <w:t>&gt;</w:t>
    </w:r>
    <w:r w:rsidRPr="00E76EF3">
      <w:t>753.479</w:t>
    </w:r>
    <w:r w:rsidRPr="00E76EF3">
      <w:rPr>
        <w:rStyle w:val="HideTWBExt"/>
      </w:rPr>
      <w:t>&lt;/</w:t>
    </w:r>
    <w:proofErr w:type="spellStart"/>
    <w:r w:rsidRPr="00E76EF3">
      <w:rPr>
        <w:rStyle w:val="HideTWBExt"/>
      </w:rPr>
      <w:t>NoPE</w:t>
    </w:r>
    <w:proofErr w:type="spellEnd"/>
    <w:r w:rsidRPr="00E76EF3">
      <w:rPr>
        <w:rStyle w:val="HideTWBExt"/>
      </w:rPr>
      <w:t>&gt;&lt;Version&gt;</w:t>
    </w:r>
    <w:r w:rsidRPr="00E76EF3">
      <w:t>v02-00</w:t>
    </w:r>
    <w:r w:rsidRPr="00E76EF3">
      <w:rPr>
        <w:rStyle w:val="HideTWBExt"/>
      </w:rPr>
      <w:t>&lt;/Version&gt;</w:t>
    </w:r>
    <w:r w:rsidRPr="00E76EF3">
      <w:tab/>
    </w:r>
    <w:r w:rsidRPr="00E76EF3">
      <w:fldChar w:fldCharType="begin"/>
    </w:r>
    <w:r w:rsidRPr="00E76EF3">
      <w:instrText xml:space="preserve"> PAGE  \* MERGEFORMAT </w:instrText>
    </w:r>
    <w:r w:rsidRPr="00E76EF3">
      <w:fldChar w:fldCharType="separate"/>
    </w:r>
    <w:r w:rsidR="00E76EF3" w:rsidRPr="00E76EF3">
      <w:rPr>
        <w:noProof/>
      </w:rPr>
      <w:t>2</w:t>
    </w:r>
    <w:r w:rsidRPr="00E76EF3">
      <w:fldChar w:fldCharType="end"/>
    </w:r>
    <w:r w:rsidRPr="00E76EF3">
      <w:t>/</w:t>
    </w:r>
    <w:fldSimple w:instr=" NUMPAGES  \* MERGEFORMAT ">
      <w:r w:rsidR="00E76EF3" w:rsidRPr="00E76EF3">
        <w:rPr>
          <w:noProof/>
        </w:rPr>
        <w:t>3</w:t>
      </w:r>
    </w:fldSimple>
    <w:r w:rsidRPr="00E76EF3">
      <w:tab/>
    </w:r>
    <w:r w:rsidRPr="00E76EF3">
      <w:rPr>
        <w:rStyle w:val="HideTWBExt"/>
      </w:rPr>
      <w:t>&lt;PathFdR&gt;</w:t>
    </w:r>
    <w:r w:rsidRPr="00E76EF3">
      <w:t>RR\1298435HU.docx</w:t>
    </w:r>
    <w:r w:rsidRPr="00E76EF3">
      <w:rPr>
        <w:rStyle w:val="HideTWBExt"/>
      </w:rPr>
      <w:t>&lt;/</w:t>
    </w:r>
    <w:proofErr w:type="spellStart"/>
    <w:r w:rsidRPr="00E76EF3">
      <w:rPr>
        <w:rStyle w:val="HideTWBExt"/>
      </w:rPr>
      <w:t>PathFdR</w:t>
    </w:r>
    <w:proofErr w:type="spellEnd"/>
    <w:r w:rsidRPr="00E76EF3">
      <w:rPr>
        <w:rStyle w:val="HideTWBExt"/>
      </w:rPr>
      <w:t>&gt;</w:t>
    </w:r>
  </w:p>
  <w:p w:rsidR="0048063A" w:rsidRPr="00E76EF3" w:rsidRDefault="0048063A" w:rsidP="00684792">
    <w:pPr>
      <w:pStyle w:val="EPFooter2"/>
    </w:pPr>
    <w:r w:rsidRPr="00E76EF3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63A" w:rsidRPr="00E76EF3" w:rsidRDefault="0048063A" w:rsidP="00684792">
    <w:pPr>
      <w:pStyle w:val="EPFooter"/>
    </w:pPr>
    <w:r w:rsidRPr="00E76EF3">
      <w:rPr>
        <w:rStyle w:val="HideTWBExt"/>
      </w:rPr>
      <w:t>&lt;PathFdR&gt;</w:t>
    </w:r>
    <w:r w:rsidRPr="00E76EF3">
      <w:t>RR\1298435HU.docx</w:t>
    </w:r>
    <w:r w:rsidRPr="00E76EF3">
      <w:rPr>
        <w:rStyle w:val="HideTWBExt"/>
      </w:rPr>
      <w:t>&lt;/</w:t>
    </w:r>
    <w:proofErr w:type="spellStart"/>
    <w:r w:rsidRPr="00E76EF3">
      <w:rPr>
        <w:rStyle w:val="HideTWBExt"/>
      </w:rPr>
      <w:t>PathFdR</w:t>
    </w:r>
    <w:proofErr w:type="spellEnd"/>
    <w:r w:rsidRPr="00E76EF3">
      <w:rPr>
        <w:rStyle w:val="HideTWBExt"/>
      </w:rPr>
      <w:t>&gt;</w:t>
    </w:r>
    <w:r w:rsidRPr="00E76EF3">
      <w:tab/>
    </w:r>
    <w:r w:rsidRPr="00E76EF3">
      <w:tab/>
      <w:t>PE</w:t>
    </w:r>
    <w:r w:rsidRPr="00E76EF3">
      <w:rPr>
        <w:rStyle w:val="HideTWBExt"/>
      </w:rPr>
      <w:t>&lt;</w:t>
    </w:r>
    <w:proofErr w:type="spellStart"/>
    <w:r w:rsidRPr="00E76EF3">
      <w:rPr>
        <w:rStyle w:val="HideTWBExt"/>
      </w:rPr>
      <w:t>NoPE</w:t>
    </w:r>
    <w:proofErr w:type="spellEnd"/>
    <w:r w:rsidRPr="00E76EF3">
      <w:rPr>
        <w:rStyle w:val="HideTWBExt"/>
      </w:rPr>
      <w:t>&gt;</w:t>
    </w:r>
    <w:r w:rsidRPr="00E76EF3">
      <w:t>753.479</w:t>
    </w:r>
    <w:r w:rsidRPr="00E76EF3">
      <w:rPr>
        <w:rStyle w:val="HideTWBExt"/>
      </w:rPr>
      <w:t>&lt;/</w:t>
    </w:r>
    <w:proofErr w:type="spellStart"/>
    <w:r w:rsidRPr="00E76EF3">
      <w:rPr>
        <w:rStyle w:val="HideTWBExt"/>
      </w:rPr>
      <w:t>NoPE</w:t>
    </w:r>
    <w:proofErr w:type="spellEnd"/>
    <w:r w:rsidRPr="00E76EF3">
      <w:rPr>
        <w:rStyle w:val="HideTWBExt"/>
      </w:rPr>
      <w:t>&gt;&lt;Version&gt;</w:t>
    </w:r>
    <w:r w:rsidRPr="00E76EF3">
      <w:t>v02-00</w:t>
    </w:r>
    <w:r w:rsidRPr="00E76EF3">
      <w:rPr>
        <w:rStyle w:val="HideTWBExt"/>
      </w:rPr>
      <w:t>&lt;/Version&gt;</w:t>
    </w:r>
  </w:p>
  <w:p w:rsidR="0048063A" w:rsidRPr="00E76EF3" w:rsidRDefault="0048063A" w:rsidP="00684792">
    <w:pPr>
      <w:pStyle w:val="EPFooter2"/>
    </w:pPr>
    <w:proofErr w:type="gramStart"/>
    <w:r w:rsidRPr="00E76EF3">
      <w:t>HU</w:t>
    </w:r>
    <w:proofErr w:type="gramEnd"/>
    <w:r w:rsidRPr="00E76EF3">
      <w:tab/>
    </w:r>
    <w:r w:rsidRPr="00E76EF3">
      <w:rPr>
        <w:b w:val="0"/>
        <w:i/>
        <w:color w:val="C0C0C0"/>
        <w:sz w:val="22"/>
      </w:rPr>
      <w:t>Egyesülve a sokféleségben</w:t>
    </w:r>
    <w:r w:rsidRPr="00E76EF3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6EF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6EF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6E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88F" w:rsidRPr="00E76EF3" w:rsidRDefault="00D2088F">
      <w:r w:rsidRPr="00E76EF3">
        <w:separator/>
      </w:r>
    </w:p>
  </w:footnote>
  <w:footnote w:type="continuationSeparator" w:id="0">
    <w:p w:rsidR="00D2088F" w:rsidRPr="00E76EF3" w:rsidRDefault="00D2088F">
      <w:r w:rsidRPr="00E76EF3">
        <w:continuationSeparator/>
      </w:r>
    </w:p>
  </w:footnote>
  <w:footnote w:id="1">
    <w:p w:rsidR="0048063A" w:rsidRPr="00E76EF3" w:rsidRDefault="0048063A" w:rsidP="00E76EF3">
      <w:pPr>
        <w:pStyle w:val="FootnoteText"/>
        <w:ind w:left="567" w:hanging="567"/>
        <w:rPr>
          <w:sz w:val="24"/>
          <w:lang w:val="hu-HU"/>
        </w:rPr>
      </w:pPr>
      <w:r w:rsidRPr="00E76EF3">
        <w:rPr>
          <w:rStyle w:val="FootnoteReference"/>
          <w:sz w:val="24"/>
          <w:lang w:val="hu-HU"/>
        </w:rPr>
        <w:footnoteRef/>
      </w:r>
      <w:r w:rsidR="00E76EF3" w:rsidRPr="00E76EF3">
        <w:rPr>
          <w:sz w:val="24"/>
          <w:lang w:val="hu-HU"/>
        </w:rPr>
        <w:t xml:space="preserve"> </w:t>
      </w:r>
      <w:r w:rsidR="00E76EF3" w:rsidRPr="00E76EF3">
        <w:rPr>
          <w:sz w:val="24"/>
          <w:lang w:val="hu-HU"/>
        </w:rPr>
        <w:tab/>
      </w:r>
      <w:r w:rsidRPr="00E76EF3">
        <w:rPr>
          <w:sz w:val="24"/>
          <w:lang w:val="hu-HU"/>
        </w:rPr>
        <w:t>HL L 45., 2022.2.24.</w:t>
      </w:r>
    </w:p>
  </w:footnote>
  <w:footnote w:id="2">
    <w:p w:rsidR="0048063A" w:rsidRPr="00E76EF3" w:rsidRDefault="0048063A" w:rsidP="00E76EF3">
      <w:pPr>
        <w:pStyle w:val="FootnoteText"/>
        <w:ind w:left="567" w:hanging="567"/>
        <w:rPr>
          <w:sz w:val="24"/>
          <w:lang w:val="hu-HU"/>
        </w:rPr>
      </w:pPr>
      <w:r w:rsidRPr="00E76EF3">
        <w:rPr>
          <w:rStyle w:val="FootnoteReference"/>
          <w:sz w:val="24"/>
          <w:lang w:val="hu-HU"/>
        </w:rPr>
        <w:footnoteRef/>
      </w:r>
      <w:r w:rsidR="00E76EF3" w:rsidRPr="00E76EF3">
        <w:rPr>
          <w:sz w:val="24"/>
          <w:lang w:val="hu-HU"/>
        </w:rPr>
        <w:t xml:space="preserve"> </w:t>
      </w:r>
      <w:r w:rsidR="00E76EF3" w:rsidRPr="00E76EF3">
        <w:rPr>
          <w:sz w:val="24"/>
          <w:lang w:val="hu-HU"/>
        </w:rPr>
        <w:tab/>
      </w:r>
      <w:r w:rsidRPr="00E76EF3">
        <w:rPr>
          <w:sz w:val="24"/>
          <w:lang w:val="hu-HU"/>
        </w:rPr>
        <w:t>HL C, C/2023/2, 2023.10.12.</w:t>
      </w:r>
    </w:p>
  </w:footnote>
  <w:footnote w:id="3">
    <w:p w:rsidR="0048063A" w:rsidRPr="00E76EF3" w:rsidRDefault="0048063A" w:rsidP="00E76EF3">
      <w:pPr>
        <w:pStyle w:val="FootnoteText"/>
        <w:ind w:left="567" w:hanging="567"/>
        <w:rPr>
          <w:sz w:val="24"/>
          <w:lang w:val="hu-HU"/>
        </w:rPr>
      </w:pPr>
      <w:r w:rsidRPr="00E76EF3">
        <w:rPr>
          <w:rStyle w:val="FootnoteReference"/>
          <w:sz w:val="24"/>
          <w:lang w:val="hu-HU"/>
        </w:rPr>
        <w:footnoteRef/>
      </w:r>
      <w:r w:rsidR="00E76EF3" w:rsidRPr="00E76EF3">
        <w:rPr>
          <w:sz w:val="24"/>
          <w:lang w:val="hu-HU"/>
        </w:rPr>
        <w:t xml:space="preserve"> </w:t>
      </w:r>
      <w:r w:rsidR="00E76EF3" w:rsidRPr="00E76EF3">
        <w:rPr>
          <w:sz w:val="24"/>
          <w:lang w:val="hu-HU"/>
        </w:rPr>
        <w:tab/>
      </w:r>
      <w:r w:rsidRPr="00E76EF3">
        <w:rPr>
          <w:sz w:val="24"/>
          <w:lang w:val="hu-HU"/>
        </w:rPr>
        <w:t>HL C, C/2023/103, 2023.10.4.</w:t>
      </w:r>
    </w:p>
  </w:footnote>
  <w:footnote w:id="4">
    <w:p w:rsidR="0048063A" w:rsidRPr="00E76EF3" w:rsidRDefault="0048063A" w:rsidP="00E76EF3">
      <w:pPr>
        <w:pStyle w:val="FootnoteText"/>
        <w:ind w:left="567" w:hanging="567"/>
        <w:rPr>
          <w:sz w:val="24"/>
          <w:lang w:val="hu-HU"/>
        </w:rPr>
      </w:pPr>
      <w:r w:rsidRPr="00E76EF3">
        <w:rPr>
          <w:rStyle w:val="FootnoteReference"/>
          <w:sz w:val="24"/>
          <w:lang w:val="hu-HU"/>
        </w:rPr>
        <w:footnoteRef/>
      </w:r>
      <w:r w:rsidR="00E76EF3" w:rsidRPr="00E76EF3">
        <w:rPr>
          <w:sz w:val="24"/>
          <w:lang w:val="hu-HU"/>
        </w:rPr>
        <w:t xml:space="preserve"> </w:t>
      </w:r>
      <w:r w:rsidR="00E76EF3" w:rsidRPr="00E76EF3">
        <w:rPr>
          <w:sz w:val="24"/>
          <w:lang w:val="hu-HU"/>
        </w:rPr>
        <w:tab/>
      </w:r>
      <w:r w:rsidRPr="00E76EF3">
        <w:rPr>
          <w:sz w:val="24"/>
          <w:lang w:val="hu-HU"/>
        </w:rPr>
        <w:t>HL C, C/2023/112, 2023.10.12.</w:t>
      </w:r>
    </w:p>
  </w:footnote>
  <w:footnote w:id="5">
    <w:p w:rsidR="0048063A" w:rsidRPr="00E76EF3" w:rsidRDefault="0048063A" w:rsidP="00E76EF3">
      <w:pPr>
        <w:pStyle w:val="FootnoteText"/>
        <w:ind w:left="567" w:hanging="567"/>
        <w:rPr>
          <w:sz w:val="24"/>
          <w:szCs w:val="24"/>
          <w:lang w:val="hu-HU"/>
        </w:rPr>
      </w:pPr>
      <w:r w:rsidRPr="00E76EF3">
        <w:rPr>
          <w:rStyle w:val="FootnoteReference"/>
          <w:sz w:val="24"/>
          <w:lang w:val="hu-HU"/>
        </w:rPr>
        <w:footnoteRef/>
      </w:r>
      <w:r w:rsidR="00E76EF3" w:rsidRPr="00E76EF3">
        <w:rPr>
          <w:sz w:val="24"/>
          <w:lang w:val="hu-HU"/>
        </w:rPr>
        <w:t xml:space="preserve"> </w:t>
      </w:r>
      <w:r w:rsidR="00E76EF3" w:rsidRPr="00E76EF3">
        <w:rPr>
          <w:sz w:val="24"/>
          <w:lang w:val="hu-HU"/>
        </w:rPr>
        <w:tab/>
      </w:r>
      <w:r w:rsidRPr="00E76EF3">
        <w:rPr>
          <w:sz w:val="24"/>
          <w:lang w:val="hu-HU"/>
        </w:rPr>
        <w:t>HL L 193., 2018.7.30</w:t>
      </w:r>
      <w:proofErr w:type="gramStart"/>
      <w:r w:rsidRPr="00E76EF3">
        <w:rPr>
          <w:sz w:val="24"/>
          <w:lang w:val="hu-HU"/>
        </w:rPr>
        <w:t>.,</w:t>
      </w:r>
      <w:proofErr w:type="gramEnd"/>
      <w:r w:rsidRPr="00E76EF3">
        <w:rPr>
          <w:sz w:val="24"/>
          <w:lang w:val="hu-HU"/>
        </w:rPr>
        <w:t xml:space="preserve"> 1. o.</w:t>
      </w:r>
    </w:p>
  </w:footnote>
  <w:footnote w:id="6">
    <w:p w:rsidR="0048063A" w:rsidRPr="00E76EF3" w:rsidRDefault="0048063A" w:rsidP="00E76EF3">
      <w:pPr>
        <w:pStyle w:val="FootnoteText"/>
        <w:ind w:left="567" w:hanging="567"/>
        <w:rPr>
          <w:sz w:val="24"/>
          <w:lang w:val="hu-HU"/>
        </w:rPr>
      </w:pPr>
      <w:r w:rsidRPr="00E76EF3">
        <w:rPr>
          <w:rStyle w:val="FootnoteReference"/>
          <w:sz w:val="24"/>
          <w:lang w:val="hu-HU"/>
        </w:rPr>
        <w:footnoteRef/>
      </w:r>
      <w:r w:rsidR="00E76EF3" w:rsidRPr="00E76EF3">
        <w:rPr>
          <w:sz w:val="24"/>
          <w:lang w:val="hu-HU"/>
        </w:rPr>
        <w:t xml:space="preserve"> </w:t>
      </w:r>
      <w:r w:rsidR="00E76EF3" w:rsidRPr="00E76EF3">
        <w:rPr>
          <w:sz w:val="24"/>
          <w:lang w:val="hu-HU"/>
        </w:rPr>
        <w:tab/>
      </w:r>
      <w:r w:rsidRPr="00E76EF3">
        <w:rPr>
          <w:sz w:val="24"/>
          <w:lang w:val="hu-HU"/>
        </w:rPr>
        <w:t>A Törvényszék 2023. január 25-i ít</w:t>
      </w:r>
      <w:r w:rsidRPr="001B6BFC">
        <w:rPr>
          <w:sz w:val="24"/>
          <w:lang w:val="hu-HU"/>
        </w:rPr>
        <w:t xml:space="preserve">élete, </w:t>
      </w:r>
      <w:r w:rsidRPr="008B7061">
        <w:rPr>
          <w:sz w:val="24"/>
          <w:lang w:val="hu-HU"/>
        </w:rPr>
        <w:t xml:space="preserve">De </w:t>
      </w:r>
      <w:proofErr w:type="spellStart"/>
      <w:r w:rsidRPr="008B7061">
        <w:rPr>
          <w:sz w:val="24"/>
          <w:lang w:val="hu-HU"/>
        </w:rPr>
        <w:t>Capitani</w:t>
      </w:r>
      <w:proofErr w:type="spellEnd"/>
      <w:r w:rsidRPr="008B7061">
        <w:rPr>
          <w:sz w:val="24"/>
          <w:lang w:val="hu-HU"/>
        </w:rPr>
        <w:t xml:space="preserve"> kontra Tanács</w:t>
      </w:r>
      <w:r w:rsidRPr="001B6BFC">
        <w:rPr>
          <w:sz w:val="24"/>
          <w:lang w:val="hu-HU"/>
        </w:rPr>
        <w:t>, T-163</w:t>
      </w:r>
      <w:r w:rsidRPr="00E76EF3">
        <w:rPr>
          <w:sz w:val="24"/>
          <w:lang w:val="hu-HU"/>
        </w:rPr>
        <w:t>/21, CLI</w:t>
      </w:r>
      <w:proofErr w:type="gramStart"/>
      <w:r w:rsidRPr="00E76EF3">
        <w:rPr>
          <w:sz w:val="24"/>
          <w:lang w:val="hu-HU"/>
        </w:rPr>
        <w:t>:EU</w:t>
      </w:r>
      <w:proofErr w:type="gramEnd"/>
      <w:r w:rsidRPr="00E76EF3">
        <w:rPr>
          <w:sz w:val="24"/>
          <w:lang w:val="hu-HU"/>
        </w:rPr>
        <w:t>:T:2023:15.</w:t>
      </w:r>
    </w:p>
  </w:footnote>
  <w:footnote w:id="7">
    <w:p w:rsidR="0048063A" w:rsidRPr="00E76EF3" w:rsidRDefault="0048063A" w:rsidP="00E76EF3">
      <w:pPr>
        <w:pStyle w:val="FootnoteText"/>
        <w:ind w:left="567" w:hanging="567"/>
        <w:rPr>
          <w:sz w:val="24"/>
          <w:lang w:val="hu-HU"/>
        </w:rPr>
      </w:pPr>
      <w:r w:rsidRPr="00E76EF3">
        <w:rPr>
          <w:rStyle w:val="FootnoteReference"/>
          <w:sz w:val="24"/>
          <w:lang w:val="hu-HU"/>
        </w:rPr>
        <w:footnoteRef/>
      </w:r>
      <w:r w:rsidR="00E76EF3" w:rsidRPr="00E76EF3">
        <w:rPr>
          <w:sz w:val="24"/>
          <w:lang w:val="hu-HU"/>
        </w:rPr>
        <w:t xml:space="preserve"> </w:t>
      </w:r>
      <w:r w:rsidR="00E76EF3" w:rsidRPr="00E76EF3">
        <w:rPr>
          <w:sz w:val="24"/>
          <w:lang w:val="hu-HU"/>
        </w:rPr>
        <w:tab/>
      </w:r>
      <w:r w:rsidRPr="00E76EF3">
        <w:rPr>
          <w:sz w:val="24"/>
          <w:lang w:val="hu-HU"/>
        </w:rPr>
        <w:t>HL C 445., 2021.10.29</w:t>
      </w:r>
      <w:proofErr w:type="gramStart"/>
      <w:r w:rsidRPr="00E76EF3">
        <w:rPr>
          <w:sz w:val="24"/>
          <w:lang w:val="hu-HU"/>
        </w:rPr>
        <w:t>.,</w:t>
      </w:r>
      <w:proofErr w:type="gramEnd"/>
      <w:r w:rsidRPr="00E76EF3">
        <w:rPr>
          <w:sz w:val="24"/>
          <w:lang w:val="hu-HU"/>
        </w:rPr>
        <w:t xml:space="preserve"> 150. o.</w:t>
      </w:r>
    </w:p>
  </w:footnote>
  <w:footnote w:id="8">
    <w:p w:rsidR="0048063A" w:rsidRPr="00E76EF3" w:rsidRDefault="0048063A" w:rsidP="00E76EF3">
      <w:pPr>
        <w:pStyle w:val="FootnoteText"/>
        <w:ind w:left="567" w:hanging="567"/>
        <w:rPr>
          <w:sz w:val="24"/>
          <w:lang w:val="hu-HU"/>
        </w:rPr>
      </w:pPr>
      <w:r w:rsidRPr="00E76EF3">
        <w:rPr>
          <w:rStyle w:val="FootnoteReference"/>
          <w:sz w:val="24"/>
          <w:lang w:val="hu-HU"/>
        </w:rPr>
        <w:footnoteRef/>
      </w:r>
      <w:r w:rsidR="00E76EF3" w:rsidRPr="00E76EF3">
        <w:rPr>
          <w:sz w:val="24"/>
          <w:lang w:val="hu-HU"/>
        </w:rPr>
        <w:t xml:space="preserve"> </w:t>
      </w:r>
      <w:r w:rsidR="00E76EF3" w:rsidRPr="00E76EF3">
        <w:rPr>
          <w:sz w:val="24"/>
          <w:lang w:val="hu-HU"/>
        </w:rPr>
        <w:tab/>
      </w:r>
      <w:r w:rsidRPr="00E76EF3">
        <w:rPr>
          <w:sz w:val="24"/>
          <w:lang w:val="hu-HU"/>
        </w:rPr>
        <w:t>HL L 207., 2021.6.11</w:t>
      </w:r>
      <w:proofErr w:type="gramStart"/>
      <w:r w:rsidRPr="00E76EF3">
        <w:rPr>
          <w:sz w:val="24"/>
          <w:lang w:val="hu-HU"/>
        </w:rPr>
        <w:t>.,</w:t>
      </w:r>
      <w:proofErr w:type="gramEnd"/>
      <w:r w:rsidRPr="00E76EF3">
        <w:rPr>
          <w:sz w:val="24"/>
          <w:lang w:val="hu-HU"/>
        </w:rPr>
        <w:t xml:space="preserve"> 1. o.</w:t>
      </w:r>
    </w:p>
  </w:footnote>
  <w:footnote w:id="9">
    <w:p w:rsidR="0048063A" w:rsidRPr="00E76EF3" w:rsidRDefault="0048063A" w:rsidP="00E76EF3">
      <w:pPr>
        <w:pStyle w:val="FootnoteText"/>
        <w:ind w:left="567" w:hanging="567"/>
        <w:rPr>
          <w:sz w:val="24"/>
          <w:lang w:val="hu-HU"/>
        </w:rPr>
      </w:pPr>
      <w:r w:rsidRPr="00E76EF3">
        <w:rPr>
          <w:rStyle w:val="FootnoteReference"/>
          <w:sz w:val="24"/>
          <w:lang w:val="hu-HU"/>
        </w:rPr>
        <w:footnoteRef/>
      </w:r>
      <w:r w:rsidR="00E76EF3" w:rsidRPr="00E76EF3">
        <w:rPr>
          <w:sz w:val="24"/>
          <w:lang w:val="hu-HU"/>
        </w:rPr>
        <w:t xml:space="preserve"> </w:t>
      </w:r>
      <w:r w:rsidR="00E76EF3" w:rsidRPr="00E76EF3">
        <w:rPr>
          <w:sz w:val="24"/>
          <w:lang w:val="hu-HU"/>
        </w:rPr>
        <w:tab/>
      </w:r>
      <w:r w:rsidRPr="00E76EF3">
        <w:rPr>
          <w:sz w:val="24"/>
          <w:lang w:val="hu-HU"/>
        </w:rPr>
        <w:t>HL L 238., 2023.9.27</w:t>
      </w:r>
      <w:proofErr w:type="gramStart"/>
      <w:r w:rsidRPr="00E76EF3">
        <w:rPr>
          <w:sz w:val="24"/>
          <w:lang w:val="hu-HU"/>
        </w:rPr>
        <w:t>.,</w:t>
      </w:r>
      <w:proofErr w:type="gramEnd"/>
      <w:r w:rsidRPr="00E76EF3">
        <w:rPr>
          <w:sz w:val="24"/>
          <w:lang w:val="hu-HU"/>
        </w:rPr>
        <w:t xml:space="preserve"> 114.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6E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6E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6E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1/2024"/>
    <w:docVar w:name="dvlangue" w:val="HU"/>
    <w:docVar w:name="dvnumam" w:val="0"/>
    <w:docVar w:name="dvpe" w:val="753.479"/>
    <w:docVar w:name="dvrapporteur" w:val="Előadó: "/>
    <w:docVar w:name="dvtitre" w:val="Az Európai Parlament 2024.  ...-i határozata az Európai Unió 2022. évi pénzügyi évre szóló általános költségvetésének végrehajtására vonatkozó mentesítésről, II. szakasz – Európai Tanács és Tanács(2023/2131(DEC))"/>
  </w:docVars>
  <w:rsids>
    <w:rsidRoot w:val="00D2088F"/>
    <w:rsid w:val="00002272"/>
    <w:rsid w:val="00061C9B"/>
    <w:rsid w:val="00064002"/>
    <w:rsid w:val="000677B9"/>
    <w:rsid w:val="000831BA"/>
    <w:rsid w:val="000A42CC"/>
    <w:rsid w:val="000E7DD9"/>
    <w:rsid w:val="0010095E"/>
    <w:rsid w:val="00124F26"/>
    <w:rsid w:val="00125B37"/>
    <w:rsid w:val="00187494"/>
    <w:rsid w:val="001B6BFC"/>
    <w:rsid w:val="001F32AE"/>
    <w:rsid w:val="002767FF"/>
    <w:rsid w:val="002B18FE"/>
    <w:rsid w:val="002B5493"/>
    <w:rsid w:val="002E15D4"/>
    <w:rsid w:val="00343214"/>
    <w:rsid w:val="00361C00"/>
    <w:rsid w:val="00395FA1"/>
    <w:rsid w:val="003E15D4"/>
    <w:rsid w:val="004047F3"/>
    <w:rsid w:val="00411CCE"/>
    <w:rsid w:val="0041666E"/>
    <w:rsid w:val="00421060"/>
    <w:rsid w:val="00471C19"/>
    <w:rsid w:val="0048063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061"/>
    <w:rsid w:val="008C2AC6"/>
    <w:rsid w:val="00930C23"/>
    <w:rsid w:val="0093193B"/>
    <w:rsid w:val="009509D8"/>
    <w:rsid w:val="00950B64"/>
    <w:rsid w:val="00981893"/>
    <w:rsid w:val="00A1687D"/>
    <w:rsid w:val="00A43E52"/>
    <w:rsid w:val="00A45D81"/>
    <w:rsid w:val="00A4678D"/>
    <w:rsid w:val="00A778C7"/>
    <w:rsid w:val="00AB441E"/>
    <w:rsid w:val="00AB6293"/>
    <w:rsid w:val="00AE0928"/>
    <w:rsid w:val="00AF3B82"/>
    <w:rsid w:val="00B12E95"/>
    <w:rsid w:val="00B22876"/>
    <w:rsid w:val="00B47A25"/>
    <w:rsid w:val="00B558F0"/>
    <w:rsid w:val="00BD48FE"/>
    <w:rsid w:val="00BD7BD8"/>
    <w:rsid w:val="00BE6ADC"/>
    <w:rsid w:val="00C05BFE"/>
    <w:rsid w:val="00C20BF6"/>
    <w:rsid w:val="00C23CD4"/>
    <w:rsid w:val="00C61C0C"/>
    <w:rsid w:val="00C941CB"/>
    <w:rsid w:val="00CC2357"/>
    <w:rsid w:val="00CF071A"/>
    <w:rsid w:val="00D058B8"/>
    <w:rsid w:val="00D2088F"/>
    <w:rsid w:val="00D33656"/>
    <w:rsid w:val="00D56C11"/>
    <w:rsid w:val="00D834A0"/>
    <w:rsid w:val="00D872DF"/>
    <w:rsid w:val="00D91E21"/>
    <w:rsid w:val="00DA7FCD"/>
    <w:rsid w:val="00E365E1"/>
    <w:rsid w:val="00E76EF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09AEF"/>
  <w15:chartTrackingRefBased/>
  <w15:docId w15:val="{F9871A2B-E29C-4FDF-9E61-1427D31F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8063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8063A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48063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8063A"/>
    <w:rPr>
      <w:b/>
    </w:rPr>
  </w:style>
  <w:style w:type="paragraph" w:customStyle="1" w:styleId="NormalHanging12a">
    <w:name w:val="NormalHanging12a"/>
    <w:basedOn w:val="Normal"/>
    <w:link w:val="NormalHanging12aChar"/>
    <w:rsid w:val="0048063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806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063A"/>
    <w:rPr>
      <w:sz w:val="24"/>
      <w:lang w:val="hu-HU"/>
    </w:rPr>
  </w:style>
  <w:style w:type="paragraph" w:customStyle="1" w:styleId="EPFooter">
    <w:name w:val="EPFooter"/>
    <w:basedOn w:val="Normal"/>
    <w:rsid w:val="0048063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48063A"/>
    <w:rPr>
      <w:sz w:val="24"/>
      <w:lang w:val="hu-HU"/>
    </w:rPr>
  </w:style>
  <w:style w:type="paragraph" w:customStyle="1" w:styleId="Normal12a">
    <w:name w:val="Normal12a"/>
    <w:basedOn w:val="Normal"/>
    <w:rsid w:val="0048063A"/>
    <w:pPr>
      <w:spacing w:after="240"/>
    </w:pPr>
  </w:style>
  <w:style w:type="paragraph" w:customStyle="1" w:styleId="LetterSalutation">
    <w:name w:val="LetterSalutation"/>
    <w:basedOn w:val="Normal"/>
    <w:rsid w:val="0048063A"/>
    <w:pPr>
      <w:spacing w:before="600" w:after="360"/>
    </w:pPr>
  </w:style>
  <w:style w:type="paragraph" w:customStyle="1" w:styleId="LetterSubject">
    <w:name w:val="LetterSubject"/>
    <w:basedOn w:val="Normal"/>
    <w:rsid w:val="0048063A"/>
    <w:pPr>
      <w:spacing w:before="480"/>
      <w:ind w:left="1134" w:hanging="1134"/>
    </w:pPr>
  </w:style>
  <w:style w:type="paragraph" w:customStyle="1" w:styleId="PageHeadingNotTOC">
    <w:name w:val="PageHeadingNotTOC"/>
    <w:basedOn w:val="Normal"/>
    <w:rsid w:val="0048063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24a">
    <w:name w:val="Normal24a"/>
    <w:basedOn w:val="Normal"/>
    <w:rsid w:val="0048063A"/>
    <w:pPr>
      <w:spacing w:after="480"/>
    </w:pPr>
  </w:style>
  <w:style w:type="character" w:customStyle="1" w:styleId="PageHeadingChar">
    <w:name w:val="PageHeading Char"/>
    <w:basedOn w:val="DefaultParagraphFont"/>
    <w:link w:val="PageHeading"/>
    <w:rsid w:val="0048063A"/>
    <w:rPr>
      <w:rFonts w:ascii="Arial" w:hAnsi="Arial" w:cs="Arial"/>
      <w:b/>
      <w:sz w:val="24"/>
      <w:lang w:val="hu-HU"/>
    </w:rPr>
  </w:style>
  <w:style w:type="paragraph" w:customStyle="1" w:styleId="RollCallVotes">
    <w:name w:val="RollCallVotes"/>
    <w:basedOn w:val="Normal"/>
    <w:rsid w:val="0048063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8063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8063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8063A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B47A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47A25"/>
    <w:rPr>
      <w:sz w:val="24"/>
      <w:lang w:val="hu-HU"/>
    </w:rPr>
  </w:style>
  <w:style w:type="paragraph" w:styleId="BalloonText">
    <w:name w:val="Balloon Text"/>
    <w:basedOn w:val="Normal"/>
    <w:link w:val="BalloonTextChar"/>
    <w:rsid w:val="001B6B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6BF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CCD5C-42D9-47EB-A9A0-C2214CC22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4906</Words>
  <Characters>33591</Characters>
  <Application>Microsoft Office Word</Application>
  <DocSecurity>0</DocSecurity>
  <Lines>279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2024-04-23T14:21:00Z</dcterms:created>
  <dcterms:modified xsi:type="dcterms:W3CDTF">2024-04-23T14:21:00Z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A9-0071/2024</vt:lpwstr>
  </property>
  <property fmtid="{D5CDD505-2E9C-101B-9397-08002B2CF9AE}" pid="4" name="&lt;Type&gt;">
    <vt:lpwstr>RR</vt:lpwstr>
  </property>
</Properties>
</file>