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3B16" w14:paraId="4432C35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07183C" w14:textId="77777777" w:rsidR="00751A4A" w:rsidRPr="002A3B16" w:rsidRDefault="00C84544" w:rsidP="0010095E">
            <w:pPr>
              <w:pStyle w:val="EPName"/>
            </w:pPr>
            <w:r w:rsidRPr="002A3B16">
              <w:t>Parlamento Europeu</w:t>
            </w:r>
          </w:p>
          <w:p w14:paraId="0D3982FA" w14:textId="77777777" w:rsidR="00751A4A" w:rsidRPr="002A3B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3B1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26267BD" w14:textId="77777777" w:rsidR="00751A4A" w:rsidRPr="002A3B16" w:rsidRDefault="00187494" w:rsidP="0010095E">
            <w:pPr>
              <w:pStyle w:val="EPLogo"/>
            </w:pPr>
            <w:r w:rsidRPr="002A3B16">
              <w:rPr>
                <w:noProof/>
                <w:lang w:val="en-GB"/>
              </w:rPr>
              <w:drawing>
                <wp:inline distT="0" distB="0" distL="0" distR="0" wp14:anchorId="731CE037" wp14:editId="35D2A1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7C6F84" w14:textId="77777777" w:rsidR="00D058B8" w:rsidRPr="002A3B16" w:rsidRDefault="00D058B8" w:rsidP="004C5D52">
      <w:pPr>
        <w:pStyle w:val="LineTop"/>
      </w:pPr>
    </w:p>
    <w:p w14:paraId="42CEFA69" w14:textId="77777777" w:rsidR="00680577" w:rsidRPr="002A3B16" w:rsidRDefault="00C84544" w:rsidP="00680577">
      <w:pPr>
        <w:pStyle w:val="EPBodyTA1"/>
      </w:pPr>
      <w:r w:rsidRPr="002A3B16">
        <w:t>TEXTOS APROVADOS</w:t>
      </w:r>
    </w:p>
    <w:p w14:paraId="196977B9" w14:textId="77777777" w:rsidR="00D058B8" w:rsidRPr="002A3B16" w:rsidRDefault="00D058B8" w:rsidP="00D058B8">
      <w:pPr>
        <w:pStyle w:val="LineBottom"/>
      </w:pPr>
    </w:p>
    <w:p w14:paraId="7E22A50F" w14:textId="74FDD666" w:rsidR="00C84544" w:rsidRPr="002A3B16" w:rsidRDefault="00C84544" w:rsidP="00C84544">
      <w:pPr>
        <w:pStyle w:val="ATHeading1"/>
      </w:pPr>
      <w:bookmarkStart w:id="0" w:name="TANumber"/>
      <w:r w:rsidRPr="002A3B16">
        <w:t>P9_</w:t>
      </w:r>
      <w:proofErr w:type="gramStart"/>
      <w:r w:rsidRPr="002A3B16">
        <w:t>TA(</w:t>
      </w:r>
      <w:proofErr w:type="gramEnd"/>
      <w:r w:rsidRPr="002A3B16">
        <w:t>2024)0</w:t>
      </w:r>
      <w:r w:rsidR="00A90F92" w:rsidRPr="002A3B16">
        <w:t>288</w:t>
      </w:r>
      <w:bookmarkEnd w:id="0"/>
    </w:p>
    <w:p w14:paraId="12231AC7" w14:textId="77777777" w:rsidR="00C84544" w:rsidRPr="002A3B16" w:rsidRDefault="00C84544" w:rsidP="00C84544">
      <w:pPr>
        <w:pStyle w:val="ATHeading2"/>
      </w:pPr>
      <w:bookmarkStart w:id="1" w:name="title"/>
      <w:r w:rsidRPr="002A3B16">
        <w:t>Quitação 2022: Orçamento geral da UE - Conselho Europeu e Conselho</w:t>
      </w:r>
      <w:bookmarkEnd w:id="1"/>
    </w:p>
    <w:p w14:paraId="67C6EE2D" w14:textId="77777777" w:rsidR="00C84544" w:rsidRPr="002A3B16" w:rsidRDefault="00C84544" w:rsidP="00C84544">
      <w:pPr>
        <w:rPr>
          <w:i/>
          <w:vanish/>
        </w:rPr>
      </w:pPr>
      <w:r w:rsidRPr="002A3B16">
        <w:rPr>
          <w:i/>
        </w:rPr>
        <w:fldChar w:fldCharType="begin"/>
      </w:r>
      <w:r w:rsidRPr="002A3B16">
        <w:rPr>
          <w:i/>
        </w:rPr>
        <w:instrText xml:space="preserve"> TC"(</w:instrText>
      </w:r>
      <w:bookmarkStart w:id="2" w:name="DocNumber"/>
      <w:r w:rsidRPr="002A3B16">
        <w:rPr>
          <w:i/>
        </w:rPr>
        <w:instrText>A9-0071/2024</w:instrText>
      </w:r>
      <w:bookmarkEnd w:id="2"/>
      <w:r w:rsidRPr="002A3B16">
        <w:rPr>
          <w:i/>
        </w:rPr>
        <w:instrText xml:space="preserve"> - Relator: Luke Ming Flanagan)"\l3 \n&gt; \* MERGEFORMAT </w:instrText>
      </w:r>
      <w:r w:rsidRPr="002A3B16">
        <w:rPr>
          <w:i/>
        </w:rPr>
        <w:fldChar w:fldCharType="end"/>
      </w:r>
    </w:p>
    <w:p w14:paraId="55AC22CA" w14:textId="77777777" w:rsidR="00C84544" w:rsidRPr="002A3B16" w:rsidRDefault="00C84544" w:rsidP="00C84544">
      <w:pPr>
        <w:rPr>
          <w:vanish/>
        </w:rPr>
      </w:pPr>
      <w:bookmarkStart w:id="3" w:name="Commission"/>
      <w:r w:rsidRPr="002A3B16">
        <w:rPr>
          <w:vanish/>
        </w:rPr>
        <w:t>Comissão do Controlo Orçamental</w:t>
      </w:r>
      <w:bookmarkEnd w:id="3"/>
    </w:p>
    <w:p w14:paraId="47BF958B" w14:textId="77777777" w:rsidR="00C84544" w:rsidRPr="002A3B16" w:rsidRDefault="00C84544" w:rsidP="00C84544">
      <w:pPr>
        <w:rPr>
          <w:vanish/>
        </w:rPr>
      </w:pPr>
      <w:bookmarkStart w:id="4" w:name="PE"/>
      <w:r w:rsidRPr="002A3B16">
        <w:rPr>
          <w:vanish/>
        </w:rPr>
        <w:t>PE753.479</w:t>
      </w:r>
      <w:bookmarkEnd w:id="4"/>
    </w:p>
    <w:p w14:paraId="1BD8E07F" w14:textId="2D01EC8F" w:rsidR="00C84544" w:rsidRPr="002A3B16" w:rsidRDefault="004A1BD2" w:rsidP="00C84544">
      <w:pPr>
        <w:pStyle w:val="ATHeading3"/>
      </w:pPr>
      <w:bookmarkStart w:id="5" w:name="Sujet"/>
      <w:r w:rsidRPr="002A3B16">
        <w:t xml:space="preserve">1. </w:t>
      </w:r>
      <w:r w:rsidR="001603A0" w:rsidRPr="002A3B16">
        <w:t>Decisão</w:t>
      </w:r>
      <w:r w:rsidR="00C84544" w:rsidRPr="002A3B16">
        <w:t xml:space="preserve"> do Parlamento Europeu, de </w:t>
      </w:r>
      <w:r w:rsidR="00F32E9D" w:rsidRPr="002A3B16">
        <w:t>23</w:t>
      </w:r>
      <w:r w:rsidR="00C84544" w:rsidRPr="002A3B16">
        <w:t xml:space="preserve"> de </w:t>
      </w:r>
      <w:r w:rsidRPr="002A3B16">
        <w:t>abril</w:t>
      </w:r>
      <w:r w:rsidR="00C84544" w:rsidRPr="002A3B16">
        <w:t xml:space="preserve"> de 2024, sobre a quitação pela execução do orçamento geral da União Europeia para o exercício de 2022, Secção II</w:t>
      </w:r>
      <w:r w:rsidRPr="002A3B16">
        <w:t xml:space="preserve"> –</w:t>
      </w:r>
      <w:r w:rsidR="00C84544" w:rsidRPr="002A3B16">
        <w:t xml:space="preserve"> Conselho Europeu e Conselho</w:t>
      </w:r>
      <w:bookmarkEnd w:id="5"/>
      <w:r w:rsidR="00C84544" w:rsidRPr="002A3B16">
        <w:t xml:space="preserve"> </w:t>
      </w:r>
      <w:bookmarkStart w:id="6" w:name="References"/>
      <w:r w:rsidR="00C84544" w:rsidRPr="002A3B16">
        <w:t>(2023/2131(DEC))</w:t>
      </w:r>
      <w:bookmarkEnd w:id="6"/>
    </w:p>
    <w:p w14:paraId="6A292A4C" w14:textId="77777777" w:rsidR="00942DD8" w:rsidRPr="002A3B16" w:rsidRDefault="00942DD8" w:rsidP="00942DD8">
      <w:pPr>
        <w:pStyle w:val="EPComma"/>
      </w:pPr>
      <w:bookmarkStart w:id="7" w:name="TextBodyBegin"/>
      <w:bookmarkEnd w:id="7"/>
      <w:r w:rsidRPr="002A3B16">
        <w:rPr>
          <w:i/>
          <w:iCs/>
        </w:rPr>
        <w:t>O Parlamento Europeu</w:t>
      </w:r>
      <w:r w:rsidRPr="002A3B16">
        <w:t>,</w:t>
      </w:r>
    </w:p>
    <w:p w14:paraId="48488E5C" w14:textId="77777777" w:rsidR="00942DD8" w:rsidRPr="002A3B16" w:rsidRDefault="00942DD8" w:rsidP="00942DD8">
      <w:pPr>
        <w:pStyle w:val="NormalHanging12a"/>
      </w:pPr>
      <w:r w:rsidRPr="002A3B16">
        <w:t>–</w:t>
      </w:r>
      <w:r w:rsidRPr="002A3B16">
        <w:tab/>
        <w:t>Tendo em conta o orçamento geral da União Europeia para o exercício de 2022</w:t>
      </w:r>
      <w:r w:rsidRPr="002A3B16">
        <w:rPr>
          <w:rStyle w:val="FootnoteReference"/>
        </w:rPr>
        <w:footnoteReference w:id="1"/>
      </w:r>
      <w:r w:rsidRPr="002A3B16">
        <w:t>,</w:t>
      </w:r>
    </w:p>
    <w:p w14:paraId="228A36B7" w14:textId="77777777" w:rsidR="00942DD8" w:rsidRPr="002A3B16" w:rsidRDefault="00942DD8" w:rsidP="00942DD8">
      <w:pPr>
        <w:pStyle w:val="NormalHanging12a"/>
      </w:pPr>
      <w:r w:rsidRPr="002A3B16">
        <w:t>–</w:t>
      </w:r>
      <w:r w:rsidRPr="002A3B16">
        <w:tab/>
        <w:t>Atendendo às contas anuais consolidadas da União Europeia relativas ao exercício de 2022 (COM(2023)0391 – C9</w:t>
      </w:r>
      <w:r w:rsidRPr="002A3B16">
        <w:noBreakHyphen/>
        <w:t>0250/2023)</w:t>
      </w:r>
      <w:r w:rsidRPr="002A3B16">
        <w:rPr>
          <w:rStyle w:val="FootnoteReference"/>
        </w:rPr>
        <w:footnoteReference w:id="2"/>
      </w:r>
      <w:r w:rsidRPr="002A3B16">
        <w:t>,</w:t>
      </w:r>
    </w:p>
    <w:p w14:paraId="2B61D569" w14:textId="54AD0112" w:rsidR="00942DD8" w:rsidRPr="002A3B16" w:rsidRDefault="00942DD8" w:rsidP="00942DD8">
      <w:pPr>
        <w:pStyle w:val="NormalHanging12a"/>
      </w:pPr>
      <w:r w:rsidRPr="002A3B16">
        <w:t>–</w:t>
      </w:r>
      <w:r w:rsidRPr="002A3B16">
        <w:tab/>
        <w:t>Tendo em conta o relatório anual do Conselho dirigido à autoridade de quitação relativo às auditorias internas efetuadas em 2022,</w:t>
      </w:r>
    </w:p>
    <w:p w14:paraId="6344E932" w14:textId="77777777" w:rsidR="00942DD8" w:rsidRPr="002A3B16" w:rsidRDefault="00942DD8" w:rsidP="00942DD8">
      <w:pPr>
        <w:pStyle w:val="NormalHanging12a"/>
      </w:pPr>
      <w:r w:rsidRPr="002A3B16">
        <w:t>–</w:t>
      </w:r>
      <w:r w:rsidRPr="002A3B16">
        <w:tab/>
        <w:t>Atendendo ao relatório anual do Tribunal de Contas sobre a execução do orçamento relativo ao exercício de 2022, acompanhado das respostas das instituições</w:t>
      </w:r>
      <w:r w:rsidRPr="002A3B16">
        <w:rPr>
          <w:rStyle w:val="FootnoteReference"/>
        </w:rPr>
        <w:footnoteReference w:id="3"/>
      </w:r>
      <w:r w:rsidRPr="002A3B16">
        <w:t>,</w:t>
      </w:r>
    </w:p>
    <w:p w14:paraId="65B30B03" w14:textId="0C0F05A1" w:rsidR="00942DD8" w:rsidRPr="002A3B16" w:rsidRDefault="00942DD8" w:rsidP="00942DD8">
      <w:pPr>
        <w:pStyle w:val="NormalHanging12a"/>
      </w:pPr>
      <w:r w:rsidRPr="002A3B16">
        <w:t>–</w:t>
      </w:r>
      <w:r w:rsidRPr="002A3B16">
        <w:tab/>
        <w:t>Atendendo à declaração</w:t>
      </w:r>
      <w:r w:rsidR="004A1BD2" w:rsidRPr="002A3B16">
        <w:t xml:space="preserve"> relativa à fiabilidade das contas e à legalidade e regularidade das operações subjacentes</w:t>
      </w:r>
      <w:r w:rsidRPr="002A3B16">
        <w:rPr>
          <w:rStyle w:val="FootnoteReference"/>
        </w:rPr>
        <w:footnoteReference w:id="4"/>
      </w:r>
      <w:r w:rsidRPr="002A3B16">
        <w:t>, emitida pelo Tribunal de Contas para o exercício de 2022, nos termos do artigo 287.º do Tratado sobre o Funcionamento da União Europeia,</w:t>
      </w:r>
    </w:p>
    <w:p w14:paraId="20BA68DA" w14:textId="77777777" w:rsidR="00942DD8" w:rsidRPr="002A3B16" w:rsidRDefault="00942DD8" w:rsidP="00942DD8">
      <w:pPr>
        <w:pStyle w:val="NormalHanging12a"/>
      </w:pPr>
      <w:r w:rsidRPr="002A3B16">
        <w:t>–</w:t>
      </w:r>
      <w:r w:rsidRPr="002A3B16">
        <w:tab/>
        <w:t>Tendo em conta o artigo 314.º, n.º 10, e os artigos 317.º, 318.º e 319.º do Tratado sobre o Funcionamento da União Europeia,</w:t>
      </w:r>
    </w:p>
    <w:p w14:paraId="2A554937" w14:textId="77777777" w:rsidR="00942DD8" w:rsidRPr="002A3B16" w:rsidRDefault="00942DD8" w:rsidP="00942DD8">
      <w:pPr>
        <w:pStyle w:val="NormalHanging12a"/>
      </w:pPr>
      <w:r w:rsidRPr="002A3B16">
        <w:t>–</w:t>
      </w:r>
      <w:r w:rsidRPr="002A3B16">
        <w:tab/>
        <w:t>Tendo em conta o Regulamento (UE, Euratom) 2018/1046 do Parlamento Europeu e do Conselho, de 18 de julho de 2018, relativo às disposições financeiras aplicáveis ao orçamento geral da União, que altera os Regulamentos (UE) n.º 1296/2013, (UE) n.º 1301/2013, (UE) n.º 1303/2013, (UE) n.º 1304/2013, (UE) n.º 1309/2013, (UE) n.º 1316/2013, (UE) n.º 223/2014 e (UE) n.º 283/2014, e a Decisão n.º 541/2014/UE, e revoga o Regulamento (UE, Euratom) n.º 966/2012</w:t>
      </w:r>
      <w:r w:rsidRPr="002A3B16">
        <w:rPr>
          <w:rStyle w:val="FootnoteReference"/>
        </w:rPr>
        <w:footnoteReference w:id="5"/>
      </w:r>
      <w:r w:rsidRPr="002A3B16">
        <w:t xml:space="preserve">, nomeadamente </w:t>
      </w:r>
      <w:r w:rsidRPr="002A3B16">
        <w:lastRenderedPageBreak/>
        <w:t>os artigos 59.º, 118.º, 260.º, 261.º e 262.º,</w:t>
      </w:r>
    </w:p>
    <w:p w14:paraId="24E68A8A" w14:textId="77777777" w:rsidR="00942DD8" w:rsidRPr="002A3B16" w:rsidRDefault="00942DD8" w:rsidP="00942DD8">
      <w:pPr>
        <w:pStyle w:val="NormalHanging12a"/>
      </w:pPr>
      <w:r w:rsidRPr="002A3B16">
        <w:t>–</w:t>
      </w:r>
      <w:r w:rsidRPr="002A3B16">
        <w:tab/>
        <w:t>Tendo em conta o artigo 100.º e o Anexo V do seu Regimento,</w:t>
      </w:r>
    </w:p>
    <w:p w14:paraId="3B5D9584" w14:textId="77777777" w:rsidR="00942DD8" w:rsidRPr="002A3B16" w:rsidRDefault="00942DD8" w:rsidP="00942DD8">
      <w:pPr>
        <w:pStyle w:val="NormalHanging12a"/>
      </w:pPr>
      <w:r w:rsidRPr="002A3B16">
        <w:t>–</w:t>
      </w:r>
      <w:r w:rsidRPr="002A3B16">
        <w:tab/>
        <w:t>Tendo em conta a carta da Comissão dos Assuntos Constitucionais,</w:t>
      </w:r>
    </w:p>
    <w:p w14:paraId="103DCA70" w14:textId="77777777" w:rsidR="00942DD8" w:rsidRPr="002A3B16" w:rsidRDefault="00942DD8" w:rsidP="00942DD8">
      <w:pPr>
        <w:pStyle w:val="NormalHanging12a"/>
      </w:pPr>
      <w:r w:rsidRPr="002A3B16">
        <w:t>–</w:t>
      </w:r>
      <w:r w:rsidRPr="002A3B16">
        <w:tab/>
        <w:t>Tendo em conta o relatório da Comissão do Controlo Orçamental (A9-0071/2024),</w:t>
      </w:r>
    </w:p>
    <w:p w14:paraId="2D8BEA3A" w14:textId="39E757D1" w:rsidR="00942DD8" w:rsidRPr="002A3B16" w:rsidRDefault="00942DD8" w:rsidP="00942DD8">
      <w:pPr>
        <w:pStyle w:val="NormalHanging12a"/>
      </w:pPr>
      <w:proofErr w:type="gramStart"/>
      <w:r w:rsidRPr="002A3B16">
        <w:t>1.</w:t>
      </w:r>
      <w:r w:rsidRPr="002A3B16">
        <w:tab/>
        <w:t>Adia</w:t>
      </w:r>
      <w:proofErr w:type="gramEnd"/>
      <w:r w:rsidRPr="002A3B16">
        <w:t xml:space="preserve"> a decisão de dar quitação </w:t>
      </w:r>
      <w:r w:rsidR="004A1BD2" w:rsidRPr="002A3B16">
        <w:t>à</w:t>
      </w:r>
      <w:r w:rsidRPr="002A3B16">
        <w:t xml:space="preserve"> Secretári</w:t>
      </w:r>
      <w:r w:rsidR="004A1BD2" w:rsidRPr="002A3B16">
        <w:t>a</w:t>
      </w:r>
      <w:r w:rsidRPr="002A3B16">
        <w:t>‑Geral do Conselho pela execução do orçamento do Conselho Europeu e do Conselho para o exercício de 2022;</w:t>
      </w:r>
    </w:p>
    <w:p w14:paraId="6BA58E1B" w14:textId="77777777" w:rsidR="00942DD8" w:rsidRPr="002A3B16" w:rsidRDefault="00942DD8" w:rsidP="00942DD8">
      <w:pPr>
        <w:pStyle w:val="NormalHanging12a"/>
      </w:pPr>
      <w:proofErr w:type="gramStart"/>
      <w:r w:rsidRPr="002A3B16">
        <w:t>2.</w:t>
      </w:r>
      <w:r w:rsidRPr="002A3B16">
        <w:tab/>
        <w:t>Regista</w:t>
      </w:r>
      <w:proofErr w:type="gramEnd"/>
      <w:r w:rsidRPr="002A3B16">
        <w:t xml:space="preserve"> as suas observações na resolução que se segue;</w:t>
      </w:r>
    </w:p>
    <w:p w14:paraId="4949963F" w14:textId="77777777" w:rsidR="00942DD8" w:rsidRPr="002A3B16" w:rsidRDefault="00942DD8" w:rsidP="00942DD8">
      <w:pPr>
        <w:pStyle w:val="NormalHanging12a"/>
      </w:pPr>
      <w:proofErr w:type="gramStart"/>
      <w:r w:rsidRPr="002A3B16">
        <w:t>3.</w:t>
      </w:r>
      <w:r w:rsidRPr="002A3B16">
        <w:tab/>
        <w:t>Encarrega</w:t>
      </w:r>
      <w:proofErr w:type="gramEnd"/>
      <w:r w:rsidRPr="002A3B16">
        <w:t xml:space="preserve"> a sua Presidente de transmitir a presente decisão e a resolução que desta constitui parte integrante ao Conselho Europeu, ao Conselho, à Comissão e ao Tribunal de Contas, e de prover à respetiva publicação no </w:t>
      </w:r>
      <w:r w:rsidRPr="002A3B16">
        <w:rPr>
          <w:i/>
        </w:rPr>
        <w:t>Jornal Oficial da União Europeia</w:t>
      </w:r>
      <w:r w:rsidRPr="002A3B16">
        <w:t xml:space="preserve"> (série L).</w:t>
      </w:r>
    </w:p>
    <w:p w14:paraId="2715D338" w14:textId="77777777" w:rsidR="00942DD8" w:rsidRPr="002A3B16" w:rsidRDefault="00942DD8" w:rsidP="00942DD8"/>
    <w:p w14:paraId="0B54C724" w14:textId="77777777" w:rsidR="00942DD8" w:rsidRPr="002A3B16" w:rsidRDefault="00942DD8" w:rsidP="00942DD8">
      <w:pPr>
        <w:pStyle w:val="PageHeading"/>
        <w:sectPr w:rsidR="00942DD8" w:rsidRPr="002A3B16" w:rsidSect="0022705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E68619B" w14:textId="2FE40800" w:rsidR="00942DD8" w:rsidRPr="002A3B16" w:rsidRDefault="00942DD8" w:rsidP="008E5205">
      <w:pPr>
        <w:pStyle w:val="ATHeading3"/>
      </w:pPr>
      <w:bookmarkStart w:id="8" w:name="_Toc161351107"/>
      <w:r w:rsidRPr="002A3B16">
        <w:lastRenderedPageBreak/>
        <w:t xml:space="preserve">2. </w:t>
      </w:r>
      <w:bookmarkEnd w:id="8"/>
      <w:r w:rsidR="008E5205" w:rsidRPr="002A3B16">
        <w:t xml:space="preserve">Resolução do Parlamento Europeu, de </w:t>
      </w:r>
      <w:r w:rsidR="00F32E9D" w:rsidRPr="002A3B16">
        <w:t>23</w:t>
      </w:r>
      <w:r w:rsidR="008E5205" w:rsidRPr="002A3B16">
        <w:t xml:space="preserve"> de abril de 2024, </w:t>
      </w:r>
      <w:r w:rsidRPr="002A3B16">
        <w:t>que contém as observações que constituem parte integrante da decisão sobre a quitação pela execução do orçamento geral da União Europeia para o exercício de 2022, Secção II – Conselho Europeu e Conselho</w:t>
      </w:r>
      <w:r w:rsidR="008E5205" w:rsidRPr="002A3B16">
        <w:t xml:space="preserve"> (2023</w:t>
      </w:r>
      <w:r w:rsidRPr="002A3B16">
        <w:t>/2131(DEC))</w:t>
      </w:r>
    </w:p>
    <w:p w14:paraId="157553A0" w14:textId="77777777" w:rsidR="00942DD8" w:rsidRPr="002A3B16" w:rsidRDefault="00942DD8" w:rsidP="00942DD8">
      <w:pPr>
        <w:pStyle w:val="EPComma"/>
        <w:spacing w:before="0"/>
      </w:pPr>
      <w:r w:rsidRPr="002A3B16">
        <w:rPr>
          <w:i/>
          <w:iCs/>
        </w:rPr>
        <w:t>O Parlamento Europeu</w:t>
      </w:r>
      <w:r w:rsidRPr="002A3B16">
        <w:t>,</w:t>
      </w:r>
    </w:p>
    <w:p w14:paraId="5115CC35" w14:textId="5A13C788" w:rsidR="00942DD8" w:rsidRPr="002A3B16" w:rsidRDefault="00942DD8" w:rsidP="00942DD8">
      <w:pPr>
        <w:pStyle w:val="NormalHanging12a"/>
        <w:rPr>
          <w:szCs w:val="24"/>
        </w:rPr>
      </w:pPr>
      <w:r w:rsidRPr="002A3B16">
        <w:t>–</w:t>
      </w:r>
      <w:r w:rsidRPr="002A3B16">
        <w:tab/>
        <w:t>Tendo em conta a sua decisão sobre a quitação pela execução do orçamento geral da União Europeia para o exercício de 2022, Secção II</w:t>
      </w:r>
      <w:r w:rsidR="004A1BD2" w:rsidRPr="002A3B16">
        <w:t xml:space="preserve"> –</w:t>
      </w:r>
      <w:r w:rsidRPr="002A3B16">
        <w:t xml:space="preserve"> Conselho Europeu e Conselho,</w:t>
      </w:r>
    </w:p>
    <w:p w14:paraId="4C47F81A" w14:textId="43DA9CF3" w:rsidR="00942DD8" w:rsidRPr="002A3B16" w:rsidRDefault="00942DD8" w:rsidP="00942DD8">
      <w:pPr>
        <w:pStyle w:val="NormalHanging12a"/>
        <w:rPr>
          <w:szCs w:val="24"/>
        </w:rPr>
      </w:pPr>
      <w:r w:rsidRPr="002A3B16">
        <w:t>–</w:t>
      </w:r>
      <w:r w:rsidRPr="002A3B16">
        <w:tab/>
        <w:t xml:space="preserve">Tendo em conta o artigo 100.º e o </w:t>
      </w:r>
      <w:r w:rsidR="004A1BD2" w:rsidRPr="002A3B16">
        <w:t>a</w:t>
      </w:r>
      <w:r w:rsidRPr="002A3B16">
        <w:t>nexo V do seu Regimento,</w:t>
      </w:r>
    </w:p>
    <w:p w14:paraId="0005D80A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>–</w:t>
      </w:r>
      <w:r w:rsidRPr="002A3B16">
        <w:tab/>
        <w:t>Tendo em conta a carta da Comissão dos Assuntos Constitucionais,</w:t>
      </w:r>
    </w:p>
    <w:p w14:paraId="7B3D9BE5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>–</w:t>
      </w:r>
      <w:r w:rsidRPr="002A3B16">
        <w:tab/>
        <w:t>Tendo em conta o relatório da Comissão do Controlo Orçamental (A9-0071/2024),</w:t>
      </w:r>
    </w:p>
    <w:p w14:paraId="05929D1A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>A.</w:t>
      </w:r>
      <w:r w:rsidRPr="002A3B16">
        <w:tab/>
        <w:t>Considerando que, no contexto do processo de quitação, a autoridade de quitação deseja salientar a particular importância de reforçar a legitimidade democrática das instituições da União, melhorando a transparência e a responsabilização e pondo em prática o conceito de orçamentação baseada no desempenho, bem como a boa governação dos recursos humanos;</w:t>
      </w:r>
    </w:p>
    <w:p w14:paraId="64A1A7EA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B.</w:t>
      </w:r>
      <w:r w:rsidRPr="002A3B16">
        <w:tab/>
        <w:t>Considerando</w:t>
      </w:r>
      <w:proofErr w:type="gramEnd"/>
      <w:r w:rsidRPr="002A3B16">
        <w:t xml:space="preserve"> que, nos termos do artigo 319.º do Tratado sobre o Funcionamento da União Europeia (TFUE), cabe unicamente ao Parlamento a responsabilidade de dar quitação pela execução do orçamento geral da União, e que o orçamento do Conselho Europeu e do Conselho é uma secção do orçamento da União;</w:t>
      </w:r>
    </w:p>
    <w:p w14:paraId="28B3A210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C.</w:t>
      </w:r>
      <w:r w:rsidRPr="002A3B16">
        <w:tab/>
        <w:t>Considerando</w:t>
      </w:r>
      <w:proofErr w:type="gramEnd"/>
      <w:r w:rsidRPr="002A3B16">
        <w:t xml:space="preserve"> que, nos termos do artigo 15.º, n.º 1, do Tratado da União Europeia (TUE), o Conselho Europeu não exerce funções legislativas;</w:t>
      </w:r>
    </w:p>
    <w:p w14:paraId="0E5D026D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>D.</w:t>
      </w:r>
      <w:r w:rsidRPr="002A3B16">
        <w:tab/>
        <w:t>Considerando que, nos termos do artigo 317.º do TFUE, a Comissão deve executar o orçamento sob sua própria responsabilidade, de acordo com os princípios da boa gestão financeira, e que, com base no quadro em vigor, a Comissão deve conferir às demais instituições da União as competências necessárias para darem execução às secções do orçamento que lhes dizem respeito;</w:t>
      </w:r>
    </w:p>
    <w:p w14:paraId="2132D56F" w14:textId="5ADCCC35" w:rsidR="00942DD8" w:rsidRPr="002A3B16" w:rsidRDefault="00942DD8" w:rsidP="00942DD8">
      <w:pPr>
        <w:pStyle w:val="NormalHanging12a"/>
        <w:rPr>
          <w:szCs w:val="24"/>
        </w:rPr>
      </w:pPr>
      <w:r w:rsidRPr="002A3B16">
        <w:t>E.</w:t>
      </w:r>
      <w:r w:rsidRPr="002A3B16">
        <w:tab/>
        <w:t xml:space="preserve">Considerando que, nos termos do artigo 235.º, n.º 4, e do artigo 240.º, n.º 2, do TFUE, o Conselho Europeu e o Conselho («Conselho») são assistidos pelo Secretariado-Geral do Conselho e que </w:t>
      </w:r>
      <w:r w:rsidR="0042554A" w:rsidRPr="002A3B16">
        <w:t>a</w:t>
      </w:r>
      <w:r w:rsidRPr="002A3B16">
        <w:t xml:space="preserve"> Secretári</w:t>
      </w:r>
      <w:r w:rsidR="0042554A" w:rsidRPr="002A3B16">
        <w:t>a</w:t>
      </w:r>
      <w:r w:rsidRPr="002A3B16">
        <w:t>-Geral do Conselho é inteiramente responsável pela boa gestão das dotações inscritas na Secção II do orçamento da União;</w:t>
      </w:r>
    </w:p>
    <w:p w14:paraId="3632C1E4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F.</w:t>
      </w:r>
      <w:r w:rsidRPr="002A3B16">
        <w:tab/>
        <w:t>Considerando</w:t>
      </w:r>
      <w:proofErr w:type="gramEnd"/>
      <w:r w:rsidRPr="002A3B16">
        <w:t xml:space="preserve"> que, ao longo de quase vinte anos, o Parlamento tem aplicado a prática consolidada e respeitada de dar quitação a todas as instituições, órgãos e organismos da União, e que a Comissão apoia a continuação da prática de dar quitação a cada instituição, órgão ou organismo da União pelas suas despesas administrativas;</w:t>
      </w:r>
    </w:p>
    <w:p w14:paraId="54451501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G.</w:t>
      </w:r>
      <w:r w:rsidRPr="002A3B16">
        <w:tab/>
        <w:t>Considerando</w:t>
      </w:r>
      <w:proofErr w:type="gramEnd"/>
      <w:r w:rsidRPr="002A3B16">
        <w:t xml:space="preserve"> que, nos termos do artigo 59.º, n.º 1, do Regulamento Financeiro, a Comissão confere às outras instituições da União os poderes necessários para a execução das secções do orçamento que lhes dizem respeito;</w:t>
      </w:r>
    </w:p>
    <w:p w14:paraId="7943A4A5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H.</w:t>
      </w:r>
      <w:r w:rsidRPr="002A3B16">
        <w:tab/>
        <w:t>Considerando</w:t>
      </w:r>
      <w:proofErr w:type="gramEnd"/>
      <w:r w:rsidRPr="002A3B16">
        <w:t xml:space="preserve"> que o facto de o Conselho não cooperar no processo de quitação obriga o Parlamento, desde 2009, a recusar dar quitação ao Secretário-Geral do Conselho;</w:t>
      </w:r>
    </w:p>
    <w:p w14:paraId="3310539D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lastRenderedPageBreak/>
        <w:t>I.</w:t>
      </w:r>
      <w:r w:rsidRPr="002A3B16">
        <w:tab/>
        <w:t>Considerando</w:t>
      </w:r>
      <w:proofErr w:type="gramEnd"/>
      <w:r w:rsidRPr="002A3B16">
        <w:t xml:space="preserve"> que o Conselho Europeu e o Conselho, enquanto instituições da União e beneficiários do orçamento geral da União, devem pautar-se pela transparência e pela responsabilização democrática perante os cidadãos da União e sujeitar-se ao controlo democrático da utilização de fundos públicos;</w:t>
      </w:r>
    </w:p>
    <w:p w14:paraId="146489AD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>J.</w:t>
      </w:r>
      <w:r w:rsidRPr="002A3B16">
        <w:tab/>
        <w:t>Considerando que a recomendação da Provedora de Justiça Europeia («Provedora de Justiça») no inquérito estratégico OI/2/2017/TE sobre a transparência do processo legislativo indicou que a prática do Conselho em matéria de transparência do processo legislativo configurava má administração e deve ser alterada para permitir aos cidadãos acompanhar o processo legislativo da União;</w:t>
      </w:r>
    </w:p>
    <w:p w14:paraId="70026AF1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 xml:space="preserve">K. </w:t>
      </w:r>
      <w:r w:rsidRPr="002A3B16">
        <w:tab/>
        <w:t>Considerando que a jurisprudência do Tribunal de Justiça da União Europeia confirma o direito dos contribuintes e do público a serem mantidos informados sobre a utilização das receitas públicas e que o Tribunal Geral, no seu acórdão de 25 de janeiro de 2023 no processo T-163/21</w:t>
      </w:r>
      <w:r w:rsidRPr="002A3B16">
        <w:rPr>
          <w:rStyle w:val="FootnoteReference"/>
          <w:szCs w:val="24"/>
        </w:rPr>
        <w:footnoteReference w:id="6"/>
      </w:r>
      <w:r w:rsidRPr="002A3B16">
        <w:t xml:space="preserve">, </w:t>
      </w:r>
      <w:r w:rsidRPr="002A3B16">
        <w:rPr>
          <w:i/>
          <w:iCs/>
        </w:rPr>
        <w:t>De Capitani/Conselho</w:t>
      </w:r>
      <w:r w:rsidRPr="002A3B16">
        <w:t>, declarou, no concernente à transparência no processo legislativo da União, que os documentos elaborados pelo Conselho nos seus grupos de trabalho não são de natureza técnica, mas, sim, legislativa, estando, por conseguinte, sujeitos a pedidos de acesso a documentos;</w:t>
      </w:r>
    </w:p>
    <w:p w14:paraId="27CD8920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>1.</w:t>
      </w:r>
      <w:r w:rsidRPr="002A3B16">
        <w:tab/>
        <w:t>Observa que o orçamento do Conselho se insere na rubrica 7 do QFP, «Administração pública europeia», que ascendeu a 11,6 mil milhões de EUR em 2022 (representando 5,9 % do orçamento total da União); assinala que o orçamento do Conselho, de cerca de 0,6 mil milhões de euros, representa aproximadamente 5,3 % do total das despesas administrativas da União;</w:t>
      </w:r>
    </w:p>
    <w:p w14:paraId="131267EB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>2.</w:t>
      </w:r>
      <w:r w:rsidRPr="002A3B16">
        <w:tab/>
        <w:t>Observa que o Tribunal de Contas (o «Tribunal»), no seu relatório anual relativo ao exercício de 2022, examinou uma amostra de 60 operações no domínio da Administração, o mesmo número que foi examinado em 2021; observa ainda que o Tribunal refere que as despesas administrativas incluem as despesas com recursos humanos, designadamente despesas relativas a pensões, que, em 2022, representaram cerca de 70 % do total das despesas administrativas, bem como despesas imobiliárias, de equipamento, de energia, de comunicações e de tecnologias da informação, e que o seu trabalho ao longo de muitos anos indica que, de um modo geral, estas despesas são de baixo risco;</w:t>
      </w:r>
    </w:p>
    <w:p w14:paraId="44296D4D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3.</w:t>
      </w:r>
      <w:r w:rsidRPr="002A3B16">
        <w:tab/>
        <w:t>Regista</w:t>
      </w:r>
      <w:proofErr w:type="gramEnd"/>
      <w:r w:rsidRPr="002A3B16">
        <w:t xml:space="preserve"> que 14 (23 %) das 60 operações continham erros, mas que o Tribunal, com base nos cinco erros que foram quantificados, estima que o nível de erro se situe abaixo do limiar de materialidade;</w:t>
      </w:r>
    </w:p>
    <w:p w14:paraId="0452EF07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4.</w:t>
      </w:r>
      <w:r w:rsidRPr="002A3B16">
        <w:tab/>
        <w:t>Verifica</w:t>
      </w:r>
      <w:proofErr w:type="gramEnd"/>
      <w:r w:rsidRPr="002A3B16">
        <w:t xml:space="preserve"> com satisfação que, no seu relatório anual relativo ao exercício de 2022, o Tribunal refere que não detetou problemas específicos relativamente ao Conselho;</w:t>
      </w:r>
    </w:p>
    <w:p w14:paraId="7CA8A107" w14:textId="77777777" w:rsidR="00942DD8" w:rsidRPr="002A3B16" w:rsidRDefault="00942DD8" w:rsidP="00942DD8">
      <w:pPr>
        <w:pStyle w:val="NormalHanging12a"/>
        <w:rPr>
          <w:b/>
          <w:i/>
          <w:szCs w:val="24"/>
        </w:rPr>
      </w:pPr>
      <w:r w:rsidRPr="002A3B16">
        <w:rPr>
          <w:b/>
          <w:i/>
        </w:rPr>
        <w:t>Situação atual do processo de quitação</w:t>
      </w:r>
    </w:p>
    <w:p w14:paraId="6C36804D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5.</w:t>
      </w:r>
      <w:r w:rsidRPr="002A3B16">
        <w:tab/>
        <w:t>Lamenta</w:t>
      </w:r>
      <w:proofErr w:type="gramEnd"/>
      <w:r w:rsidRPr="002A3B16">
        <w:t xml:space="preserve"> vivamente que, desde 2009 e, de novo, no exercício de 2021, o Parlamento tenha tido de recusar a quitação ao Conselho, porquanto esta instituição continua a recusar-se a cooperar com o Parlamento no processo de quitação, impedindo o Parlamento de tomar uma decisão informada com base num controlo sério e exaustivo </w:t>
      </w:r>
      <w:r w:rsidRPr="002A3B16">
        <w:lastRenderedPageBreak/>
        <w:t>da execução do orçamento do Conselho;</w:t>
      </w:r>
    </w:p>
    <w:p w14:paraId="01E5066F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 xml:space="preserve">6. </w:t>
      </w:r>
      <w:r w:rsidRPr="002A3B16">
        <w:tab/>
        <w:t>Observa que os serviços competentes do Parlamento, em nome do relator para o processo de quitação, enviaram, em 28 de setembro de 2023, um questionário ao Secretariado do Conselho com 74 perguntas importantes para o Parlamento, a fim de permitir um controlo exaustivo da execução do orçamento do Conselho e da gestão do Conselho; assinala ainda que foram enviados questionários semelhantes a todas as demais instituições e que todas transmitiram ao Parlamento respostas pormenorizadas a todas as perguntas;</w:t>
      </w:r>
    </w:p>
    <w:p w14:paraId="4A34788F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 xml:space="preserve">7. </w:t>
      </w:r>
      <w:proofErr w:type="gramStart"/>
      <w:r w:rsidRPr="002A3B16">
        <w:tab/>
        <w:t>Lamenta</w:t>
      </w:r>
      <w:proofErr w:type="gramEnd"/>
      <w:r w:rsidRPr="002A3B16">
        <w:t xml:space="preserve"> que, em 12 de outubro de 2023, o Secretariado-Geral do Conselho tenha informado mais uma vez o Parlamento de que não responderia ao questionário que lhe fora enviado e que o Conselho não participaria na audição agendada para 25 de outubro de 2023 no âmbito do processo de quitação e na qual participaram todas as outras instituições convidadas;</w:t>
      </w:r>
    </w:p>
    <w:p w14:paraId="5A01F48B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8.</w:t>
      </w:r>
      <w:r w:rsidRPr="002A3B16">
        <w:tab/>
        <w:t>Destaca</w:t>
      </w:r>
      <w:proofErr w:type="gramEnd"/>
      <w:r w:rsidRPr="002A3B16">
        <w:t xml:space="preserve"> a prerrogativa do Parlamento de dar quitação nos termos do artigo 319.º do TFUE, bem como das disposições aplicáveis do Regulamento Financeiro e do Regimento do Parlamento, em consonância com a prática e a interpretação atuais, nomeadamente o poder de conceder quitação, a fim de manter a transparência e assegurar a responsabilidade democrática perante os contribuintes da União;</w:t>
      </w:r>
    </w:p>
    <w:p w14:paraId="180F6D3D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9.</w:t>
      </w:r>
      <w:r w:rsidRPr="002A3B16">
        <w:tab/>
        <w:t>Sublinha</w:t>
      </w:r>
      <w:proofErr w:type="gramEnd"/>
      <w:r w:rsidRPr="002A3B16">
        <w:t xml:space="preserve"> que o artigo 59.º, n.º 1, do Regulamento Financeiro dispõe que a Comissão confere às outras instituições da União os poderes necessários para a execução das secções do orçamento que lhes dizem respeito, pelo que considera incompreensível que o Conselho acredite ser apropriado que deva ser concedida quitação à Comissão pela execução do orçamento do Conselho;</w:t>
      </w:r>
    </w:p>
    <w:p w14:paraId="22DE707D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>10.</w:t>
      </w:r>
      <w:r w:rsidRPr="002A3B16">
        <w:tab/>
        <w:t>Salienta a prática consolidada e respeitada seguida pelo Parlamento ao longo de quase vinte anos de conceder quitação a todas as instituições, órgãos e organismos da União; recorda que a Comissão declarou a sua incapacidade para supervisionar a execução dos orçamentos das outras instituições da União; sublinha o ponto de vista reiterado da Comissão segundo o qual a prática de dar quitação a cada instituição da União pelas suas despesas administrativas deve continuar a ser exercida diretamente pelo Parlamento;</w:t>
      </w:r>
    </w:p>
    <w:p w14:paraId="4A8E2F25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11.</w:t>
      </w:r>
      <w:r w:rsidRPr="002A3B16">
        <w:tab/>
        <w:t>Salienta</w:t>
      </w:r>
      <w:proofErr w:type="gramEnd"/>
      <w:r w:rsidRPr="002A3B16">
        <w:t xml:space="preserve"> que a situação atual permite que o Parlamento verifique apenas os relatórios do Tribunal e do Provedor de Justiça, bem como as informações acessíveis ao público no sítio Web do Conselho, uma vez que o Conselho continua a sua má prática de não colaborar com o Parlamento, o que impede o Parlamento de exercer as suas funções e de tomar uma decisão informada sobre a concessão de quitação;</w:t>
      </w:r>
    </w:p>
    <w:p w14:paraId="4BB38013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12.</w:t>
      </w:r>
      <w:r w:rsidRPr="002A3B16">
        <w:tab/>
        <w:t>Lamenta</w:t>
      </w:r>
      <w:proofErr w:type="gramEnd"/>
      <w:r w:rsidRPr="002A3B16">
        <w:t xml:space="preserve"> que o Conselho demonstre, há mais de uma década, que não tem qualquer vontade política de colaborar com o Parlamento no âmbito do processo de quitação anual; sublinha que esta atitude teve repercussões negativas duradouras para ambas as instituições, desacreditou a gestão e o controlo democrático do orçamento da União e abalou a confiança dos cidadãos na União enquanto entidade transparente;</w:t>
      </w:r>
    </w:p>
    <w:p w14:paraId="40452661" w14:textId="77777777" w:rsidR="00942DD8" w:rsidRPr="002A3B16" w:rsidRDefault="00942DD8" w:rsidP="00942DD8">
      <w:pPr>
        <w:pStyle w:val="NormalHanging12a"/>
        <w:rPr>
          <w:szCs w:val="24"/>
        </w:rPr>
      </w:pPr>
      <w:proofErr w:type="gramStart"/>
      <w:r w:rsidRPr="002A3B16">
        <w:t>13.</w:t>
      </w:r>
      <w:r w:rsidRPr="002A3B16">
        <w:tab/>
        <w:t>Recorda</w:t>
      </w:r>
      <w:proofErr w:type="gramEnd"/>
      <w:r w:rsidRPr="002A3B16">
        <w:t xml:space="preserve"> que a jurisprudência do Tribunal de Justiça da União Europeia defende o direito dos contribuintes e do público em geral a serem informados sobre a utilização das receitas públicas; solicita, por conseguinte, o pleno respeito da prerrogativa e do </w:t>
      </w:r>
      <w:r w:rsidRPr="002A3B16">
        <w:lastRenderedPageBreak/>
        <w:t>papel do Parlamento enquanto garante do princípio da responsabilização democrática; apela ao Conselho para que dê devidamente seguimento às recomendações aprovadas pelo Parlamento no âmbito do processo de quitação;</w:t>
      </w:r>
    </w:p>
    <w:p w14:paraId="37DE2A09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>14.</w:t>
      </w:r>
      <w:r w:rsidRPr="002A3B16">
        <w:tab/>
        <w:t>Insta o Conselho a retomar as negociações com o Parlamento ao mais alto nível, o mais rapidamente possível, e associar a este processo os secretários‑gerais e os presidentes das duas instituições, a fim de ultrapassar o impasse e encontrar uma solução, respeitando simultaneamente os papéis respetivos do Parlamento e do Conselho no processo de quitação e garantindo a transparência e um controlo democrático adequado da execução orçamental;</w:t>
      </w:r>
    </w:p>
    <w:p w14:paraId="60FF6A18" w14:textId="77777777" w:rsidR="00942DD8" w:rsidRPr="002A3B16" w:rsidRDefault="00942DD8" w:rsidP="00942DD8">
      <w:pPr>
        <w:pStyle w:val="NormalHanging12a"/>
        <w:rPr>
          <w:szCs w:val="24"/>
        </w:rPr>
      </w:pPr>
      <w:r w:rsidRPr="002A3B16">
        <w:t>15.</w:t>
      </w:r>
      <w:r w:rsidRPr="002A3B16">
        <w:tab/>
        <w:t>Destaca que, embora seja possível melhorar a situação atual através de uma melhor cooperação interinstitucional no âmbito dos Tratados, uma revisão dos Tratados poderá tornar o processo de quitação mais claro e mais transparente, conferindo ao Parlamento a competência explícita de dar quitação a todas as instituições, órgãos e organismos da União separadamente; sublinha, no entanto, que na pendência de tal revisão, a situação atual tem de ser melhorada através de uma cooperação institucional reforçada no âmbito do atual quadro dos Tratados e exorta o Conselho a colaborar ativamente com o Parlamento na resposta à situação atual;</w:t>
      </w:r>
    </w:p>
    <w:p w14:paraId="4195F7DB" w14:textId="06E7561F" w:rsidR="00942DD8" w:rsidRPr="002A3B16" w:rsidRDefault="00942DD8" w:rsidP="00942DD8">
      <w:pPr>
        <w:pStyle w:val="NormalHanging12a"/>
      </w:pPr>
      <w:proofErr w:type="gramStart"/>
      <w:r w:rsidRPr="002A3B16">
        <w:t>16.</w:t>
      </w:r>
      <w:r w:rsidRPr="002A3B16">
        <w:tab/>
        <w:t>Observa</w:t>
      </w:r>
      <w:proofErr w:type="gramEnd"/>
      <w:r w:rsidRPr="002A3B16">
        <w:t xml:space="preserve"> que, apesar de o Conselho não estar disposto a cooperar no processo de quitação, o Parlamento salienta, na presente resolução, algumas prioridades políticas e formula algumas observações relativas à gestão orçamental e financeira do Conselho, bem como outras observações pertinentes para o processo de quitação;</w:t>
      </w:r>
    </w:p>
    <w:p w14:paraId="73DFA904" w14:textId="0CCB513E" w:rsidR="00663688" w:rsidRPr="002A3B16" w:rsidRDefault="00663688" w:rsidP="00942DD8">
      <w:pPr>
        <w:pStyle w:val="NormalHanging12a"/>
        <w:rPr>
          <w:szCs w:val="24"/>
        </w:rPr>
      </w:pPr>
      <w:r w:rsidRPr="002A3B16">
        <w:t>17.</w:t>
      </w:r>
      <w:r w:rsidRPr="002A3B16">
        <w:tab/>
        <w:t xml:space="preserve">Recorda que, </w:t>
      </w:r>
      <w:r w:rsidR="002D0E4C" w:rsidRPr="002A3B16">
        <w:t>desde</w:t>
      </w:r>
      <w:r w:rsidRPr="002A3B16">
        <w:t xml:space="preserve"> que a Rússia </w:t>
      </w:r>
      <w:r w:rsidR="002D0E4C" w:rsidRPr="002A3B16">
        <w:t>começou</w:t>
      </w:r>
      <w:r w:rsidRPr="002A3B16">
        <w:t xml:space="preserve"> a </w:t>
      </w:r>
      <w:r w:rsidR="00281A2B" w:rsidRPr="002A3B16">
        <w:t>levar a cabo</w:t>
      </w:r>
      <w:r w:rsidRPr="002A3B16">
        <w:t xml:space="preserve"> uma guerra de agressão em grande escala ilegal, não provocada e injustificada contra a Ucrânia </w:t>
      </w:r>
      <w:r w:rsidR="002D0E4C" w:rsidRPr="002A3B16">
        <w:t>em</w:t>
      </w:r>
      <w:r w:rsidRPr="002A3B16">
        <w:t xml:space="preserve"> 24 de fevereiro de 2022, a U</w:t>
      </w:r>
      <w:r w:rsidR="00035595" w:rsidRPr="002A3B16">
        <w:t>nião</w:t>
      </w:r>
      <w:r w:rsidRPr="002A3B16">
        <w:t xml:space="preserve"> e os seus Estados</w:t>
      </w:r>
      <w:r w:rsidRPr="002A3B16">
        <w:noBreakHyphen/>
        <w:t>Membros se comprometeram a prestar assistência à Ucrânia e ao seu povo; recorda a iniciativa relativa às munições, que inicialmente visava fornecer um milhão de projéteis de 155 mm à Ucrânia até março de 2024, mas que entregou apenas cerca de metade dessa quantidade até essa data; insta a Comissão e os Estados</w:t>
      </w:r>
      <w:r w:rsidRPr="002A3B16">
        <w:noBreakHyphen/>
        <w:t>Membros a acelerarem significativamente, sem demora, o fabrico, a aquisição e a entrega de munições à Ucrânia; salienta que o Governo ucraniano solicitou aos</w:t>
      </w:r>
      <w:r w:rsidR="0094459B" w:rsidRPr="002A3B16">
        <w:t xml:space="preserve"> seus</w:t>
      </w:r>
      <w:r w:rsidRPr="002A3B16">
        <w:t xml:space="preserve"> aliados europeus que fornecessem </w:t>
      </w:r>
      <w:r w:rsidR="00035595" w:rsidRPr="002A3B16">
        <w:t xml:space="preserve">à Ucrânia </w:t>
      </w:r>
      <w:r w:rsidRPr="002A3B16">
        <w:t xml:space="preserve">sete dos cerca de 30 sistemas antimísseis </w:t>
      </w:r>
      <w:r w:rsidRPr="002A3B16">
        <w:rPr>
          <w:i/>
        </w:rPr>
        <w:t>Patriot</w:t>
      </w:r>
      <w:r w:rsidRPr="002A3B16">
        <w:t xml:space="preserve"> disponíveis nos Estados</w:t>
      </w:r>
      <w:r w:rsidRPr="002A3B16">
        <w:noBreakHyphen/>
        <w:t>Membros, a fim de proteger de forma mais adequada as infraestruturas civis contra a agressão russa; lamenta que, até à data, apenas um Estado</w:t>
      </w:r>
      <w:r w:rsidRPr="002A3B16">
        <w:noBreakHyphen/>
        <w:t>Membro tenha prometido fornecer um sistema adicional e insta o Conselho Europeu a acelerar o processo de tomada de decisão e a afetar recursos para dotar a Ucrânia das capacidades de defesa aérea necessárias; sublinha que o Parlamento não dará quitação ao Conselho devido à ausência de aplicação das recomendações do Parlamento e enquanto o apoio necessário à Ucrânia não for devidamente orçamentado; reafirma a sua solidariedade para com a Ucrânia e salienta a importância de uma ação decisiva por parte dos dirigentes europeus para dar resposta às necessidades urgentes em matéria de segurança dos nossos parceiros ucranianos;</w:t>
      </w:r>
    </w:p>
    <w:p w14:paraId="31525DEF" w14:textId="77777777" w:rsidR="00942DD8" w:rsidRPr="002A3B16" w:rsidRDefault="00942DD8" w:rsidP="00942DD8">
      <w:pPr>
        <w:pStyle w:val="NormalHanging12a"/>
        <w:ind w:left="0" w:firstLine="0"/>
        <w:rPr>
          <w:b/>
          <w:i/>
          <w:szCs w:val="24"/>
        </w:rPr>
      </w:pPr>
      <w:r w:rsidRPr="002A3B16">
        <w:rPr>
          <w:b/>
          <w:i/>
        </w:rPr>
        <w:t>Prioridades políticas</w:t>
      </w:r>
    </w:p>
    <w:p w14:paraId="3FEA5757" w14:textId="6EF86BD2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18</w:t>
      </w:r>
      <w:r w:rsidR="00942DD8" w:rsidRPr="002A3B16">
        <w:t>.</w:t>
      </w:r>
      <w:r w:rsidR="00942DD8" w:rsidRPr="002A3B16">
        <w:tab/>
        <w:t>Lamenta</w:t>
      </w:r>
      <w:proofErr w:type="gramEnd"/>
      <w:r w:rsidR="00942DD8" w:rsidRPr="002A3B16">
        <w:t xml:space="preserve"> que o Conselho exerça a sua prerrogativa nos processos de designação e nomeação relativos a muitas instituições, órgãos e organismos da União sem ter em conta os pontos de vista das partes interessadas ou as recomendações do Organismo Europeu de Luta Antifraude (OLAF);</w:t>
      </w:r>
    </w:p>
    <w:p w14:paraId="1C258351" w14:textId="4B4D4F40" w:rsidR="00942DD8" w:rsidRPr="002A3B16" w:rsidRDefault="00A90F92" w:rsidP="00942DD8">
      <w:pPr>
        <w:pStyle w:val="NormalHanging12a"/>
        <w:rPr>
          <w:szCs w:val="24"/>
        </w:rPr>
      </w:pPr>
      <w:r w:rsidRPr="002A3B16">
        <w:lastRenderedPageBreak/>
        <w:t>19</w:t>
      </w:r>
      <w:r w:rsidR="00942DD8" w:rsidRPr="002A3B16">
        <w:t xml:space="preserve">. </w:t>
      </w:r>
      <w:r w:rsidR="00942DD8" w:rsidRPr="002A3B16">
        <w:tab/>
        <w:t>Sublinha que a tradição do Conselho de não pôr em causa as nomeações dos diferentes Estados-Membros para a maioria dos cargos significa que as qualificações profissionais dos candidatos não são objeto de uma verificação exaustiva; insiste, por conseguinte, na necessidade de uma revisão da prerrogativa do Conselho, com vista a garantir e a reforçar a participação das instituições, órgãos e organismos em causa e a aumentar a legitimidade das pessoas nomeadas; sugere que, a fim de garantir que os candidatos possuam as qualificações necessárias, poderiam ser criados painéis independentes de peritos incumbidos desses controlos;</w:t>
      </w:r>
    </w:p>
    <w:p w14:paraId="662B84AD" w14:textId="6FE61CBE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20</w:t>
      </w:r>
      <w:r w:rsidR="00942DD8" w:rsidRPr="002A3B16">
        <w:t>.</w:t>
      </w:r>
      <w:r w:rsidR="00942DD8" w:rsidRPr="002A3B16">
        <w:tab/>
        <w:t>Recorda</w:t>
      </w:r>
      <w:proofErr w:type="gramEnd"/>
      <w:r w:rsidR="00942DD8" w:rsidRPr="002A3B16">
        <w:t xml:space="preserve"> que, nos termos do artigo 286.º, n.º 2, do TFUE, o Conselho nomeia os membros do Tribunal após consulta ao Parlamento; lamenta que o Conselho tenha ignorado repetidamente as recomendações do Parlamento, no exercício da sua função consultiva, relativamente à nomeação dos membros do Tribunal;</w:t>
      </w:r>
    </w:p>
    <w:p w14:paraId="2E8DE147" w14:textId="69E9A4B3" w:rsidR="00942DD8" w:rsidRPr="002A3B16" w:rsidRDefault="00A90F92" w:rsidP="00942DD8">
      <w:pPr>
        <w:pStyle w:val="NormalHanging12a"/>
        <w:rPr>
          <w:szCs w:val="24"/>
        </w:rPr>
      </w:pPr>
      <w:r w:rsidRPr="002A3B16">
        <w:t>21</w:t>
      </w:r>
      <w:r w:rsidR="00942DD8" w:rsidRPr="002A3B16">
        <w:t>.</w:t>
      </w:r>
      <w:r w:rsidR="00942DD8" w:rsidRPr="002A3B16">
        <w:tab/>
        <w:t xml:space="preserve">Salienta o grave desequilíbrio de género no Tribunal, onde, no final de 2022, havia apenas </w:t>
      </w:r>
      <w:r w:rsidR="004F7C9C" w:rsidRPr="002A3B16">
        <w:t>nove</w:t>
      </w:r>
      <w:r w:rsidR="00942DD8" w:rsidRPr="002A3B16">
        <w:t> membros do sexo feminino, em comparação com 17 membros do sexo masculino; observa as dificuldades em alcançar o equilíbrio de género no Tribunal devido ao atual processo de nomeação; reitera o seu apelo ao Conselho para que reconsidere o processo de nomeação com o objetivo de resolver este problema com ações concretas, tais como tornar obrigatório que os Estados‑Membros nomeiem pelo menos dois candidatos de géneros diferentes para cada vaga;</w:t>
      </w:r>
    </w:p>
    <w:p w14:paraId="14082102" w14:textId="436054A6" w:rsidR="00942DD8" w:rsidRPr="002A3B16" w:rsidRDefault="00A90F92" w:rsidP="00942DD8">
      <w:pPr>
        <w:pStyle w:val="NormalHanging12a"/>
        <w:rPr>
          <w:szCs w:val="24"/>
        </w:rPr>
      </w:pPr>
      <w:r w:rsidRPr="002A3B16">
        <w:t>22</w:t>
      </w:r>
      <w:r w:rsidR="00942DD8" w:rsidRPr="002A3B16">
        <w:t>.</w:t>
      </w:r>
      <w:r w:rsidR="00942DD8" w:rsidRPr="002A3B16">
        <w:tab/>
        <w:t>Lamenta que, até à data, o Conselho tenha ignorado a resolução do Parlamento, de 17 de dezembro de 2020, sobre a necessidade de uma formação específica do Conselho em matéria de igualdade de género</w:t>
      </w:r>
      <w:r w:rsidR="00942DD8" w:rsidRPr="002A3B16">
        <w:rPr>
          <w:rStyle w:val="FootnoteReference"/>
          <w:szCs w:val="24"/>
        </w:rPr>
        <w:footnoteReference w:id="7"/>
      </w:r>
      <w:r w:rsidR="00942DD8" w:rsidRPr="002A3B16">
        <w:t xml:space="preserve"> e insiste em que um fórum institucional específico asseguraria uma maior integração da igualdade de género nas políticas e estratégias da União, bem como a coordenação e os progressos essenciais nos principais dossiês relacionados com a igualdade de género;</w:t>
      </w:r>
    </w:p>
    <w:p w14:paraId="16E716C1" w14:textId="619C342D" w:rsidR="00942DD8" w:rsidRPr="002A3B16" w:rsidRDefault="00A90F92" w:rsidP="00942DD8">
      <w:pPr>
        <w:pStyle w:val="NormalHanging12a"/>
        <w:rPr>
          <w:szCs w:val="24"/>
        </w:rPr>
      </w:pPr>
      <w:r w:rsidRPr="002A3B16">
        <w:t>23</w:t>
      </w:r>
      <w:r w:rsidR="00942DD8" w:rsidRPr="002A3B16">
        <w:t>.</w:t>
      </w:r>
      <w:r w:rsidR="00942DD8" w:rsidRPr="002A3B16">
        <w:tab/>
        <w:t xml:space="preserve">Lamenta que o processo de tomada de decisão no Conselho ainda esteja longe de ser totalmente transparente, o que afeta a confiança dos cidadãos na União enquanto entidade transparente e, em consequência, põe em risco a reputação da União no seu conjunto; recorda e apoia as recomendações da Provedora de Justiça sobre a transparência do processo legislativo do Conselho no inquérito estratégico OI/2/2017/TE; insta o Conselho a tomar todas as medidas necessárias para aplicar as recomendações da Provedora de Justiça e os acórdãos pertinentes do Tribunal de Justiça da União Europeia sem demora injustificada; recorda que o Tribunal Geral, no seu acórdão no processo T-163/21, </w:t>
      </w:r>
      <w:r w:rsidR="00942DD8" w:rsidRPr="002A3B16">
        <w:rPr>
          <w:i/>
          <w:iCs/>
        </w:rPr>
        <w:t>De Capitani/Conselho</w:t>
      </w:r>
      <w:r w:rsidR="00942DD8" w:rsidRPr="002A3B16">
        <w:t>, sublinhou que o Conselho deveria dar provas de uma transparência legislativa mais clara, a fim de assegurar que o acesso aos documentos legislativos corresponda à obrigação que cabe ao Conselho em termos de escrutínio público e de prestação de contas dos colegisladores enquanto fundamento de toda e qualquer l</w:t>
      </w:r>
      <w:bookmarkStart w:id="9" w:name="_GoBack"/>
      <w:bookmarkEnd w:id="9"/>
      <w:r w:rsidR="00942DD8" w:rsidRPr="002A3B16">
        <w:t>egitimidade democrática;</w:t>
      </w:r>
    </w:p>
    <w:p w14:paraId="3A60B977" w14:textId="408A9450" w:rsidR="00942DD8" w:rsidRPr="002A3B16" w:rsidRDefault="00A90F92" w:rsidP="00942DD8">
      <w:pPr>
        <w:pStyle w:val="NormalHanging12a"/>
        <w:rPr>
          <w:szCs w:val="24"/>
        </w:rPr>
      </w:pPr>
      <w:r w:rsidRPr="002A3B16">
        <w:t>24</w:t>
      </w:r>
      <w:r w:rsidR="00942DD8" w:rsidRPr="002A3B16">
        <w:t xml:space="preserve">. </w:t>
      </w:r>
      <w:proofErr w:type="gramStart"/>
      <w:r w:rsidR="00942DD8" w:rsidRPr="002A3B16">
        <w:tab/>
        <w:t>Manifesta</w:t>
      </w:r>
      <w:proofErr w:type="gramEnd"/>
      <w:r w:rsidR="00942DD8" w:rsidRPr="002A3B16">
        <w:t xml:space="preserve"> profunda preocupação com o papel cada vez mais importante do Conselho Europeu nos dossiês legislativos, apesar de esta instituição não ter funções legislativas nem executivas e de não aplicar as mesmas normas de transparência que o Conselho, o que significa que não é obrigada a prestar contas;</w:t>
      </w:r>
    </w:p>
    <w:p w14:paraId="2BB7CB6B" w14:textId="1F68A578" w:rsidR="00942DD8" w:rsidRPr="002A3B16" w:rsidRDefault="00A90F92" w:rsidP="00942DD8">
      <w:pPr>
        <w:pStyle w:val="NormalHanging12a"/>
        <w:rPr>
          <w:szCs w:val="24"/>
        </w:rPr>
      </w:pPr>
      <w:r w:rsidRPr="002A3B16">
        <w:t>25</w:t>
      </w:r>
      <w:r w:rsidR="00942DD8" w:rsidRPr="002A3B16">
        <w:t>.</w:t>
      </w:r>
      <w:r w:rsidR="00942DD8" w:rsidRPr="002A3B16">
        <w:tab/>
        <w:t xml:space="preserve">Faz notar que a utilização do processo de votação por unanimidade no Conselho em </w:t>
      </w:r>
      <w:r w:rsidR="00942DD8" w:rsidRPr="002A3B16">
        <w:lastRenderedPageBreak/>
        <w:t>determinados domínios de intervenção pode afetar negativamente o processo de decisão da União, tornando-a suscetível a chantagem por parte dos Estados-Membros, sobretudo aqueles que não respeitam o Estado de direito; insta o Conselho a aplicar os processos de votação por maioria qualificada sempre que previsto nos Tratados; assinala que uma mudança para um processo de votação por maioria qualificada no Conselho pode ser uma forma de aumentar a eficiência na elaboração de políticas;</w:t>
      </w:r>
    </w:p>
    <w:p w14:paraId="4503A2C2" w14:textId="0CA0AF5C" w:rsidR="00942DD8" w:rsidRPr="002A3B16" w:rsidRDefault="00A90F92" w:rsidP="00942DD8">
      <w:pPr>
        <w:pStyle w:val="NormalHanging12a"/>
        <w:rPr>
          <w:szCs w:val="24"/>
        </w:rPr>
      </w:pPr>
      <w:r w:rsidRPr="002A3B16">
        <w:t>26</w:t>
      </w:r>
      <w:r w:rsidR="00942DD8" w:rsidRPr="002A3B16">
        <w:t>.</w:t>
      </w:r>
      <w:r w:rsidR="00942DD8" w:rsidRPr="002A3B16">
        <w:tab/>
        <w:t>Lamenta que a participação dos representantes permanentes dos Estados-Membros no registo de transparência obrigatório, criado pelo Acordo Interinstitucional de 20 de maio de 2021 entre o Parlamento Europeu, o Conselho da União Europeia e a Comissão Europeia sobre um registo de transparência obrigatório</w:t>
      </w:r>
      <w:r w:rsidR="00942DD8" w:rsidRPr="002A3B16">
        <w:rPr>
          <w:szCs w:val="24"/>
          <w:vertAlign w:val="superscript"/>
        </w:rPr>
        <w:footnoteReference w:id="8"/>
      </w:r>
      <w:r w:rsidR="00942DD8" w:rsidRPr="002A3B16">
        <w:t>, seja totalmente voluntária e insiste em que todas as representações permanentes devem participar ativamente no registo de transparência obrigatório antes, durante e após a Presidência do Conselho do respetivo Estado-Membro; considera que as regras éticas em vigor em matéria de conflitos de interesses, portas giratórias e transparência em matéria de grupos de interesse devem ser reforçadas e harmonizadas e que os representantes dos Estados-Membros que beneficiam diretamente de subvenções da União através das empresas de que são proprietários não devem ser autorizados a participar em debates e votações políticas ou orçamentais relacionados com essas subvenções;</w:t>
      </w:r>
    </w:p>
    <w:p w14:paraId="3787D2FB" w14:textId="0B7409D5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27</w:t>
      </w:r>
      <w:r w:rsidR="00942DD8" w:rsidRPr="002A3B16">
        <w:t>.</w:t>
      </w:r>
      <w:r w:rsidR="00942DD8" w:rsidRPr="002A3B16">
        <w:tab/>
        <w:t>Lamenta</w:t>
      </w:r>
      <w:proofErr w:type="gramEnd"/>
      <w:r w:rsidR="00942DD8" w:rsidRPr="002A3B16">
        <w:t xml:space="preserve"> que o Conselho não utilize plenamente o registo de transparência obrigatório, para além das suas atuais limitações, e rejeite qualquer recomendação de melhoria; reitera o seu apelo ao Conselho para que se recuse a reunir-se com representantes de grupos de interesses não registados;</w:t>
      </w:r>
    </w:p>
    <w:p w14:paraId="70B5AD3D" w14:textId="7DA9E6B3" w:rsidR="00942DD8" w:rsidRPr="002A3B16" w:rsidRDefault="00A90F92" w:rsidP="00942DD8">
      <w:pPr>
        <w:pStyle w:val="NormalHanging12a"/>
        <w:rPr>
          <w:szCs w:val="24"/>
        </w:rPr>
      </w:pPr>
      <w:r w:rsidRPr="002A3B16">
        <w:t>28</w:t>
      </w:r>
      <w:r w:rsidR="00942DD8" w:rsidRPr="002A3B16">
        <w:t>.</w:t>
      </w:r>
      <w:r w:rsidR="00942DD8" w:rsidRPr="002A3B16">
        <w:tab/>
        <w:t>Insta as Presidências rotativas do Conselho, em conformidade com as conclusões do seminário realizado pela Comissão do Controlo Orçamental do Parlamento em 27 de junho de 2023, a deixarem de recorrer ao patrocínio de empresas como forma de contribuição para cobrir as suas despesas; compreende que os recursos financeiros dos orçamentos nacionais variam significativamente de um Estado‑Membro para outro e que cada Estado‑Membro, independentemente da sua dimensão e do orçamento disponível, deve ter as mesmas oportunidades de organizar com êxito a Presidência do Conselho, mas considera que a aceitação de patrocínios de empresas causa danos na reputação porque pode criar conflitos de interesses; reitera o apelo ao Conselho para que preveja um orçamento para as Presidências do Conselho de modo a assegurar normas adequadas e uniformes de eficiência e eficácia nos trabalhos do Conselho em geral; manifesta, neste contexto, o seu desapontamento com as orientações não vinculativas publicadas pelo Conselho em matéria de patrocínios de empresas;</w:t>
      </w:r>
    </w:p>
    <w:p w14:paraId="04C3F6FF" w14:textId="7A045550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29</w:t>
      </w:r>
      <w:r w:rsidR="00942DD8" w:rsidRPr="002A3B16">
        <w:t>.</w:t>
      </w:r>
      <w:r w:rsidR="00942DD8" w:rsidRPr="002A3B16">
        <w:tab/>
        <w:t>Lamenta</w:t>
      </w:r>
      <w:proofErr w:type="gramEnd"/>
      <w:r w:rsidR="00942DD8" w:rsidRPr="002A3B16">
        <w:t xml:space="preserve"> que, a despeito de vários pedidos do Parlamento, o código de conduta do Presidente do Conselho Europeu não tenha sido alinhado pelos códigos do Parlamento e da Comissão, em particular em termos de atividades que devem ser aprovadas após a saída do cargo;</w:t>
      </w:r>
    </w:p>
    <w:p w14:paraId="6CE75599" w14:textId="1349DAAC" w:rsidR="00942DD8" w:rsidRPr="002A3B16" w:rsidRDefault="00A90F92" w:rsidP="00942DD8">
      <w:pPr>
        <w:pStyle w:val="NormalHanging12a"/>
        <w:rPr>
          <w:szCs w:val="24"/>
        </w:rPr>
      </w:pPr>
      <w:r w:rsidRPr="002A3B16">
        <w:t>30</w:t>
      </w:r>
      <w:r w:rsidR="00942DD8" w:rsidRPr="002A3B16">
        <w:t>.</w:t>
      </w:r>
      <w:r w:rsidR="00942DD8" w:rsidRPr="002A3B16">
        <w:tab/>
        <w:t>Reitera que a Decisão (UE) 2023/2061 do Conselho, de 22 de setembro de 2023, que determina a composição do Parlamento Europeu</w:t>
      </w:r>
      <w:r w:rsidR="00942DD8" w:rsidRPr="002A3B16">
        <w:rPr>
          <w:rStyle w:val="FootnoteReference"/>
          <w:szCs w:val="24"/>
        </w:rPr>
        <w:footnoteReference w:id="9"/>
      </w:r>
      <w:r w:rsidR="00942DD8" w:rsidRPr="002A3B16">
        <w:t xml:space="preserve"> não prejudica as prerrogativas do Parlamento Europeu e do Conselho no processo orçamental anual e que o considerando 5 dessa decisão diz respeito a matérias que não se enquadram no âmbito </w:t>
      </w:r>
      <w:r w:rsidR="00942DD8" w:rsidRPr="002A3B16">
        <w:lastRenderedPageBreak/>
        <w:t>das competências do Conselho Europeu nos termos do artigo 15.º, n.º 1, do TUE e a base jurídica para a definição da composição do Parlamento Europeu, em conformidade com o artigo 14.º, n.º 2, do TUE; insiste em que cabe exclusivamente ao Parlamento e ao Conselho decidir sobre o conteúdo do orçamento da União, em conformidade com o procedimento previsto no artigo 314.º do TFUE.</w:t>
      </w:r>
    </w:p>
    <w:p w14:paraId="01CBBAEF" w14:textId="77777777" w:rsidR="00942DD8" w:rsidRPr="002A3B16" w:rsidRDefault="00942DD8" w:rsidP="00942DD8">
      <w:pPr>
        <w:pStyle w:val="NormalHanging12a"/>
        <w:rPr>
          <w:b/>
          <w:i/>
          <w:szCs w:val="24"/>
        </w:rPr>
      </w:pPr>
      <w:r w:rsidRPr="002A3B16">
        <w:rPr>
          <w:b/>
          <w:i/>
        </w:rPr>
        <w:t>Gestão orçamental e financeira</w:t>
      </w:r>
    </w:p>
    <w:p w14:paraId="7FCF091C" w14:textId="1356AEA9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31</w:t>
      </w:r>
      <w:r w:rsidR="00942DD8" w:rsidRPr="002A3B16">
        <w:t>.</w:t>
      </w:r>
      <w:r w:rsidR="00942DD8" w:rsidRPr="002A3B16">
        <w:tab/>
        <w:t>Constata</w:t>
      </w:r>
      <w:proofErr w:type="gramEnd"/>
      <w:r w:rsidR="00942DD8" w:rsidRPr="002A3B16">
        <w:t xml:space="preserve"> que o orçamento do Conselho foi de 611 473 556 EUR para 2022, o que representa um aumento de 2,9 % face a 2021, uma progressão bastante superior à registada entre 2020 e 2021 (0,6 %);</w:t>
      </w:r>
    </w:p>
    <w:p w14:paraId="449D7069" w14:textId="7F774961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32</w:t>
      </w:r>
      <w:r w:rsidR="00942DD8" w:rsidRPr="002A3B16">
        <w:t>.</w:t>
      </w:r>
      <w:r w:rsidR="00942DD8" w:rsidRPr="002A3B16">
        <w:tab/>
        <w:t>Lamenta</w:t>
      </w:r>
      <w:proofErr w:type="gramEnd"/>
      <w:r w:rsidR="00942DD8" w:rsidRPr="002A3B16">
        <w:t>, uma vez mais, que o orçamento do Conselho Europeu e do Conselho não tenha sido dividido em dois orçamentos claramente distintos, tal como recomendado pelo Parlamento nas suas anteriores resoluções de quitação, a fim de aumentar a transparência e a responsabilização, nomeadamente no que diz respeito ao Conselho Europeu, dado ser atualmente impossível obter informações fiáveis a respeito das despesas desta instituição;</w:t>
      </w:r>
    </w:p>
    <w:p w14:paraId="66EE32A6" w14:textId="1E471317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33</w:t>
      </w:r>
      <w:r w:rsidR="00942DD8" w:rsidRPr="002A3B16">
        <w:t>.</w:t>
      </w:r>
      <w:r w:rsidR="00942DD8" w:rsidRPr="002A3B16">
        <w:tab/>
        <w:t>Regista</w:t>
      </w:r>
      <w:proofErr w:type="gramEnd"/>
      <w:r w:rsidR="00942DD8" w:rsidRPr="002A3B16">
        <w:t xml:space="preserve"> com preocupação que o Secretariado-Geral do Conselho publica um relatório sobre as contas anuais e uma série de relatórios anuais de atividades provenientes de diferentes partes do Secretariado-Geral, mas que é difícil obter uma visão geral concisa e de fácil acesso das suas atividades, uma vez que não existe um relatório único que resuma e apresente uma visão geral coerente das atividades desta instituição;</w:t>
      </w:r>
    </w:p>
    <w:p w14:paraId="5B1A0795" w14:textId="27B40EC8" w:rsidR="00942DD8" w:rsidRPr="002A3B16" w:rsidRDefault="00A90F92" w:rsidP="00942DD8">
      <w:pPr>
        <w:pStyle w:val="NormalHanging12a"/>
        <w:rPr>
          <w:szCs w:val="24"/>
        </w:rPr>
      </w:pPr>
      <w:r w:rsidRPr="002A3B16">
        <w:t>34</w:t>
      </w:r>
      <w:r w:rsidR="00942DD8" w:rsidRPr="002A3B16">
        <w:t>.</w:t>
      </w:r>
      <w:r w:rsidR="00942DD8" w:rsidRPr="002A3B16">
        <w:tab/>
        <w:t>Regista com satisfação que o contabilista do Conselho está em condições de certificar que as contas anuais do Conselho relativas ao exercício de 2022 foram elaboradas em conformidade com o título XIII do Regulamento Financeiro e com as regras contabilísticas adotadas pelo contabilista da Comissão, tal como exigido a todas as instituições, órgãos e organismos da União, e que o contabilista obteve garantias razoáveis de que as contas de 2022 refletem fielmente, em todos os aspetos materialmente relevantes, a situação financeira, os resultados das operações e o fluxo de tesouraria do Conselho;</w:t>
      </w:r>
    </w:p>
    <w:p w14:paraId="10A1D3F2" w14:textId="41A7D5B0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35</w:t>
      </w:r>
      <w:r w:rsidR="00942DD8" w:rsidRPr="002A3B16">
        <w:t>.</w:t>
      </w:r>
      <w:r w:rsidR="00942DD8" w:rsidRPr="002A3B16">
        <w:tab/>
        <w:t>Observa</w:t>
      </w:r>
      <w:proofErr w:type="gramEnd"/>
      <w:r w:rsidR="00942DD8" w:rsidRPr="002A3B16">
        <w:t xml:space="preserve"> que o Conselho efetuou 64 transferências orçamentais em 2022, todas com base no artigo 29.º do Regulamento Financeiro, o que corresponde a um aumento considerável em relação às 43 transferências de 2021; assinala ainda que seis das transferências implicaram informar a autoridade orçamental e que a principal razão para essas transferências foi o aumento dos custos de água, gás, eletricidade e aquecimento e os aumentos salariais;</w:t>
      </w:r>
    </w:p>
    <w:p w14:paraId="2B4CA536" w14:textId="5EBDA245" w:rsidR="00942DD8" w:rsidRPr="002A3B16" w:rsidRDefault="00A90F92" w:rsidP="00942DD8">
      <w:pPr>
        <w:pStyle w:val="NormalHanging12a"/>
        <w:rPr>
          <w:szCs w:val="24"/>
        </w:rPr>
      </w:pPr>
      <w:r w:rsidRPr="002A3B16">
        <w:t>36</w:t>
      </w:r>
      <w:r w:rsidR="00942DD8" w:rsidRPr="002A3B16">
        <w:t>.</w:t>
      </w:r>
      <w:r w:rsidR="00942DD8" w:rsidRPr="002A3B16">
        <w:tab/>
        <w:t>Observa que as transferências implicaram igualmente uma redução de 300 000 EUR nas despesas de deslocação em serviço do Secretariado-Geral do Conselho, ou seja, uma redução de 9 %, e um aumento similar de 300 000 EUR nas despesas de deslocações em serviço para o pessoal ligado ao Conselho Europeu, ou seja, 20 %; solicita ao Conselho que assegure a total transparência no que respeita às deslocações do Presidente do Conselho Europeu, incluindo os meios de transporte, a justificação dos meios escolhidos e o pessoal acompanhante;</w:t>
      </w:r>
    </w:p>
    <w:p w14:paraId="366AC83B" w14:textId="2C070909" w:rsidR="00942DD8" w:rsidRPr="002A3B16" w:rsidRDefault="00A90F92" w:rsidP="00942DD8">
      <w:pPr>
        <w:pStyle w:val="NormalHanging12a"/>
        <w:rPr>
          <w:szCs w:val="24"/>
        </w:rPr>
      </w:pPr>
      <w:r w:rsidRPr="002A3B16">
        <w:t>37</w:t>
      </w:r>
      <w:r w:rsidR="00942DD8" w:rsidRPr="002A3B16">
        <w:t>.</w:t>
      </w:r>
      <w:r w:rsidR="00942DD8" w:rsidRPr="002A3B16">
        <w:tab/>
        <w:t xml:space="preserve">Critica o aumento significativo do orçamento consagrado às deslocações do Presidente do Conselho Europeu ao longo de vários anos e manifesta preocupação pelo facto de, </w:t>
      </w:r>
      <w:r w:rsidR="00942DD8" w:rsidRPr="002A3B16">
        <w:lastRenderedPageBreak/>
        <w:t>segundo artigos vindos a lume na imprensa, o Presidente do Conselho Europeu apenas ter utilizado aviões comerciais em 18 das 112 missões realizadas entre o início do seu mandato, em 2019, e dezembro de 2022; salienta que os aviões comerciais devem ser a opção habitual também para o Presidente do Conselho Europeu, sempre que essa alternativa esteja disponível e em conformidade com a ordem do dia e a localização das reuniões em causa, e sublinha que os dirigentes das instituições da União devem servir de exemplos para o público, nomeadamente no que diz respeito à execução de políticas de sustentabilidade climática;</w:t>
      </w:r>
    </w:p>
    <w:p w14:paraId="39906171" w14:textId="77777777" w:rsidR="00942DD8" w:rsidRPr="002A3B16" w:rsidRDefault="00942DD8" w:rsidP="00942DD8">
      <w:pPr>
        <w:pStyle w:val="NormalHanging12a"/>
        <w:rPr>
          <w:b/>
          <w:i/>
          <w:szCs w:val="24"/>
        </w:rPr>
      </w:pPr>
      <w:r w:rsidRPr="002A3B16">
        <w:rPr>
          <w:b/>
          <w:i/>
        </w:rPr>
        <w:t>Gestão interna, desempenho e controlo interno</w:t>
      </w:r>
    </w:p>
    <w:p w14:paraId="72F6F601" w14:textId="24F25B30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38</w:t>
      </w:r>
      <w:r w:rsidR="00942DD8" w:rsidRPr="002A3B16">
        <w:t>.</w:t>
      </w:r>
      <w:r w:rsidR="00942DD8" w:rsidRPr="002A3B16">
        <w:tab/>
        <w:t>Observa</w:t>
      </w:r>
      <w:proofErr w:type="gramEnd"/>
      <w:r w:rsidR="00942DD8" w:rsidRPr="002A3B16">
        <w:t xml:space="preserve"> que, em 2022, as medidas excecionais relacionadas com a pandemia de COVID-19 foram gradualmente suprimidas e que as reuniões voltaram à normalidade; verifica, a este respeito, que o número de reuniões por videoconferência diminuiu a favor das reuniões presenciais entre 2021, durante o qual 35 % das reuniões foram por videoconferência e 65 % foram reuniões presenciais, e 2022, em que 15 % das reuniões foram por videoconferência e 85 % foram reuniões presenciais;</w:t>
      </w:r>
    </w:p>
    <w:p w14:paraId="074868EC" w14:textId="00A10DC5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39</w:t>
      </w:r>
      <w:r w:rsidR="00942DD8" w:rsidRPr="002A3B16">
        <w:t>.</w:t>
      </w:r>
      <w:r w:rsidR="00942DD8" w:rsidRPr="002A3B16">
        <w:tab/>
        <w:t>Constata</w:t>
      </w:r>
      <w:proofErr w:type="gramEnd"/>
      <w:r w:rsidR="00942DD8" w:rsidRPr="002A3B16">
        <w:t xml:space="preserve"> que o número total de reuniões oficiais em 2022 foi de 4415, o que representa um aumento de 2,9 % em relação a 4291 em 2021 e inclui um aumento significativo das reuniões presenciais de mais de 150 %;</w:t>
      </w:r>
    </w:p>
    <w:p w14:paraId="7FEDD037" w14:textId="3D99DD10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40</w:t>
      </w:r>
      <w:r w:rsidR="00942DD8" w:rsidRPr="002A3B16">
        <w:t>.</w:t>
      </w:r>
      <w:r w:rsidR="00942DD8" w:rsidRPr="002A3B16">
        <w:tab/>
        <w:t>Faz</w:t>
      </w:r>
      <w:proofErr w:type="gramEnd"/>
      <w:r w:rsidR="00942DD8" w:rsidRPr="002A3B16">
        <w:t xml:space="preserve"> notar que, em 2022, foram lançados 44 novos procedimentos de adjudicação de contratos públicos no Secretariado-Geral do Conselho e assinados 42 contratos num montante total de 123 863 392 EUR, o que representa uma redução significativa em relação a 2021, ano em que foram lançados 62 novos processos de adjudicação de contratos públicos e assinados 102 contratos no montante de 416 013 813 EUR;</w:t>
      </w:r>
    </w:p>
    <w:p w14:paraId="6159CDCE" w14:textId="52C285E1" w:rsidR="00942DD8" w:rsidRPr="002A3B16" w:rsidRDefault="00A90F92" w:rsidP="00942DD8">
      <w:pPr>
        <w:pStyle w:val="NormalHanging12a"/>
        <w:rPr>
          <w:szCs w:val="24"/>
        </w:rPr>
      </w:pPr>
      <w:r w:rsidRPr="002A3B16">
        <w:t>41</w:t>
      </w:r>
      <w:r w:rsidR="00942DD8" w:rsidRPr="002A3B16">
        <w:t>.</w:t>
      </w:r>
      <w:r w:rsidR="00942DD8" w:rsidRPr="002A3B16">
        <w:tab/>
        <w:t>Acolhe com agrado o facto de o Secretariado‑Geral do Conselho ter apresentado um resumo do número e do tipo das auditorias internas realizadas no Secretariado‑Geral em 2022 e uma síntese das recomendações formuladas e do seguimento que lhes foi dado, em conformidade com o artigo 118.º, n.º 8, do Regulamento Financeiro; observa que o auditor interno estabeleceu um programa de trabalho de três anos para o período 2022-2024, que se encontra dividido em programas de trabalho anuais; faz notar que, em 2022, foram realizadas sete auditorias internas; observa com preocupação que, no final de 2022, apenas 72 % das recomendações do programa de trabalho para 2019‑2021 tinham sido executadas e que 27 % estão ainda em aberto;</w:t>
      </w:r>
    </w:p>
    <w:p w14:paraId="4D39538B" w14:textId="0B96F098" w:rsidR="00942DD8" w:rsidRPr="002A3B16" w:rsidRDefault="00A90F92" w:rsidP="00942DD8">
      <w:pPr>
        <w:pStyle w:val="NormalHanging12a"/>
        <w:rPr>
          <w:szCs w:val="24"/>
        </w:rPr>
      </w:pPr>
      <w:r w:rsidRPr="002A3B16">
        <w:t>42</w:t>
      </w:r>
      <w:r w:rsidR="00942DD8" w:rsidRPr="002A3B16">
        <w:t>.</w:t>
      </w:r>
      <w:r w:rsidR="00942DD8" w:rsidRPr="002A3B16">
        <w:tab/>
        <w:t>Congratula‑se com o facto de as auditorias internas terem sido realizadas numa vasta gama de domínios; acolhe ainda com agrado o facto de todas as recomendações relativas a seis das sete auditorias terem sido aceites; lamenta que os resultados da auditoria sobre a gestão de criptoativos não tenham sido comunicados porque o relatório de auditoria continha informações classificadas; salienta que o Parlamento dispõe de sistemas para tratar informações classificadas e que os resultados da auditoria sobre a gestão de criptoativos poderiam ter sido comunicados recorrendo a esses sistemas;</w:t>
      </w:r>
    </w:p>
    <w:p w14:paraId="2B46D111" w14:textId="77777777" w:rsidR="00942DD8" w:rsidRPr="002A3B16" w:rsidRDefault="00942DD8" w:rsidP="00942DD8">
      <w:pPr>
        <w:pStyle w:val="NormalHanging12a"/>
        <w:rPr>
          <w:b/>
          <w:i/>
          <w:szCs w:val="24"/>
        </w:rPr>
      </w:pPr>
      <w:r w:rsidRPr="002A3B16">
        <w:rPr>
          <w:b/>
          <w:i/>
        </w:rPr>
        <w:t>Recursos humanos, igualdade e bem-estar do pessoal</w:t>
      </w:r>
    </w:p>
    <w:p w14:paraId="56CF3D49" w14:textId="3898A141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43</w:t>
      </w:r>
      <w:r w:rsidR="00942DD8" w:rsidRPr="002A3B16">
        <w:t>.</w:t>
      </w:r>
      <w:r w:rsidR="00942DD8" w:rsidRPr="002A3B16">
        <w:tab/>
        <w:t>Observa</w:t>
      </w:r>
      <w:proofErr w:type="gramEnd"/>
      <w:r w:rsidR="00942DD8" w:rsidRPr="002A3B16">
        <w:t xml:space="preserve"> que, em virtude da falta de cooperação do Conselho com o Parlamento, as observações nesta secção assentam principalmente em informações agregadas publicadas no sítio Web do Conselho, que fornece poucos detalhes;</w:t>
      </w:r>
    </w:p>
    <w:p w14:paraId="676EF7A1" w14:textId="526F10A1" w:rsidR="00942DD8" w:rsidRPr="002A3B16" w:rsidRDefault="00A90F92" w:rsidP="00942DD8">
      <w:pPr>
        <w:pStyle w:val="NormalHanging12a"/>
        <w:rPr>
          <w:szCs w:val="24"/>
        </w:rPr>
      </w:pPr>
      <w:r w:rsidRPr="002A3B16">
        <w:lastRenderedPageBreak/>
        <w:t>44</w:t>
      </w:r>
      <w:r w:rsidR="00942DD8" w:rsidRPr="002A3B16">
        <w:t>.</w:t>
      </w:r>
      <w:r w:rsidR="00942DD8" w:rsidRPr="002A3B16">
        <w:tab/>
        <w:t>Assinala que foram atribuídos ao Conselho, no seu orçamento para 2022, 3029 lugares, a exemplo do que sucedeu em 2021, mas que a repartição entre categorias sofreu alterações, já que o número de lugares de administrador (AD) aumentou de 1493 para 1519, o número de lugares de assistente (AST) diminuiu de 1320 para 1284 e o número de lugares de secretário (SC) passou de 180 para 190; solicita ao Conselho que forneça mais detalhes sobre a prevenção do esgotamento para o seu pessoal, tendo especialmente em conta a redução do número de assistentes;</w:t>
      </w:r>
    </w:p>
    <w:p w14:paraId="271EBAB9" w14:textId="09DDDE69" w:rsidR="00942DD8" w:rsidRPr="002A3B16" w:rsidRDefault="00A90F92" w:rsidP="00942DD8">
      <w:pPr>
        <w:pStyle w:val="NormalHanging12a"/>
        <w:rPr>
          <w:szCs w:val="24"/>
        </w:rPr>
      </w:pPr>
      <w:r w:rsidRPr="002A3B16">
        <w:t>45</w:t>
      </w:r>
      <w:r w:rsidR="00942DD8" w:rsidRPr="002A3B16">
        <w:t>.</w:t>
      </w:r>
      <w:r w:rsidR="00942DD8" w:rsidRPr="002A3B16">
        <w:tab/>
        <w:t>Observa que, de acordo com o seu relatório de atividade financeira relativo a 2022, o Secretariado‑Geral do Conselho dispunha de 2924 lugares ocupados em 31 de dezembro de 2022; assinala, além disso, que o sítio Web do Conselho indica que, à data de 1 de janeiro de 2023, o Secretariado do Conselho dispunha de 3108 efetivos (funcionários, agentes temporários, agentes contratuais e peritos nacionais destacados); apela ao Conselho para que evite publicar informações divergentes nas suas fontes abertas;</w:t>
      </w:r>
    </w:p>
    <w:p w14:paraId="60EE1FE0" w14:textId="1FAA2788" w:rsidR="00942DD8" w:rsidRPr="002A3B16" w:rsidRDefault="00A90F92" w:rsidP="00942DD8">
      <w:pPr>
        <w:pStyle w:val="NormalHanging12a"/>
        <w:rPr>
          <w:szCs w:val="24"/>
        </w:rPr>
      </w:pPr>
      <w:r w:rsidRPr="002A3B16">
        <w:t>46</w:t>
      </w:r>
      <w:r w:rsidR="00942DD8" w:rsidRPr="002A3B16">
        <w:t>.</w:t>
      </w:r>
      <w:r w:rsidR="00942DD8" w:rsidRPr="002A3B16">
        <w:tab/>
        <w:t>Observa que, dos 3108 efetivos, 1783 (57 %) eram mulheres e 1325 (43 %) homens; lamenta que, na categoria «quadros superiores», apenas 18 em 51 agentes, ou seja, 35 %, fossem mulheres; deplora, além disso, que, em comparação com 38 % em 2021, esta situação represente uma diminuição da percentagem de mulheres nos quadros superiores;</w:t>
      </w:r>
    </w:p>
    <w:p w14:paraId="2A49B7F5" w14:textId="5DBB4786" w:rsidR="00942DD8" w:rsidRPr="002A3B16" w:rsidRDefault="00A90F92" w:rsidP="00942DD8">
      <w:pPr>
        <w:pStyle w:val="NormalHanging12a"/>
        <w:rPr>
          <w:szCs w:val="24"/>
        </w:rPr>
      </w:pPr>
      <w:r w:rsidRPr="002A3B16">
        <w:t>47</w:t>
      </w:r>
      <w:r w:rsidR="00942DD8" w:rsidRPr="002A3B16">
        <w:t>.</w:t>
      </w:r>
      <w:r w:rsidR="00942DD8" w:rsidRPr="002A3B16">
        <w:tab/>
        <w:t>Observa que, na categoria «quadros intermédios», 37 em 83 agentes, ou seja, 45 %, eram mulheres, o que representa um pequeno aumento em relação aos 44 % do ano passado; constata, por último, que 814 em 1462 AD, ou seja, 56 %, eram mulheres, o que representa também um ligeiro aumento em relação aos 55 % de 2021, e observa que 882 AST e SC em 1411, ou seja, 63 %, eram mulheres, o que que corresponde à mesma percentagem de 2021;</w:t>
      </w:r>
    </w:p>
    <w:p w14:paraId="6922F4D6" w14:textId="74B3C594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48</w:t>
      </w:r>
      <w:r w:rsidR="00942DD8" w:rsidRPr="002A3B16">
        <w:t>.</w:t>
      </w:r>
      <w:r w:rsidR="00942DD8" w:rsidRPr="002A3B16">
        <w:tab/>
        <w:t>Lamenta</w:t>
      </w:r>
      <w:proofErr w:type="gramEnd"/>
      <w:r w:rsidR="00942DD8" w:rsidRPr="002A3B16">
        <w:t xml:space="preserve"> o desequilíbrio de género nos quadros superiores do Secretariado-Geral do Conselho; insta o Conselho a tomar medidas concretas e imediatas para lograr o equilíbrio entre géneros a todos os níveis hierárquicos;</w:t>
      </w:r>
    </w:p>
    <w:p w14:paraId="7D17B6D7" w14:textId="2FAFC02B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49</w:t>
      </w:r>
      <w:r w:rsidR="00942DD8" w:rsidRPr="002A3B16">
        <w:t>.</w:t>
      </w:r>
      <w:r w:rsidR="00942DD8" w:rsidRPr="002A3B16">
        <w:tab/>
        <w:t>Observa</w:t>
      </w:r>
      <w:proofErr w:type="gramEnd"/>
      <w:r w:rsidR="00942DD8" w:rsidRPr="002A3B16">
        <w:t xml:space="preserve"> que os 27 Estados-Membros estão representados no pessoal, mas que existem graves desequilíbrios geográficos, com 527 membros do pessoal belgas, ou seja, 17 %, ao passo que apenas 0,2 % são cipriotas e 0,3 % luxemburgueses; sublinha a importância do justo equilíbrio geográfico dos membros do pessoal a todos os níveis, especialmente a nível dos quadros intermédios e superiores, cumprindo simultaneamente os requisitos do estatuto em matéria de competências e méritos dos candidatos;</w:t>
      </w:r>
    </w:p>
    <w:p w14:paraId="11CE550A" w14:textId="046BFFC6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50</w:t>
      </w:r>
      <w:r w:rsidR="00942DD8" w:rsidRPr="002A3B16">
        <w:t>.</w:t>
      </w:r>
      <w:r w:rsidR="00942DD8" w:rsidRPr="002A3B16">
        <w:tab/>
        <w:t>Deplora</w:t>
      </w:r>
      <w:proofErr w:type="gramEnd"/>
      <w:r w:rsidR="00942DD8" w:rsidRPr="002A3B16">
        <w:t xml:space="preserve"> a falta de informação sobre a execução do plano de ação do Conselho em matéria de igualdade de género e sobre as medidas tomadas para garantir às pessoas com deficiência empregadas pelo Conselho igualdade de oportunidades; solicita ao Conselho que preste informações ao Parlamento sobre o equilíbrio de género, a distribuição geográfica e as deficiências dos membros do seu pessoal e sobre as correspondentes políticas internas;</w:t>
      </w:r>
    </w:p>
    <w:p w14:paraId="33A108B8" w14:textId="3E4013B7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51</w:t>
      </w:r>
      <w:r w:rsidR="00942DD8" w:rsidRPr="002A3B16">
        <w:t>.</w:t>
      </w:r>
      <w:r w:rsidR="00942DD8" w:rsidRPr="002A3B16">
        <w:tab/>
        <w:t>Lamenta</w:t>
      </w:r>
      <w:proofErr w:type="gramEnd"/>
      <w:r w:rsidR="00942DD8" w:rsidRPr="002A3B16">
        <w:t xml:space="preserve"> que, uma vez que o Conselho não respondeu ao questionário, o Parlamento não disponha de informações sobre o número de estagiários no Conselho em 2022 e sobre a questão de saber se foram ou não remunerados durante o seu estágio; recorda o pedido do Parlamento a todas as instituições no sentido de que todos os estagiários </w:t>
      </w:r>
      <w:r w:rsidR="00942DD8" w:rsidRPr="002A3B16">
        <w:lastRenderedPageBreak/>
        <w:t>recebam um salário, a menos que já sejam remunerados por outras fontes;</w:t>
      </w:r>
    </w:p>
    <w:p w14:paraId="43D85B80" w14:textId="77777777" w:rsidR="00942DD8" w:rsidRPr="002A3B16" w:rsidRDefault="00942DD8" w:rsidP="00942DD8">
      <w:pPr>
        <w:pStyle w:val="NormalHanging12a"/>
        <w:rPr>
          <w:b/>
          <w:i/>
          <w:szCs w:val="24"/>
        </w:rPr>
      </w:pPr>
      <w:r w:rsidRPr="002A3B16">
        <w:rPr>
          <w:b/>
          <w:i/>
        </w:rPr>
        <w:t>Quadro deontológico e transparência</w:t>
      </w:r>
    </w:p>
    <w:p w14:paraId="5E3B237A" w14:textId="3B412394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52</w:t>
      </w:r>
      <w:r w:rsidR="00942DD8" w:rsidRPr="002A3B16">
        <w:t>.</w:t>
      </w:r>
      <w:r w:rsidR="00942DD8" w:rsidRPr="002A3B16">
        <w:tab/>
        <w:t>Reitera</w:t>
      </w:r>
      <w:proofErr w:type="gramEnd"/>
      <w:r w:rsidR="00942DD8" w:rsidRPr="002A3B16">
        <w:t xml:space="preserve"> que a conduta ética contribui para uma boa gestão financeira e aumenta a confiança do público, e que, tal como salientado pelo Tribunal no seu Relatório Especial 13/2019, há margem para melhorias nos quadros éticos das instituições da União, o que constitui um objetivo crucial, já que qualquer comportamento pouco ético por parte do pessoal e dos membros desperta um enorme interesse do público e reduz a confiança na União;</w:t>
      </w:r>
    </w:p>
    <w:p w14:paraId="1DCCE154" w14:textId="4CFEC546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53</w:t>
      </w:r>
      <w:r w:rsidR="00942DD8" w:rsidRPr="002A3B16">
        <w:t>.</w:t>
      </w:r>
      <w:r w:rsidR="00942DD8" w:rsidRPr="002A3B16">
        <w:tab/>
        <w:t>Lamenta</w:t>
      </w:r>
      <w:proofErr w:type="gramEnd"/>
      <w:r w:rsidR="00942DD8" w:rsidRPr="002A3B16">
        <w:t xml:space="preserve"> que o Parlamento não tenha qualquer possibilidade de fazer perguntas sobre o quadro deontológico em vigor no Conselho, uma vez que este não responderá às perguntas do Parlamento e que, por conseguinte, não se disponha de informações sobre o código de conduta aplicável a todos os membros do pessoal do Conselho;</w:t>
      </w:r>
    </w:p>
    <w:p w14:paraId="57ED1D78" w14:textId="64E2E678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54</w:t>
      </w:r>
      <w:r w:rsidR="00942DD8" w:rsidRPr="002A3B16">
        <w:t>.</w:t>
      </w:r>
      <w:r w:rsidR="00942DD8" w:rsidRPr="002A3B16">
        <w:tab/>
        <w:t>Recorda</w:t>
      </w:r>
      <w:proofErr w:type="gramEnd"/>
      <w:r w:rsidR="00942DD8" w:rsidRPr="002A3B16">
        <w:t xml:space="preserve"> a recomendação formulada pelo Tribunal no Relatório Especial 13/2019 no que respeita à melhoria do quadro deontológico do Conselho; manifesta preocupação face à inexistência de um quadro deontológico comum da União aplicável ao trabalho dos representantes dos Estados-Membros no Conselho identificados pelo Tribunal;</w:t>
      </w:r>
    </w:p>
    <w:p w14:paraId="3E906926" w14:textId="6FB073D7" w:rsidR="00942DD8" w:rsidRPr="002A3B16" w:rsidRDefault="00A90F92" w:rsidP="00942DD8">
      <w:pPr>
        <w:pStyle w:val="NormalHanging12a"/>
        <w:rPr>
          <w:szCs w:val="24"/>
        </w:rPr>
      </w:pPr>
      <w:r w:rsidRPr="002A3B16">
        <w:t>55</w:t>
      </w:r>
      <w:r w:rsidR="00942DD8" w:rsidRPr="002A3B16">
        <w:t>.</w:t>
      </w:r>
      <w:r w:rsidR="00942DD8" w:rsidRPr="002A3B16">
        <w:tab/>
        <w:t>Observa que o Secretariado-Geral do Conselho publica um relatório anual com informações relativas às atividades profissionais dos antigos altos funcionários do Secretariado-Geral do Conselho após a cessação de funções (artigo 16.º, terceiro e quarto parágrafos, do Estatuto dos Funcionários); assinala que, de acordo com o relatório relativo a 2022, quatro altos funcionários declararam a sua intenção de exercer atividades profissionais em 2022 e que dois antigos altos funcionários apresentaram declarações no final de 2021, que também foram examinadas em 2022; faz notar que nenhum dos pedidos se enquadrava no âmbito de aplicação do artigo 16.º;</w:t>
      </w:r>
    </w:p>
    <w:p w14:paraId="451EA781" w14:textId="5F58EEAC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56</w:t>
      </w:r>
      <w:r w:rsidR="00942DD8" w:rsidRPr="002A3B16">
        <w:t>.</w:t>
      </w:r>
      <w:r w:rsidR="00942DD8" w:rsidRPr="002A3B16">
        <w:tab/>
        <w:t>Regista</w:t>
      </w:r>
      <w:proofErr w:type="gramEnd"/>
      <w:r w:rsidR="00942DD8" w:rsidRPr="002A3B16">
        <w:t xml:space="preserve"> com satisfação que todos os diretores-gerais competentes do Conselho declararam, nos seus relatórios anuais de atividades, que não lhes foram comunicados casos de fraude ou irregularidades em 2022;</w:t>
      </w:r>
    </w:p>
    <w:p w14:paraId="440CCB64" w14:textId="77777777" w:rsidR="00942DD8" w:rsidRPr="002A3B16" w:rsidRDefault="00942DD8" w:rsidP="00942DD8">
      <w:pPr>
        <w:spacing w:after="240"/>
        <w:rPr>
          <w:b/>
          <w:i/>
          <w:szCs w:val="24"/>
        </w:rPr>
      </w:pPr>
      <w:r w:rsidRPr="002A3B16">
        <w:rPr>
          <w:b/>
          <w:i/>
        </w:rPr>
        <w:t>Digitalização, cibersegurança e proteção de dados</w:t>
      </w:r>
    </w:p>
    <w:p w14:paraId="39E398C4" w14:textId="71C92827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57</w:t>
      </w:r>
      <w:r w:rsidR="00942DD8" w:rsidRPr="002A3B16">
        <w:t>.</w:t>
      </w:r>
      <w:r w:rsidR="00942DD8" w:rsidRPr="002A3B16">
        <w:tab/>
        <w:t>Regista</w:t>
      </w:r>
      <w:proofErr w:type="gramEnd"/>
      <w:r w:rsidR="00942DD8" w:rsidRPr="002A3B16">
        <w:t xml:space="preserve"> que, inicialmente, o orçamento do Conselho para os sistemas informáticos e as telecomunicações em 2022 foi de 48 115 000 EUR, o que representa um aumento de 2,1 % em relação a 2021; observa, no entanto, que um montante suplementar de 6 805 000 EUR foi transferido para o orçamento em 2022, mas que os pagamentos efetivos foram consideravelmente inferiores, situando-se em 27 096 067 EUR, o que representa apenas cerca de 50 % do total das dotações finais;</w:t>
      </w:r>
    </w:p>
    <w:p w14:paraId="6B685E15" w14:textId="4D16610B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58</w:t>
      </w:r>
      <w:r w:rsidR="00942DD8" w:rsidRPr="002A3B16">
        <w:t>.</w:t>
      </w:r>
      <w:r w:rsidR="00942DD8" w:rsidRPr="002A3B16">
        <w:tab/>
        <w:t>Congratula-se</w:t>
      </w:r>
      <w:proofErr w:type="gramEnd"/>
      <w:r w:rsidR="00942DD8" w:rsidRPr="002A3B16">
        <w:t xml:space="preserve"> com o facto de o tratamento eletrónico das faturas ter atingido 97 % em 2022, o que representa um aumento significativo em relação aos 89 % registados em 2021;</w:t>
      </w:r>
    </w:p>
    <w:p w14:paraId="1DEE4564" w14:textId="6E95CD04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59</w:t>
      </w:r>
      <w:r w:rsidR="00942DD8" w:rsidRPr="002A3B16">
        <w:t>.</w:t>
      </w:r>
      <w:r w:rsidR="00942DD8" w:rsidRPr="002A3B16">
        <w:tab/>
        <w:t>Reitera</w:t>
      </w:r>
      <w:proofErr w:type="gramEnd"/>
      <w:r w:rsidR="00942DD8" w:rsidRPr="002A3B16">
        <w:t xml:space="preserve"> o seu apelo ao Conselho para que se debruce sobre formas de tirar máximo partido das tecnologias de fonte aberta e comunique os progressos na utilização desses sistemas;</w:t>
      </w:r>
    </w:p>
    <w:p w14:paraId="58E8C73F" w14:textId="77777777" w:rsidR="00942DD8" w:rsidRPr="002A3B16" w:rsidRDefault="00942DD8" w:rsidP="00942DD8">
      <w:pPr>
        <w:spacing w:after="240"/>
        <w:rPr>
          <w:b/>
          <w:bCs/>
          <w:i/>
          <w:iCs/>
          <w:szCs w:val="24"/>
        </w:rPr>
      </w:pPr>
      <w:r w:rsidRPr="002A3B16">
        <w:rPr>
          <w:b/>
          <w:i/>
        </w:rPr>
        <w:t>Edifícios</w:t>
      </w:r>
    </w:p>
    <w:p w14:paraId="7530A562" w14:textId="03E7137C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lastRenderedPageBreak/>
        <w:t>60</w:t>
      </w:r>
      <w:r w:rsidR="00942DD8" w:rsidRPr="002A3B16">
        <w:t>.</w:t>
      </w:r>
      <w:r w:rsidR="00942DD8" w:rsidRPr="002A3B16">
        <w:tab/>
        <w:t>Observa</w:t>
      </w:r>
      <w:proofErr w:type="gramEnd"/>
      <w:r w:rsidR="00942DD8" w:rsidRPr="002A3B16">
        <w:t xml:space="preserve"> que os pagamentos totais relativos aos edifícios ascenderam a 45 435 994 EUR em 2022, o que representa um aumento significativo em relação aos 35 709 119 EUR de 2021, ou seja, um aumento de 27,2 %; constata que este aumento se fica sobretudo a dever aos pagamentos relativos à água, ao gás, à eletricidade e ao aquecimento, que aumentaram de 2 565 008 EUR em 2021 para 11 233 088 EUR em 2022, o que equivale a um aumento de 338 %;</w:t>
      </w:r>
    </w:p>
    <w:p w14:paraId="66459736" w14:textId="52E3276E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61</w:t>
      </w:r>
      <w:r w:rsidR="00942DD8" w:rsidRPr="002A3B16">
        <w:t>.</w:t>
      </w:r>
      <w:r w:rsidR="00942DD8" w:rsidRPr="002A3B16">
        <w:tab/>
        <w:t>Congratula-se</w:t>
      </w:r>
      <w:proofErr w:type="gramEnd"/>
      <w:r w:rsidR="00942DD8" w:rsidRPr="002A3B16">
        <w:t xml:space="preserve"> com o facto de o Conselho ter conseguido reduzir o consumo de energia em 2022 em comparação com exercícios anteriores, também graças à política de redução da temperatura dos edifícios para 19 graus, adotada por todas as instituições da União; incentiva, no entanto, o Secretariado do Conselho a definir novas iniciativas para reduzir o consumo de energia;</w:t>
      </w:r>
    </w:p>
    <w:p w14:paraId="16C6E124" w14:textId="6F6C8751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62</w:t>
      </w:r>
      <w:r w:rsidR="00942DD8" w:rsidRPr="002A3B16">
        <w:t>.</w:t>
      </w:r>
      <w:r w:rsidR="00942DD8" w:rsidRPr="002A3B16">
        <w:tab/>
        <w:t>Lamenta</w:t>
      </w:r>
      <w:proofErr w:type="gramEnd"/>
      <w:r w:rsidR="00942DD8" w:rsidRPr="002A3B16">
        <w:t xml:space="preserve"> que, uma vez que o Conselho não respondeu ao questionário do Parlamento, este não disponha de informações sobre as iniciativas do Conselho em 2022 relativas à melhoria do acesso das pessoas com deficiência aos seus edifícios e a outras eventuais iniciativas para as pessoas com deficiência;</w:t>
      </w:r>
    </w:p>
    <w:p w14:paraId="66B7D27B" w14:textId="77777777" w:rsidR="00942DD8" w:rsidRPr="002A3B16" w:rsidRDefault="00942DD8" w:rsidP="00942DD8">
      <w:pPr>
        <w:spacing w:after="240"/>
        <w:rPr>
          <w:b/>
          <w:i/>
          <w:szCs w:val="24"/>
        </w:rPr>
      </w:pPr>
      <w:r w:rsidRPr="002A3B16">
        <w:rPr>
          <w:b/>
          <w:i/>
        </w:rPr>
        <w:t>Ambiente e sustentabilidade</w:t>
      </w:r>
    </w:p>
    <w:p w14:paraId="35129F90" w14:textId="31901EE5" w:rsidR="00942DD8" w:rsidRPr="002A3B16" w:rsidRDefault="00A90F92" w:rsidP="00942DD8">
      <w:pPr>
        <w:pStyle w:val="NormalHanging12a"/>
        <w:rPr>
          <w:szCs w:val="24"/>
        </w:rPr>
      </w:pPr>
      <w:r w:rsidRPr="002A3B16">
        <w:t>63</w:t>
      </w:r>
      <w:r w:rsidR="00942DD8" w:rsidRPr="002A3B16">
        <w:t>.</w:t>
      </w:r>
      <w:r w:rsidR="00942DD8" w:rsidRPr="002A3B16">
        <w:tab/>
        <w:t>Assinala que continua a ser difícil obter informações atualizadas e completas sobre as iniciativas do Conselho relativas ao ambiente e à sustentabilidade, bem como à evolução do consumo geral, incluindo a utilização de água, gás, eletricidade e papel; incentiva o Conselho a comunicar, de forma sistemática, os elementos ambientais e de sustentabilidade do seu trabalho no âmbito dos seus relatórios anuais; regista com satisfação algumas iniciativas dispersas mencionadas no relatório anual, como a compra de quatro veículos elétricos e o incentivo à integração de cláusulas relacionadas com o ambiente nos procedimentos de adjudicação de contratos;</w:t>
      </w:r>
    </w:p>
    <w:p w14:paraId="268019DA" w14:textId="00FE0366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64</w:t>
      </w:r>
      <w:r w:rsidR="00942DD8" w:rsidRPr="002A3B16">
        <w:t>.</w:t>
      </w:r>
      <w:r w:rsidR="00942DD8" w:rsidRPr="002A3B16">
        <w:tab/>
        <w:t>Convida</w:t>
      </w:r>
      <w:proofErr w:type="gramEnd"/>
      <w:r w:rsidR="00942DD8" w:rsidRPr="002A3B16">
        <w:t>, uma vez mais, o Conselho a pôr em marcha um sistema, caso ainda não o tenha feito, para incentivar o pessoal a utilizar os transportes públicos ou outros transportes com baixas emissões, como as bicicletas, para reduzir a pegada de carbono do Conselho;</w:t>
      </w:r>
    </w:p>
    <w:p w14:paraId="1B6C7F10" w14:textId="2BD5091E" w:rsidR="00942DD8" w:rsidRPr="002A3B16" w:rsidRDefault="00A90F92" w:rsidP="00942DD8">
      <w:pPr>
        <w:pStyle w:val="NormalHanging12a"/>
        <w:rPr>
          <w:szCs w:val="24"/>
        </w:rPr>
      </w:pPr>
      <w:r w:rsidRPr="002A3B16">
        <w:t>65</w:t>
      </w:r>
      <w:r w:rsidR="00942DD8" w:rsidRPr="002A3B16">
        <w:t>.</w:t>
      </w:r>
      <w:r w:rsidR="00942DD8" w:rsidRPr="002A3B16">
        <w:tab/>
        <w:t>Verifica que as contas anuais do Conselho mencionam que, no final de 2022, o Conselho possuía 773,4 certificados de «energia verde», contra 2589,2 no final de 2021, com base na energia produzida por painéis solares colocados no telhado dos edifícios do Conselho; assinala que os certificados estão avaliados em 65 EUR cada; solicita, mais uma vez, ao Conselho que comunique informações mais circunstanciadas sobre a venda destes certificados no mercado livre e sobre a utilização prevista das receitas geradas;</w:t>
      </w:r>
    </w:p>
    <w:p w14:paraId="2C534B80" w14:textId="77777777" w:rsidR="00942DD8" w:rsidRPr="002A3B16" w:rsidRDefault="00942DD8" w:rsidP="00942DD8">
      <w:pPr>
        <w:spacing w:after="240"/>
        <w:rPr>
          <w:b/>
          <w:i/>
          <w:szCs w:val="24"/>
        </w:rPr>
      </w:pPr>
      <w:r w:rsidRPr="002A3B16">
        <w:rPr>
          <w:b/>
          <w:i/>
        </w:rPr>
        <w:t>Cooperação interinstitucional</w:t>
      </w:r>
    </w:p>
    <w:p w14:paraId="12843A4E" w14:textId="26CB8C0F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66</w:t>
      </w:r>
      <w:r w:rsidR="00942DD8" w:rsidRPr="002A3B16">
        <w:t>.</w:t>
      </w:r>
      <w:r w:rsidR="00942DD8" w:rsidRPr="002A3B16">
        <w:tab/>
        <w:t>Salienta</w:t>
      </w:r>
      <w:proofErr w:type="gramEnd"/>
      <w:r w:rsidR="00942DD8" w:rsidRPr="002A3B16">
        <w:t xml:space="preserve"> a necessidade de rever o artigo 319.º do TFUE no âmbito de uma alteração ao referido Tratado, a fim de estipular explicitamente que o Parlamento, para além de dar quitação à Comissão, dá também quitação a outras instituições, órgãos e organismos da União quanto à execução das respetivas secções do orçamento ou dos seus orçamentos;</w:t>
      </w:r>
    </w:p>
    <w:p w14:paraId="75BD7CC7" w14:textId="77777777" w:rsidR="00942DD8" w:rsidRPr="002A3B16" w:rsidRDefault="00942DD8" w:rsidP="00942DD8">
      <w:pPr>
        <w:pStyle w:val="NormalHanging12a"/>
        <w:rPr>
          <w:b/>
          <w:i/>
          <w:szCs w:val="24"/>
        </w:rPr>
      </w:pPr>
      <w:r w:rsidRPr="002A3B16">
        <w:rPr>
          <w:b/>
          <w:i/>
        </w:rPr>
        <w:t>Comunicação</w:t>
      </w:r>
    </w:p>
    <w:p w14:paraId="0168D236" w14:textId="69C8D75A" w:rsidR="00942DD8" w:rsidRPr="002A3B16" w:rsidRDefault="00A90F92" w:rsidP="00942DD8">
      <w:pPr>
        <w:pStyle w:val="NormalHanging12a"/>
        <w:rPr>
          <w:szCs w:val="24"/>
        </w:rPr>
      </w:pPr>
      <w:proofErr w:type="gramStart"/>
      <w:r w:rsidRPr="002A3B16">
        <w:t>67</w:t>
      </w:r>
      <w:r w:rsidR="00942DD8" w:rsidRPr="002A3B16">
        <w:t>.</w:t>
      </w:r>
      <w:r w:rsidR="00942DD8" w:rsidRPr="002A3B16">
        <w:tab/>
        <w:t>Observa</w:t>
      </w:r>
      <w:proofErr w:type="gramEnd"/>
      <w:r w:rsidR="00942DD8" w:rsidRPr="002A3B16">
        <w:t xml:space="preserve"> que 2022 foi um ano recorde, com mais de 24,5 milhões de visitas ao sítio Web do Conselho, o que representa um aumento de 16 % em relação a 2020, e que o número </w:t>
      </w:r>
      <w:r w:rsidR="00942DD8" w:rsidRPr="002A3B16">
        <w:lastRenderedPageBreak/>
        <w:t>de seguidores no Facebook aumentou 8 %, ao passo que o número de seguidores no X (antigo Twitter), no Instagram e no LinkedIn aumentou 19 %, 17 % e 33 %, respetivamente.</w:t>
      </w:r>
    </w:p>
    <w:p w14:paraId="2D551518" w14:textId="58FA8D38" w:rsidR="00942DD8" w:rsidRPr="002A3B16" w:rsidRDefault="00A90F92" w:rsidP="00851330">
      <w:pPr>
        <w:pStyle w:val="NormalHanging12a"/>
      </w:pPr>
      <w:r w:rsidRPr="002A3B16">
        <w:t>68</w:t>
      </w:r>
      <w:r w:rsidR="00942DD8" w:rsidRPr="002A3B16">
        <w:t>.</w:t>
      </w:r>
      <w:r w:rsidR="00942DD8" w:rsidRPr="002A3B16">
        <w:tab/>
        <w:t>Incentiva o Conselho a dialogar com a Autoridade Europeia para a Proteção de Dados com vista a utilizar as duas plataformas das redes sociais de fonte aberta, nomeadamente a EU Voice e a EU Video, que foram lançadas como um projeto-piloto público, para promover a utilização de redes sociais gratuitas e de fonte aberta; encoraja o Conselho a utilizar alternativas descentralizadas de redes sociais, como a Mastodon, em vez das grandes plataformas em linha;</w:t>
      </w:r>
    </w:p>
    <w:p w14:paraId="34170B65" w14:textId="77777777" w:rsidR="00E365E1" w:rsidRPr="002A3B16" w:rsidRDefault="00E365E1" w:rsidP="00C84544">
      <w:bookmarkStart w:id="10" w:name="TextBodyEnd"/>
      <w:bookmarkEnd w:id="10"/>
    </w:p>
    <w:sectPr w:rsidR="00E365E1" w:rsidRPr="002A3B16" w:rsidSect="002270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88B1A" w14:textId="77777777" w:rsidR="00C84544" w:rsidRPr="00227050" w:rsidRDefault="00C84544">
      <w:r w:rsidRPr="00227050">
        <w:separator/>
      </w:r>
    </w:p>
  </w:endnote>
  <w:endnote w:type="continuationSeparator" w:id="0">
    <w:p w14:paraId="703821DA" w14:textId="77777777" w:rsidR="00C84544" w:rsidRPr="00227050" w:rsidRDefault="00C84544">
      <w:r w:rsidRPr="002270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ED51C" w14:textId="77777777" w:rsidR="00942DD8" w:rsidRPr="00227050" w:rsidRDefault="00942DD8" w:rsidP="00E82B05">
    <w:pPr>
      <w:pStyle w:val="EPFooter"/>
    </w:pPr>
    <w:r w:rsidRPr="00227050">
      <w:t>PE</w:t>
    </w:r>
    <w:r w:rsidRPr="00227050">
      <w:rPr>
        <w:rStyle w:val="HideTWBExt"/>
      </w:rPr>
      <w:t>&lt;NoPE&gt;</w:t>
    </w:r>
    <w:r w:rsidRPr="00227050">
      <w:t>753.479</w:t>
    </w:r>
    <w:r w:rsidRPr="00227050">
      <w:rPr>
        <w:rStyle w:val="HideTWBExt"/>
      </w:rPr>
      <w:t>&lt;/NoPE&gt;&lt;Version&gt;</w:t>
    </w:r>
    <w:r w:rsidRPr="00227050">
      <w:t>v02-00</w:t>
    </w:r>
    <w:r w:rsidRPr="00227050">
      <w:rPr>
        <w:rStyle w:val="HideTWBExt"/>
      </w:rPr>
      <w:t>&lt;/Version&gt;</w:t>
    </w:r>
    <w:r w:rsidRPr="00227050">
      <w:tab/>
    </w:r>
    <w:r w:rsidRPr="00227050">
      <w:fldChar w:fldCharType="begin"/>
    </w:r>
    <w:r w:rsidRPr="00227050">
      <w:instrText xml:space="preserve"> PAGE  \* MERGEFORMAT </w:instrText>
    </w:r>
    <w:r w:rsidRPr="00227050">
      <w:fldChar w:fldCharType="separate"/>
    </w:r>
    <w:r w:rsidR="00227050" w:rsidRPr="00227050">
      <w:rPr>
        <w:noProof/>
      </w:rPr>
      <w:t>2</w:t>
    </w:r>
    <w:r w:rsidRPr="00227050">
      <w:fldChar w:fldCharType="end"/>
    </w:r>
    <w:r w:rsidRPr="00227050">
      <w:t>/</w:t>
    </w:r>
    <w:fldSimple w:instr=" NUMPAGES  \* MERGEFORMAT ">
      <w:r w:rsidR="00227050" w:rsidRPr="00227050">
        <w:rPr>
          <w:noProof/>
        </w:rPr>
        <w:t>3</w:t>
      </w:r>
    </w:fldSimple>
    <w:r w:rsidRPr="00227050">
      <w:tab/>
    </w:r>
    <w:r w:rsidRPr="00227050">
      <w:rPr>
        <w:rStyle w:val="HideTWBExt"/>
      </w:rPr>
      <w:t>&lt;PathFdR&gt;</w:t>
    </w:r>
    <w:r w:rsidRPr="00227050">
      <w:t>RR\1298435PT.docx</w:t>
    </w:r>
    <w:r w:rsidRPr="00227050">
      <w:rPr>
        <w:rStyle w:val="HideTWBExt"/>
      </w:rPr>
      <w:t>&lt;/PathFdR&gt;</w:t>
    </w:r>
  </w:p>
  <w:p w14:paraId="4472801E" w14:textId="77777777" w:rsidR="00942DD8" w:rsidRPr="00227050" w:rsidRDefault="00942DD8" w:rsidP="00E82B05">
    <w:pPr>
      <w:pStyle w:val="EPFooter2"/>
    </w:pPr>
    <w:r w:rsidRPr="00227050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D9517" w14:textId="77777777" w:rsidR="00942DD8" w:rsidRPr="00227050" w:rsidRDefault="00942DD8" w:rsidP="00E82B05">
    <w:pPr>
      <w:pStyle w:val="EPFooter"/>
    </w:pPr>
    <w:r w:rsidRPr="00227050">
      <w:rPr>
        <w:rStyle w:val="HideTWBExt"/>
      </w:rPr>
      <w:t>&lt;PathFdR&gt;</w:t>
    </w:r>
    <w:r w:rsidRPr="00227050">
      <w:t>RR\1298435PT.docx</w:t>
    </w:r>
    <w:r w:rsidRPr="00227050">
      <w:rPr>
        <w:rStyle w:val="HideTWBExt"/>
      </w:rPr>
      <w:t>&lt;/PathFdR&gt;</w:t>
    </w:r>
    <w:r w:rsidRPr="00227050">
      <w:tab/>
    </w:r>
    <w:r w:rsidRPr="00227050">
      <w:tab/>
      <w:t>PE</w:t>
    </w:r>
    <w:r w:rsidRPr="00227050">
      <w:rPr>
        <w:rStyle w:val="HideTWBExt"/>
      </w:rPr>
      <w:t>&lt;NoPE&gt;</w:t>
    </w:r>
    <w:r w:rsidRPr="00227050">
      <w:t>753.479</w:t>
    </w:r>
    <w:r w:rsidRPr="00227050">
      <w:rPr>
        <w:rStyle w:val="HideTWBExt"/>
      </w:rPr>
      <w:t>&lt;/NoPE&gt;&lt;Version&gt;</w:t>
    </w:r>
    <w:r w:rsidRPr="00227050">
      <w:t>v02-00</w:t>
    </w:r>
    <w:r w:rsidRPr="00227050">
      <w:rPr>
        <w:rStyle w:val="HideTWBExt"/>
      </w:rPr>
      <w:t>&lt;/Version&gt;</w:t>
    </w:r>
  </w:p>
  <w:p w14:paraId="349D6C4C" w14:textId="77777777" w:rsidR="00942DD8" w:rsidRPr="00227050" w:rsidRDefault="00942DD8" w:rsidP="00E82B05">
    <w:pPr>
      <w:pStyle w:val="EPFooter2"/>
    </w:pPr>
    <w:r w:rsidRPr="00227050">
      <w:t>PT</w:t>
    </w:r>
    <w:r w:rsidRPr="00227050">
      <w:tab/>
    </w:r>
    <w:r w:rsidRPr="00227050">
      <w:rPr>
        <w:b w:val="0"/>
        <w:i/>
        <w:color w:val="C0C0C0"/>
        <w:sz w:val="22"/>
      </w:rPr>
      <w:t>Unida na diversidade</w:t>
    </w:r>
    <w:r w:rsidRPr="00227050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5047" w14:textId="77777777" w:rsidR="00064002" w:rsidRPr="0022705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5DB4C" w14:textId="77777777" w:rsidR="00064002" w:rsidRPr="0022705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7A134" w14:textId="77777777" w:rsidR="00064002" w:rsidRPr="002270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7AAD2" w14:textId="77777777" w:rsidR="00C84544" w:rsidRPr="00227050" w:rsidRDefault="00C84544">
      <w:r w:rsidRPr="00227050">
        <w:separator/>
      </w:r>
    </w:p>
  </w:footnote>
  <w:footnote w:type="continuationSeparator" w:id="0">
    <w:p w14:paraId="27F95BA2" w14:textId="77777777" w:rsidR="00C84544" w:rsidRPr="00227050" w:rsidRDefault="00C84544">
      <w:r w:rsidRPr="00227050">
        <w:continuationSeparator/>
      </w:r>
    </w:p>
  </w:footnote>
  <w:footnote w:id="1">
    <w:p w14:paraId="6A17007F" w14:textId="77777777" w:rsidR="00942DD8" w:rsidRPr="008E5205" w:rsidRDefault="00942DD8" w:rsidP="00227050">
      <w:pPr>
        <w:pStyle w:val="FootnoteText"/>
        <w:ind w:left="567" w:hanging="567"/>
        <w:rPr>
          <w:sz w:val="24"/>
          <w:lang w:val="da-DK"/>
        </w:rPr>
      </w:pPr>
      <w:r w:rsidRPr="00227050">
        <w:rPr>
          <w:rStyle w:val="FootnoteReference"/>
          <w:sz w:val="24"/>
          <w:lang w:val="pt-PT"/>
        </w:rPr>
        <w:footnoteRef/>
      </w:r>
      <w:r w:rsidR="00227050" w:rsidRPr="008E5205">
        <w:rPr>
          <w:sz w:val="24"/>
          <w:lang w:val="da-DK"/>
        </w:rPr>
        <w:t xml:space="preserve"> </w:t>
      </w:r>
      <w:r w:rsidR="00227050" w:rsidRPr="008E5205">
        <w:rPr>
          <w:sz w:val="24"/>
          <w:lang w:val="da-DK"/>
        </w:rPr>
        <w:tab/>
      </w:r>
      <w:r w:rsidRPr="008E5205">
        <w:rPr>
          <w:sz w:val="24"/>
          <w:lang w:val="da-DK"/>
        </w:rPr>
        <w:t>JO L 45 de 24.2.2022.</w:t>
      </w:r>
    </w:p>
  </w:footnote>
  <w:footnote w:id="2">
    <w:p w14:paraId="0F7AFF6D" w14:textId="77777777" w:rsidR="00942DD8" w:rsidRPr="008E5205" w:rsidRDefault="00942DD8" w:rsidP="00227050">
      <w:pPr>
        <w:pStyle w:val="FootnoteText"/>
        <w:ind w:left="567" w:hanging="567"/>
        <w:rPr>
          <w:sz w:val="24"/>
          <w:lang w:val="da-DK"/>
        </w:rPr>
      </w:pPr>
      <w:r w:rsidRPr="00227050">
        <w:rPr>
          <w:rStyle w:val="FootnoteReference"/>
          <w:sz w:val="24"/>
          <w:lang w:val="pt-PT"/>
        </w:rPr>
        <w:footnoteRef/>
      </w:r>
      <w:r w:rsidR="00227050" w:rsidRPr="008E5205">
        <w:rPr>
          <w:sz w:val="24"/>
          <w:lang w:val="da-DK"/>
        </w:rPr>
        <w:t xml:space="preserve"> </w:t>
      </w:r>
      <w:r w:rsidR="00227050" w:rsidRPr="008E5205">
        <w:rPr>
          <w:sz w:val="24"/>
          <w:lang w:val="da-DK"/>
        </w:rPr>
        <w:tab/>
      </w:r>
      <w:r w:rsidRPr="008E5205">
        <w:rPr>
          <w:sz w:val="24"/>
          <w:lang w:val="da-DK"/>
        </w:rPr>
        <w:t>JO C, C/2023/2, 12.10.2023.</w:t>
      </w:r>
    </w:p>
  </w:footnote>
  <w:footnote w:id="3">
    <w:p w14:paraId="7CA5B2AA" w14:textId="77777777" w:rsidR="00942DD8" w:rsidRPr="008E5205" w:rsidRDefault="00942DD8" w:rsidP="00227050">
      <w:pPr>
        <w:pStyle w:val="FootnoteText"/>
        <w:ind w:left="567" w:hanging="567"/>
        <w:rPr>
          <w:sz w:val="24"/>
          <w:lang w:val="da-DK"/>
        </w:rPr>
      </w:pPr>
      <w:r w:rsidRPr="00227050">
        <w:rPr>
          <w:rStyle w:val="FootnoteReference"/>
          <w:sz w:val="24"/>
          <w:lang w:val="pt-PT"/>
        </w:rPr>
        <w:footnoteRef/>
      </w:r>
      <w:r w:rsidR="00227050" w:rsidRPr="008E5205">
        <w:rPr>
          <w:sz w:val="24"/>
          <w:lang w:val="da-DK"/>
        </w:rPr>
        <w:t xml:space="preserve"> </w:t>
      </w:r>
      <w:r w:rsidR="00227050" w:rsidRPr="008E5205">
        <w:rPr>
          <w:sz w:val="24"/>
          <w:lang w:val="da-DK"/>
        </w:rPr>
        <w:tab/>
      </w:r>
      <w:r w:rsidRPr="008E5205">
        <w:rPr>
          <w:sz w:val="24"/>
          <w:lang w:val="da-DK"/>
        </w:rPr>
        <w:t>JO C, C/2023/103, 4.10.2023.</w:t>
      </w:r>
    </w:p>
  </w:footnote>
  <w:footnote w:id="4">
    <w:p w14:paraId="7BC41B31" w14:textId="77777777" w:rsidR="00942DD8" w:rsidRPr="008E5205" w:rsidRDefault="00942DD8" w:rsidP="00227050">
      <w:pPr>
        <w:pStyle w:val="FootnoteText"/>
        <w:ind w:left="567" w:hanging="567"/>
        <w:rPr>
          <w:sz w:val="24"/>
          <w:lang w:val="da-DK"/>
        </w:rPr>
      </w:pPr>
      <w:r w:rsidRPr="00227050">
        <w:rPr>
          <w:rStyle w:val="FootnoteReference"/>
          <w:sz w:val="24"/>
          <w:lang w:val="pt-PT"/>
        </w:rPr>
        <w:footnoteRef/>
      </w:r>
      <w:r w:rsidR="00227050" w:rsidRPr="008E5205">
        <w:rPr>
          <w:sz w:val="24"/>
          <w:lang w:val="da-DK"/>
        </w:rPr>
        <w:t xml:space="preserve"> </w:t>
      </w:r>
      <w:r w:rsidR="00227050" w:rsidRPr="008E5205">
        <w:rPr>
          <w:sz w:val="24"/>
          <w:lang w:val="da-DK"/>
        </w:rPr>
        <w:tab/>
      </w:r>
      <w:r w:rsidRPr="008E5205">
        <w:rPr>
          <w:sz w:val="24"/>
          <w:lang w:val="da-DK"/>
        </w:rPr>
        <w:t>JO C, C/2023/112, 12.10.2023.</w:t>
      </w:r>
    </w:p>
  </w:footnote>
  <w:footnote w:id="5">
    <w:p w14:paraId="2D541552" w14:textId="77777777" w:rsidR="00942DD8" w:rsidRPr="008E5205" w:rsidRDefault="00942DD8" w:rsidP="00227050">
      <w:pPr>
        <w:pStyle w:val="FootnoteText"/>
        <w:ind w:left="567" w:hanging="567"/>
        <w:rPr>
          <w:sz w:val="24"/>
          <w:szCs w:val="24"/>
          <w:lang w:val="da-DK"/>
        </w:rPr>
      </w:pPr>
      <w:r w:rsidRPr="00227050">
        <w:rPr>
          <w:rStyle w:val="FootnoteReference"/>
          <w:sz w:val="24"/>
          <w:lang w:val="pt-PT"/>
        </w:rPr>
        <w:footnoteRef/>
      </w:r>
      <w:r w:rsidR="00227050" w:rsidRPr="008E5205">
        <w:rPr>
          <w:sz w:val="24"/>
          <w:lang w:val="da-DK"/>
        </w:rPr>
        <w:t xml:space="preserve"> </w:t>
      </w:r>
      <w:r w:rsidR="00227050" w:rsidRPr="008E5205">
        <w:rPr>
          <w:sz w:val="24"/>
          <w:lang w:val="da-DK"/>
        </w:rPr>
        <w:tab/>
      </w:r>
      <w:r w:rsidRPr="008E5205">
        <w:rPr>
          <w:sz w:val="24"/>
          <w:lang w:val="da-DK"/>
        </w:rPr>
        <w:t>JO L 193 de 30.7.2018, p. 1.</w:t>
      </w:r>
    </w:p>
  </w:footnote>
  <w:footnote w:id="6">
    <w:p w14:paraId="0DC2C1A2" w14:textId="77777777" w:rsidR="00942DD8" w:rsidRPr="00227050" w:rsidRDefault="00942DD8" w:rsidP="00227050">
      <w:pPr>
        <w:pStyle w:val="FootnoteText"/>
        <w:ind w:left="567" w:hanging="567"/>
        <w:rPr>
          <w:sz w:val="24"/>
          <w:lang w:val="pt-PT"/>
        </w:rPr>
      </w:pPr>
      <w:r w:rsidRPr="00227050">
        <w:rPr>
          <w:rStyle w:val="FootnoteReference"/>
          <w:sz w:val="24"/>
          <w:lang w:val="pt-PT"/>
        </w:rPr>
        <w:footnoteRef/>
      </w:r>
      <w:r w:rsidR="00227050" w:rsidRPr="00227050">
        <w:rPr>
          <w:sz w:val="24"/>
          <w:lang w:val="pt-PT"/>
        </w:rPr>
        <w:t xml:space="preserve"> </w:t>
      </w:r>
      <w:r w:rsidR="00227050" w:rsidRPr="00227050">
        <w:rPr>
          <w:sz w:val="24"/>
          <w:lang w:val="pt-PT"/>
        </w:rPr>
        <w:tab/>
      </w:r>
      <w:r w:rsidRPr="00227050">
        <w:rPr>
          <w:sz w:val="24"/>
          <w:lang w:val="pt-PT"/>
        </w:rPr>
        <w:t xml:space="preserve">Acórdão do Tribunal Geral de 25 de janeiro de 2023, </w:t>
      </w:r>
      <w:r w:rsidRPr="00227050">
        <w:rPr>
          <w:i/>
          <w:iCs/>
          <w:sz w:val="24"/>
          <w:lang w:val="pt-PT"/>
        </w:rPr>
        <w:t>De Capitani/Conselho</w:t>
      </w:r>
      <w:r w:rsidRPr="00227050">
        <w:rPr>
          <w:sz w:val="24"/>
          <w:lang w:val="pt-PT"/>
        </w:rPr>
        <w:t>, T-163/21, CLI:</w:t>
      </w:r>
      <w:proofErr w:type="gramStart"/>
      <w:r w:rsidRPr="00227050">
        <w:rPr>
          <w:sz w:val="24"/>
          <w:lang w:val="pt-PT"/>
        </w:rPr>
        <w:t>EU:T</w:t>
      </w:r>
      <w:proofErr w:type="gramEnd"/>
      <w:r w:rsidRPr="00227050">
        <w:rPr>
          <w:sz w:val="24"/>
          <w:lang w:val="pt-PT"/>
        </w:rPr>
        <w:t>:2023:15.</w:t>
      </w:r>
    </w:p>
  </w:footnote>
  <w:footnote w:id="7">
    <w:p w14:paraId="038B2B56" w14:textId="6546F20A" w:rsidR="00942DD8" w:rsidRPr="008E5205" w:rsidRDefault="00942DD8" w:rsidP="00227050">
      <w:pPr>
        <w:pStyle w:val="FootnoteText"/>
        <w:ind w:left="567" w:hanging="567"/>
        <w:rPr>
          <w:sz w:val="24"/>
          <w:lang w:val="da-DK"/>
        </w:rPr>
      </w:pPr>
      <w:r w:rsidRPr="00227050">
        <w:rPr>
          <w:rStyle w:val="FootnoteReference"/>
          <w:sz w:val="24"/>
          <w:lang w:val="pt-PT"/>
        </w:rPr>
        <w:footnoteRef/>
      </w:r>
      <w:r w:rsidR="00227050" w:rsidRPr="008E5205">
        <w:rPr>
          <w:sz w:val="24"/>
          <w:lang w:val="da-DK"/>
        </w:rPr>
        <w:t xml:space="preserve"> </w:t>
      </w:r>
      <w:r w:rsidR="00227050" w:rsidRPr="008E5205">
        <w:rPr>
          <w:sz w:val="24"/>
          <w:lang w:val="da-DK"/>
        </w:rPr>
        <w:tab/>
      </w:r>
      <w:r w:rsidRPr="008E5205">
        <w:rPr>
          <w:sz w:val="24"/>
          <w:lang w:val="da-DK"/>
        </w:rPr>
        <w:t>JO </w:t>
      </w:r>
      <w:r w:rsidR="00022A4B">
        <w:rPr>
          <w:sz w:val="24"/>
          <w:lang w:val="da-DK"/>
        </w:rPr>
        <w:t>C</w:t>
      </w:r>
      <w:r w:rsidRPr="008E5205">
        <w:rPr>
          <w:sz w:val="24"/>
          <w:lang w:val="da-DK"/>
        </w:rPr>
        <w:t> 445 de 29.10.2021, p. 150.</w:t>
      </w:r>
    </w:p>
  </w:footnote>
  <w:footnote w:id="8">
    <w:p w14:paraId="0D0A40A9" w14:textId="77777777" w:rsidR="00942DD8" w:rsidRPr="008E5205" w:rsidRDefault="00942DD8" w:rsidP="00227050">
      <w:pPr>
        <w:pStyle w:val="FootnoteText"/>
        <w:ind w:left="567" w:hanging="567"/>
        <w:rPr>
          <w:sz w:val="24"/>
          <w:lang w:val="da-DK"/>
        </w:rPr>
      </w:pPr>
      <w:r w:rsidRPr="00227050">
        <w:rPr>
          <w:rStyle w:val="FootnoteReference"/>
          <w:sz w:val="24"/>
          <w:lang w:val="pt-PT"/>
        </w:rPr>
        <w:footnoteRef/>
      </w:r>
      <w:r w:rsidR="00227050" w:rsidRPr="008E5205">
        <w:rPr>
          <w:sz w:val="24"/>
          <w:lang w:val="da-DK"/>
        </w:rPr>
        <w:t xml:space="preserve"> </w:t>
      </w:r>
      <w:r w:rsidR="00227050" w:rsidRPr="008E5205">
        <w:rPr>
          <w:sz w:val="24"/>
          <w:lang w:val="da-DK"/>
        </w:rPr>
        <w:tab/>
      </w:r>
      <w:r w:rsidRPr="008E5205">
        <w:rPr>
          <w:sz w:val="24"/>
          <w:lang w:val="da-DK"/>
        </w:rPr>
        <w:t>JO L 207 de 11.6.2021, p. 1.</w:t>
      </w:r>
    </w:p>
  </w:footnote>
  <w:footnote w:id="9">
    <w:p w14:paraId="5D5F52A2" w14:textId="77777777" w:rsidR="00942DD8" w:rsidRPr="00227050" w:rsidRDefault="00942DD8" w:rsidP="00227050">
      <w:pPr>
        <w:pStyle w:val="FootnoteText"/>
        <w:ind w:left="567" w:hanging="567"/>
        <w:rPr>
          <w:sz w:val="24"/>
          <w:lang w:val="pt-PT"/>
        </w:rPr>
      </w:pPr>
      <w:r w:rsidRPr="00227050">
        <w:rPr>
          <w:rStyle w:val="FootnoteReference"/>
          <w:sz w:val="24"/>
          <w:lang w:val="pt-PT"/>
        </w:rPr>
        <w:footnoteRef/>
      </w:r>
      <w:r w:rsidR="00227050" w:rsidRPr="00227050">
        <w:rPr>
          <w:sz w:val="24"/>
          <w:lang w:val="pt-PT"/>
        </w:rPr>
        <w:t xml:space="preserve"> </w:t>
      </w:r>
      <w:r w:rsidR="00227050" w:rsidRPr="00227050">
        <w:rPr>
          <w:sz w:val="24"/>
          <w:lang w:val="pt-PT"/>
        </w:rPr>
        <w:tab/>
      </w:r>
      <w:r w:rsidRPr="00227050">
        <w:rPr>
          <w:sz w:val="24"/>
          <w:lang w:val="pt-PT"/>
        </w:rPr>
        <w:t>JO L 238 de 27.9.2023, p. 114.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E3C72" w14:textId="77777777" w:rsidR="00064002" w:rsidRPr="002270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F7A18" w14:textId="77777777" w:rsidR="00064002" w:rsidRPr="002270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35E46" w14:textId="77777777" w:rsidR="00064002" w:rsidRPr="002270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1/2024"/>
    <w:docVar w:name="dvlangue" w:val="PT"/>
    <w:docVar w:name="dvnumam" w:val="0"/>
    <w:docVar w:name="dvpe" w:val="753.479"/>
    <w:docVar w:name="dvrapporteur" w:val="Relator: "/>
    <w:docVar w:name="dvtitre" w:val="Resolução legislativa do Parlamento Europeu, de ... de ... de 2024,_x000d__x000a_ sobre a quitação pela execução do orçamento geral da União Europeia para o exercício de 2022, Secção II- Conselho Europeu e Conselho(2023/2131(DEC))"/>
  </w:docVars>
  <w:rsids>
    <w:rsidRoot w:val="00C84544"/>
    <w:rsid w:val="00002272"/>
    <w:rsid w:val="00022A4B"/>
    <w:rsid w:val="00035595"/>
    <w:rsid w:val="00064002"/>
    <w:rsid w:val="000677B9"/>
    <w:rsid w:val="000831BA"/>
    <w:rsid w:val="000A42CC"/>
    <w:rsid w:val="000E7DD9"/>
    <w:rsid w:val="0010095E"/>
    <w:rsid w:val="00125B37"/>
    <w:rsid w:val="0014317B"/>
    <w:rsid w:val="001603A0"/>
    <w:rsid w:val="00187494"/>
    <w:rsid w:val="001F32AE"/>
    <w:rsid w:val="00227050"/>
    <w:rsid w:val="002767FF"/>
    <w:rsid w:val="00281A2B"/>
    <w:rsid w:val="002A3B16"/>
    <w:rsid w:val="002B18FE"/>
    <w:rsid w:val="002B5493"/>
    <w:rsid w:val="002D0E4C"/>
    <w:rsid w:val="00343214"/>
    <w:rsid w:val="00361C00"/>
    <w:rsid w:val="00395FA1"/>
    <w:rsid w:val="003B57EB"/>
    <w:rsid w:val="003E15D4"/>
    <w:rsid w:val="00411CCE"/>
    <w:rsid w:val="0041666E"/>
    <w:rsid w:val="00421060"/>
    <w:rsid w:val="0042554A"/>
    <w:rsid w:val="00456153"/>
    <w:rsid w:val="00471C19"/>
    <w:rsid w:val="004867E3"/>
    <w:rsid w:val="00494A28"/>
    <w:rsid w:val="004A1BD2"/>
    <w:rsid w:val="004C0004"/>
    <w:rsid w:val="004C5D52"/>
    <w:rsid w:val="004F7C9C"/>
    <w:rsid w:val="0050519A"/>
    <w:rsid w:val="005072A1"/>
    <w:rsid w:val="00514517"/>
    <w:rsid w:val="00545827"/>
    <w:rsid w:val="00560270"/>
    <w:rsid w:val="005C2568"/>
    <w:rsid w:val="0060161F"/>
    <w:rsid w:val="006037C0"/>
    <w:rsid w:val="006631B6"/>
    <w:rsid w:val="00663688"/>
    <w:rsid w:val="00680577"/>
    <w:rsid w:val="0068242E"/>
    <w:rsid w:val="006F74FA"/>
    <w:rsid w:val="0070585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6C3"/>
    <w:rsid w:val="00817416"/>
    <w:rsid w:val="00842779"/>
    <w:rsid w:val="00851330"/>
    <w:rsid w:val="00865F67"/>
    <w:rsid w:val="00881A7B"/>
    <w:rsid w:val="008840E5"/>
    <w:rsid w:val="00887B3E"/>
    <w:rsid w:val="008C2AC6"/>
    <w:rsid w:val="008E5205"/>
    <w:rsid w:val="00930C23"/>
    <w:rsid w:val="0093193B"/>
    <w:rsid w:val="00942DD8"/>
    <w:rsid w:val="0094459B"/>
    <w:rsid w:val="009509D8"/>
    <w:rsid w:val="00950B64"/>
    <w:rsid w:val="00981893"/>
    <w:rsid w:val="00A1687D"/>
    <w:rsid w:val="00A43E52"/>
    <w:rsid w:val="00A4678D"/>
    <w:rsid w:val="00A7187E"/>
    <w:rsid w:val="00A778C7"/>
    <w:rsid w:val="00A90F9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54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E9D"/>
    <w:rsid w:val="00F5134D"/>
    <w:rsid w:val="00F74202"/>
    <w:rsid w:val="00F87713"/>
    <w:rsid w:val="00FB4360"/>
    <w:rsid w:val="00FC487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3ED744"/>
  <w15:chartTrackingRefBased/>
  <w15:docId w15:val="{909DA1B1-6B22-4F11-BBF2-BC0BDA3E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42D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42DD8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942D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42DD8"/>
    <w:rPr>
      <w:b/>
    </w:rPr>
  </w:style>
  <w:style w:type="paragraph" w:customStyle="1" w:styleId="NormalHanging12a">
    <w:name w:val="NormalHanging12a"/>
    <w:basedOn w:val="Normal"/>
    <w:link w:val="NormalHanging12aChar"/>
    <w:rsid w:val="00942DD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42D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2DD8"/>
    <w:rPr>
      <w:sz w:val="24"/>
      <w:lang w:val="pt-PT"/>
    </w:rPr>
  </w:style>
  <w:style w:type="paragraph" w:customStyle="1" w:styleId="EPFooter">
    <w:name w:val="EPFooter"/>
    <w:basedOn w:val="Normal"/>
    <w:rsid w:val="00942DD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942DD8"/>
    <w:rPr>
      <w:sz w:val="24"/>
      <w:lang w:val="pt-PT"/>
    </w:rPr>
  </w:style>
  <w:style w:type="character" w:customStyle="1" w:styleId="PageHeadingChar">
    <w:name w:val="PageHeading Char"/>
    <w:basedOn w:val="DefaultParagraphFont"/>
    <w:link w:val="PageHeading"/>
    <w:rsid w:val="00942DD8"/>
    <w:rPr>
      <w:rFonts w:ascii="Arial" w:hAnsi="Arial" w:cs="Arial"/>
      <w:b/>
      <w:sz w:val="24"/>
      <w:lang w:val="pt-PT"/>
    </w:rPr>
  </w:style>
  <w:style w:type="paragraph" w:styleId="Footer">
    <w:name w:val="footer"/>
    <w:basedOn w:val="Normal"/>
    <w:link w:val="FooterChar"/>
    <w:rsid w:val="003B57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B57EB"/>
    <w:rPr>
      <w:sz w:val="24"/>
      <w:lang w:val="pt-PT"/>
    </w:rPr>
  </w:style>
  <w:style w:type="paragraph" w:styleId="BalloonText">
    <w:name w:val="Balloon Text"/>
    <w:basedOn w:val="Normal"/>
    <w:link w:val="BalloonTextChar"/>
    <w:rsid w:val="004A1B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1BD2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42554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554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554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2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554A"/>
    <w:rPr>
      <w:b/>
      <w:bCs/>
      <w:lang w:val="pt-PT"/>
    </w:rPr>
  </w:style>
  <w:style w:type="character" w:styleId="Hyperlink">
    <w:name w:val="Hyperlink"/>
    <w:basedOn w:val="DefaultParagraphFont"/>
    <w:rsid w:val="00A90F9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81A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FCD1C-C146-4D71-B15C-E219700F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6093</Words>
  <Characters>32559</Characters>
  <Application>Microsoft Office Word</Application>
  <DocSecurity>0</DocSecurity>
  <Lines>500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PEREIRA Dulce</cp:lastModifiedBy>
  <cp:revision>2</cp:revision>
  <cp:lastPrinted>2004-11-19T15:42:00Z</cp:lastPrinted>
  <dcterms:created xsi:type="dcterms:W3CDTF">2024-06-12T07:18:00Z</dcterms:created>
  <dcterms:modified xsi:type="dcterms:W3CDTF">2024-06-12T07:18:00Z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A9-0071/2024</vt:lpwstr>
  </property>
  <property fmtid="{D5CDD505-2E9C-101B-9397-08002B2CF9AE}" pid="4" name="&lt;Type&gt;">
    <vt:lpwstr>RR</vt:lpwstr>
  </property>
</Properties>
</file>