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07479" w14:paraId="2DBE8CDD" w14:textId="77777777" w:rsidTr="0010095E">
        <w:trPr>
          <w:trHeight w:hRule="exact" w:val="1418"/>
        </w:trPr>
        <w:tc>
          <w:tcPr>
            <w:tcW w:w="6804" w:type="dxa"/>
            <w:shd w:val="clear" w:color="auto" w:fill="auto"/>
            <w:vAlign w:val="center"/>
          </w:tcPr>
          <w:p w14:paraId="39B26C02" w14:textId="77777777" w:rsidR="00751A4A" w:rsidRPr="00C07479" w:rsidRDefault="00BE0458" w:rsidP="0010095E">
            <w:pPr>
              <w:pStyle w:val="EPName"/>
            </w:pPr>
            <w:bookmarkStart w:id="0" w:name="_GoBack"/>
            <w:bookmarkEnd w:id="0"/>
            <w:r w:rsidRPr="00C07479">
              <w:t>Parlamentul European</w:t>
            </w:r>
          </w:p>
          <w:p w14:paraId="0CE65F0C" w14:textId="77777777" w:rsidR="00751A4A" w:rsidRPr="00C07479" w:rsidRDefault="00817416" w:rsidP="00756632">
            <w:pPr>
              <w:pStyle w:val="EPTerm"/>
              <w:rPr>
                <w:rStyle w:val="HideTWBExt"/>
                <w:noProof w:val="0"/>
                <w:vanish w:val="0"/>
                <w:color w:val="auto"/>
              </w:rPr>
            </w:pPr>
            <w:r w:rsidRPr="00C07479">
              <w:t>2019-2024</w:t>
            </w:r>
          </w:p>
        </w:tc>
        <w:tc>
          <w:tcPr>
            <w:tcW w:w="2268" w:type="dxa"/>
            <w:shd w:val="clear" w:color="auto" w:fill="auto"/>
          </w:tcPr>
          <w:p w14:paraId="7CD90C6C" w14:textId="77777777" w:rsidR="00751A4A" w:rsidRPr="00C07479" w:rsidRDefault="00187494" w:rsidP="0010095E">
            <w:pPr>
              <w:pStyle w:val="EPLogo"/>
            </w:pPr>
            <w:r w:rsidRPr="00C07479">
              <w:rPr>
                <w:noProof/>
                <w:lang w:eastAsia="ro-RO"/>
              </w:rPr>
              <w:drawing>
                <wp:inline distT="0" distB="0" distL="0" distR="0" wp14:anchorId="6FF8D792" wp14:editId="3872E79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22EB70E" w14:textId="77777777" w:rsidR="00D058B8" w:rsidRPr="00C07479" w:rsidRDefault="00D058B8" w:rsidP="004C5D52">
      <w:pPr>
        <w:pStyle w:val="LineTop"/>
      </w:pPr>
    </w:p>
    <w:p w14:paraId="55315379" w14:textId="77777777" w:rsidR="00680577" w:rsidRPr="00C07479" w:rsidRDefault="00BE0458" w:rsidP="00680577">
      <w:pPr>
        <w:pStyle w:val="EPBodyTA1"/>
      </w:pPr>
      <w:r w:rsidRPr="00C07479">
        <w:t>TEXTE ADOPTATE</w:t>
      </w:r>
    </w:p>
    <w:p w14:paraId="605C3C6C" w14:textId="77777777" w:rsidR="00D058B8" w:rsidRPr="00C07479" w:rsidRDefault="00D058B8" w:rsidP="00D058B8">
      <w:pPr>
        <w:pStyle w:val="LineBottom"/>
      </w:pPr>
    </w:p>
    <w:p w14:paraId="4D86E88E" w14:textId="03119BA7" w:rsidR="00BE0458" w:rsidRPr="00C07479" w:rsidRDefault="00BE0458" w:rsidP="00BE0458">
      <w:pPr>
        <w:pStyle w:val="ATHeading1"/>
      </w:pPr>
      <w:bookmarkStart w:id="1" w:name="TANumber"/>
      <w:r w:rsidRPr="00C07479">
        <w:t>P9_TA(2024)0</w:t>
      </w:r>
      <w:bookmarkEnd w:id="1"/>
      <w:r w:rsidR="00CC78AA" w:rsidRPr="00C07479">
        <w:t>288</w:t>
      </w:r>
    </w:p>
    <w:p w14:paraId="4B9469F3" w14:textId="77777777" w:rsidR="00BE0458" w:rsidRPr="00C07479" w:rsidRDefault="00BE0458" w:rsidP="00BE0458">
      <w:pPr>
        <w:pStyle w:val="ATHeading2"/>
      </w:pPr>
      <w:bookmarkStart w:id="2" w:name="title"/>
      <w:r w:rsidRPr="00C07479">
        <w:t>Descărcarea de gestiune 2022: bugetul general al UE - Consiliul European și Consiliul</w:t>
      </w:r>
      <w:bookmarkEnd w:id="2"/>
    </w:p>
    <w:p w14:paraId="17B16B5E" w14:textId="77777777" w:rsidR="00BE0458" w:rsidRPr="00C07479" w:rsidRDefault="00BE0458" w:rsidP="00BE0458">
      <w:pPr>
        <w:rPr>
          <w:i/>
          <w:vanish/>
        </w:rPr>
      </w:pPr>
      <w:r w:rsidRPr="00C07479">
        <w:rPr>
          <w:i/>
        </w:rPr>
        <w:fldChar w:fldCharType="begin"/>
      </w:r>
      <w:r w:rsidRPr="00C07479">
        <w:rPr>
          <w:i/>
        </w:rPr>
        <w:instrText xml:space="preserve"> TC"(</w:instrText>
      </w:r>
      <w:bookmarkStart w:id="3" w:name="DocNumber"/>
      <w:r w:rsidRPr="00C07479">
        <w:rPr>
          <w:i/>
        </w:rPr>
        <w:instrText>A9-0071/2024</w:instrText>
      </w:r>
      <w:bookmarkEnd w:id="3"/>
      <w:r w:rsidRPr="00C07479">
        <w:rPr>
          <w:i/>
        </w:rPr>
        <w:instrText xml:space="preserve"> - Raportor: Luke Ming Flanagan)"\l3 \n&gt; \* MERGEFORMAT </w:instrText>
      </w:r>
      <w:r w:rsidRPr="00C07479">
        <w:rPr>
          <w:i/>
        </w:rPr>
        <w:fldChar w:fldCharType="end"/>
      </w:r>
    </w:p>
    <w:p w14:paraId="0C70B1B2" w14:textId="77777777" w:rsidR="00BE0458" w:rsidRPr="00C07479" w:rsidRDefault="00BE0458" w:rsidP="00BE0458">
      <w:pPr>
        <w:rPr>
          <w:vanish/>
        </w:rPr>
      </w:pPr>
      <w:bookmarkStart w:id="4" w:name="Commission"/>
      <w:r w:rsidRPr="00C07479">
        <w:rPr>
          <w:vanish/>
        </w:rPr>
        <w:t>Comisia pentru control bugetar</w:t>
      </w:r>
      <w:bookmarkEnd w:id="4"/>
    </w:p>
    <w:p w14:paraId="5A5DA426" w14:textId="77777777" w:rsidR="00BE0458" w:rsidRPr="00C07479" w:rsidRDefault="00BE0458" w:rsidP="00BE0458">
      <w:pPr>
        <w:rPr>
          <w:vanish/>
        </w:rPr>
      </w:pPr>
      <w:bookmarkStart w:id="5" w:name="PE"/>
      <w:r w:rsidRPr="00C07479">
        <w:rPr>
          <w:vanish/>
        </w:rPr>
        <w:t>PE753.479</w:t>
      </w:r>
      <w:bookmarkEnd w:id="5"/>
    </w:p>
    <w:p w14:paraId="556F1F45" w14:textId="2CF7B55F" w:rsidR="00BE0458" w:rsidRPr="00C07479" w:rsidRDefault="00BE0458" w:rsidP="00BE0458">
      <w:pPr>
        <w:pStyle w:val="ATHeading3"/>
      </w:pPr>
      <w:bookmarkStart w:id="6" w:name="Sujet"/>
      <w:r w:rsidRPr="00C07479">
        <w:t xml:space="preserve">1. Decizia Parlamentului European din </w:t>
      </w:r>
      <w:r w:rsidR="00CC78AA" w:rsidRPr="00C07479">
        <w:t>23</w:t>
      </w:r>
      <w:r w:rsidR="00A20827" w:rsidRPr="00C07479">
        <w:t xml:space="preserve"> aprilie</w:t>
      </w:r>
      <w:r w:rsidRPr="00C07479">
        <w:t xml:space="preserve"> 2024 privind descărcarea de gestiune pentru execuția bugetului general al Uniunii Europene aferent exercițiului financiar 2022, secțiunea II </w:t>
      </w:r>
      <w:r w:rsidR="00A20827" w:rsidRPr="00C07479">
        <w:t xml:space="preserve">– </w:t>
      </w:r>
      <w:r w:rsidRPr="00C07479">
        <w:t>Consiliul European și Consiliul</w:t>
      </w:r>
      <w:bookmarkEnd w:id="6"/>
      <w:r w:rsidRPr="00C07479">
        <w:t xml:space="preserve"> </w:t>
      </w:r>
      <w:bookmarkStart w:id="7" w:name="References"/>
      <w:r w:rsidRPr="00C07479">
        <w:t>(2023/2131(DEC))</w:t>
      </w:r>
      <w:bookmarkEnd w:id="7"/>
    </w:p>
    <w:p w14:paraId="230F6F43" w14:textId="77777777" w:rsidR="000810AD" w:rsidRPr="00C07479" w:rsidRDefault="000810AD" w:rsidP="000810AD">
      <w:pPr>
        <w:pStyle w:val="EPComma"/>
      </w:pPr>
      <w:bookmarkStart w:id="8" w:name="_Toc26759888"/>
      <w:bookmarkStart w:id="9" w:name="_Toc86200285"/>
      <w:r w:rsidRPr="00C07479">
        <w:rPr>
          <w:i/>
          <w:iCs/>
        </w:rPr>
        <w:t>Parlamentul European</w:t>
      </w:r>
      <w:r w:rsidRPr="00C07479">
        <w:t>,</w:t>
      </w:r>
    </w:p>
    <w:p w14:paraId="222C24F9" w14:textId="77777777" w:rsidR="000810AD" w:rsidRPr="00C07479" w:rsidRDefault="000810AD" w:rsidP="000810AD">
      <w:pPr>
        <w:pStyle w:val="NormalHanging12a"/>
      </w:pPr>
      <w:r w:rsidRPr="00C07479">
        <w:t>–</w:t>
      </w:r>
      <w:r w:rsidRPr="00C07479">
        <w:tab/>
        <w:t>având în vedere bugetul general al Uniunii Europene aferent exercițiului financiar 2022</w:t>
      </w:r>
      <w:r w:rsidRPr="00C07479">
        <w:rPr>
          <w:rStyle w:val="FootnoteReference"/>
        </w:rPr>
        <w:footnoteReference w:id="1"/>
      </w:r>
      <w:r w:rsidRPr="00C07479">
        <w:t>,</w:t>
      </w:r>
    </w:p>
    <w:p w14:paraId="129330D0" w14:textId="77777777" w:rsidR="000810AD" w:rsidRPr="00C07479" w:rsidRDefault="000810AD" w:rsidP="000810AD">
      <w:pPr>
        <w:pStyle w:val="NormalHanging12a"/>
      </w:pPr>
      <w:r w:rsidRPr="00C07479">
        <w:t>–</w:t>
      </w:r>
      <w:r w:rsidRPr="00C07479">
        <w:tab/>
        <w:t>având în vedere conturile anuale consolidate ale Uniunii Europene pentru exercițiul financiar 2022 (COM(2023)0391 – C9</w:t>
      </w:r>
      <w:r w:rsidRPr="00C07479">
        <w:noBreakHyphen/>
        <w:t>0250/2023)</w:t>
      </w:r>
      <w:r w:rsidRPr="00C07479">
        <w:rPr>
          <w:rStyle w:val="FootnoteReference"/>
        </w:rPr>
        <w:footnoteReference w:id="2"/>
      </w:r>
      <w:r w:rsidRPr="00C07479">
        <w:t>,</w:t>
      </w:r>
    </w:p>
    <w:p w14:paraId="33C45290" w14:textId="7C07EF26" w:rsidR="000810AD" w:rsidRPr="00C07479" w:rsidRDefault="000810AD" w:rsidP="000810AD">
      <w:pPr>
        <w:pStyle w:val="NormalHanging12a"/>
      </w:pPr>
      <w:r w:rsidRPr="00C07479">
        <w:t>–</w:t>
      </w:r>
      <w:r w:rsidRPr="00C07479">
        <w:tab/>
        <w:t>având în vedere Raportul anual al Consiliului către autoritatea care acordă descărcarea de gestiune privind auditurile interne desfășurate în 2022,</w:t>
      </w:r>
    </w:p>
    <w:p w14:paraId="0DA01E3B" w14:textId="77777777" w:rsidR="000810AD" w:rsidRPr="00C07479" w:rsidRDefault="000810AD" w:rsidP="000810AD">
      <w:pPr>
        <w:pStyle w:val="NormalHanging12a"/>
      </w:pPr>
      <w:r w:rsidRPr="00C07479">
        <w:t>–</w:t>
      </w:r>
      <w:r w:rsidRPr="00C07479">
        <w:tab/>
        <w:t>având în vedere Raportul anual al Curții de Conturi referitor la execuția bugetului privind exercițiul financiar 2022, însoțit de răspunsurile instituțiilor</w:t>
      </w:r>
      <w:r w:rsidRPr="00C07479">
        <w:rPr>
          <w:rStyle w:val="FootnoteReference"/>
        </w:rPr>
        <w:footnoteReference w:id="3"/>
      </w:r>
      <w:r w:rsidRPr="00C07479">
        <w:t>,</w:t>
      </w:r>
    </w:p>
    <w:p w14:paraId="52B46E96" w14:textId="77777777" w:rsidR="000810AD" w:rsidRPr="00C07479" w:rsidRDefault="000810AD" w:rsidP="000810AD">
      <w:pPr>
        <w:pStyle w:val="NormalHanging12a"/>
      </w:pPr>
      <w:r w:rsidRPr="00C07479">
        <w:t>–</w:t>
      </w:r>
      <w:r w:rsidRPr="00C07479">
        <w:tab/>
        <w:t>având în vedere declarația de asigurare</w:t>
      </w:r>
      <w:r w:rsidRPr="00C07479">
        <w:rPr>
          <w:rStyle w:val="FootnoteReference"/>
        </w:rPr>
        <w:footnoteReference w:id="4"/>
      </w:r>
      <w:r w:rsidRPr="00C07479">
        <w:t xml:space="preserve"> privind fiabilitatea conturilor și legalitatea și regularitatea operațiunilor subiacente întocmită de Curtea de Conturi pentru exercițiul 2022 în temeiul articolului 287 din Tratatul privind funcționarea Uniunii Europene,</w:t>
      </w:r>
    </w:p>
    <w:p w14:paraId="6F035053" w14:textId="77777777" w:rsidR="000810AD" w:rsidRPr="00C07479" w:rsidRDefault="000810AD" w:rsidP="000810AD">
      <w:pPr>
        <w:pStyle w:val="NormalHanging12a"/>
      </w:pPr>
      <w:r w:rsidRPr="00C07479">
        <w:t>–</w:t>
      </w:r>
      <w:r w:rsidRPr="00C07479">
        <w:tab/>
        <w:t>având în vedere articolul 314 alineatul (10) și articolele 317, 318 și 319 din Tratatul privind funcționarea Uniunii Europene,</w:t>
      </w:r>
    </w:p>
    <w:p w14:paraId="6D2D6634" w14:textId="77777777" w:rsidR="000810AD" w:rsidRPr="00C07479" w:rsidRDefault="000810AD" w:rsidP="000810AD">
      <w:pPr>
        <w:pStyle w:val="NormalHanging12a"/>
      </w:pPr>
      <w:r w:rsidRPr="00C07479">
        <w:t>–</w:t>
      </w:r>
      <w:r w:rsidRPr="00C07479">
        <w:tab/>
        <w:t xml:space="preserve">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w:t>
      </w:r>
      <w:r w:rsidRPr="00C07479">
        <w:lastRenderedPageBreak/>
        <w:t>Regulamentului (UE, Euratom) nr. 966/2012</w:t>
      </w:r>
      <w:r w:rsidRPr="00C07479">
        <w:rPr>
          <w:rStyle w:val="FootnoteReference"/>
        </w:rPr>
        <w:footnoteReference w:id="5"/>
      </w:r>
      <w:r w:rsidRPr="00C07479">
        <w:t>, în special articolele 59, 118, 260, 261 și 262,</w:t>
      </w:r>
    </w:p>
    <w:p w14:paraId="01B6C205" w14:textId="77777777" w:rsidR="000810AD" w:rsidRPr="00C07479" w:rsidRDefault="000810AD" w:rsidP="000810AD">
      <w:pPr>
        <w:pStyle w:val="NormalHanging12a"/>
      </w:pPr>
      <w:r w:rsidRPr="00C07479">
        <w:t>–</w:t>
      </w:r>
      <w:r w:rsidRPr="00C07479">
        <w:tab/>
        <w:t>având în vedere articolul 100 și anexa V la Regulamentul său de procedură,</w:t>
      </w:r>
    </w:p>
    <w:p w14:paraId="5B3DE74C" w14:textId="77777777" w:rsidR="000810AD" w:rsidRPr="00C07479" w:rsidRDefault="000810AD" w:rsidP="000810AD">
      <w:pPr>
        <w:pStyle w:val="NormalHanging12a"/>
      </w:pPr>
      <w:r w:rsidRPr="00C07479">
        <w:t>–</w:t>
      </w:r>
      <w:r w:rsidRPr="00C07479">
        <w:tab/>
        <w:t>având în vedere scrisoarea transmisă de Comisia pentru afaceri constituționale,</w:t>
      </w:r>
    </w:p>
    <w:p w14:paraId="70DF3244" w14:textId="77777777" w:rsidR="000810AD" w:rsidRPr="00C07479" w:rsidRDefault="000810AD" w:rsidP="000810AD">
      <w:pPr>
        <w:pStyle w:val="NormalHanging12a"/>
      </w:pPr>
      <w:r w:rsidRPr="00C07479">
        <w:t>–</w:t>
      </w:r>
      <w:r w:rsidRPr="00C07479">
        <w:tab/>
        <w:t>având în vedere raportul Comisiei pentru control bugetar (A9-0071/2024),</w:t>
      </w:r>
    </w:p>
    <w:p w14:paraId="3D983B83" w14:textId="77777777" w:rsidR="000810AD" w:rsidRPr="00C07479" w:rsidRDefault="000810AD" w:rsidP="000810AD">
      <w:pPr>
        <w:pStyle w:val="NormalHanging12a"/>
      </w:pPr>
      <w:r w:rsidRPr="00C07479">
        <w:t>1.</w:t>
      </w:r>
      <w:r w:rsidRPr="00C07479">
        <w:tab/>
        <w:t>își amână decizia de a acorda Secretarei Generale a Consiliului descărcarea de gestiune pentru execuția bugetului Consiliului European și al Consiliului aferent exercițiului financiar 2022;</w:t>
      </w:r>
    </w:p>
    <w:p w14:paraId="142FDE25" w14:textId="77777777" w:rsidR="000810AD" w:rsidRPr="00C07479" w:rsidRDefault="000810AD" w:rsidP="000810AD">
      <w:pPr>
        <w:pStyle w:val="NormalHanging12a"/>
      </w:pPr>
      <w:r w:rsidRPr="00C07479">
        <w:t>2.</w:t>
      </w:r>
      <w:r w:rsidRPr="00C07479">
        <w:tab/>
        <w:t>își prezintă observațiile în cadrul rezoluției de mai jos;</w:t>
      </w:r>
    </w:p>
    <w:p w14:paraId="0B69E4D9" w14:textId="77777777" w:rsidR="000810AD" w:rsidRPr="00C07479" w:rsidRDefault="000810AD" w:rsidP="000810AD">
      <w:pPr>
        <w:pStyle w:val="NormalHanging12a"/>
      </w:pPr>
      <w:r w:rsidRPr="00C07479">
        <w:t>3.</w:t>
      </w:r>
      <w:r w:rsidRPr="00C07479">
        <w:tab/>
        <w:t>încredințează Președintei sarcina de a transmite prezenta decizie împreună cu rezoluția Parlamentului, ca parte integrantă a acesteia, Consiliului European, Consiliului, Comisiei și Curții de Conturi și de a asigura publicarea acestora în Jurnalul Oficial al Uniunii Europene (seria L).</w:t>
      </w:r>
    </w:p>
    <w:p w14:paraId="787CFD2B" w14:textId="77777777" w:rsidR="000810AD" w:rsidRPr="00C07479" w:rsidRDefault="000810AD" w:rsidP="000810AD"/>
    <w:p w14:paraId="6E095E7E" w14:textId="77777777" w:rsidR="000810AD" w:rsidRPr="00C07479" w:rsidRDefault="000810AD" w:rsidP="000810AD">
      <w:pPr>
        <w:pStyle w:val="PageHeading"/>
        <w:sectPr w:rsidR="000810AD" w:rsidRPr="00C07479" w:rsidSect="00335D82">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787AFBFC" w14:textId="1B850CDE" w:rsidR="000810AD" w:rsidRPr="00C07479" w:rsidRDefault="0049369D" w:rsidP="00A20827">
      <w:pPr>
        <w:pStyle w:val="ATHeading3"/>
      </w:pPr>
      <w:bookmarkStart w:id="10" w:name="_Toc161841934"/>
      <w:bookmarkEnd w:id="8"/>
      <w:bookmarkEnd w:id="9"/>
      <w:r w:rsidRPr="00C07479">
        <w:lastRenderedPageBreak/>
        <w:t>2. Rezoluția Parlamentului European</w:t>
      </w:r>
      <w:bookmarkEnd w:id="10"/>
      <w:r w:rsidRPr="00C07479">
        <w:t xml:space="preserve"> din </w:t>
      </w:r>
      <w:r w:rsidR="00CC78AA" w:rsidRPr="00C07479">
        <w:t>23</w:t>
      </w:r>
      <w:r w:rsidRPr="00C07479">
        <w:t xml:space="preserve"> aprilie 2024 conținând observațiile </w:t>
      </w:r>
      <w:r w:rsidR="000810AD" w:rsidRPr="00C07479">
        <w:t>care fac parte integrantă din decizia privind descărcarea de gestiune pentru execuția bugetului general al Uniunii Europene aferent exercițiului financiar 2022, secțiunea II - Consiliul European și Consiliul</w:t>
      </w:r>
      <w:r w:rsidR="00A20827" w:rsidRPr="00C07479">
        <w:t xml:space="preserve"> </w:t>
      </w:r>
      <w:r w:rsidR="000810AD" w:rsidRPr="00C07479">
        <w:t>(2023/2131(DEC))</w:t>
      </w:r>
    </w:p>
    <w:p w14:paraId="2121E843" w14:textId="77777777" w:rsidR="000810AD" w:rsidRPr="00C07479" w:rsidRDefault="000810AD" w:rsidP="00A20827">
      <w:pPr>
        <w:pStyle w:val="EPComma"/>
        <w:spacing w:before="360"/>
      </w:pPr>
      <w:r w:rsidRPr="00C07479">
        <w:rPr>
          <w:i/>
          <w:iCs/>
        </w:rPr>
        <w:t>Parlamentul European</w:t>
      </w:r>
      <w:r w:rsidRPr="00C07479">
        <w:t>,</w:t>
      </w:r>
    </w:p>
    <w:p w14:paraId="2CD8139B" w14:textId="77777777" w:rsidR="000810AD" w:rsidRPr="00C07479" w:rsidRDefault="000810AD" w:rsidP="000810AD">
      <w:pPr>
        <w:pStyle w:val="NormalHanging12a"/>
        <w:rPr>
          <w:szCs w:val="24"/>
        </w:rPr>
      </w:pPr>
      <w:r w:rsidRPr="00C07479">
        <w:t>–</w:t>
      </w:r>
      <w:r w:rsidRPr="00C07479">
        <w:tab/>
        <w:t>având în vedere Decizia sa privind descărcarea de gestiune pentru execuția bugetului general al Uniunii Europene aferent exercițiului financiar 2022, secțiunea II - Consiliul European și Consiliul,</w:t>
      </w:r>
    </w:p>
    <w:p w14:paraId="7874DCCC" w14:textId="77777777" w:rsidR="000810AD" w:rsidRPr="00C07479" w:rsidRDefault="000810AD" w:rsidP="000810AD">
      <w:pPr>
        <w:pStyle w:val="NormalHanging12a"/>
        <w:rPr>
          <w:szCs w:val="24"/>
        </w:rPr>
      </w:pPr>
      <w:r w:rsidRPr="00C07479">
        <w:t>–</w:t>
      </w:r>
      <w:r w:rsidRPr="00C07479">
        <w:tab/>
        <w:t>având în vedere articolul 100 și anexa V la Regulamentul său de procedură,</w:t>
      </w:r>
    </w:p>
    <w:p w14:paraId="364786DB" w14:textId="77777777" w:rsidR="000810AD" w:rsidRPr="00C07479" w:rsidRDefault="000810AD" w:rsidP="000810AD">
      <w:pPr>
        <w:pStyle w:val="NormalHanging12a"/>
        <w:rPr>
          <w:szCs w:val="24"/>
        </w:rPr>
      </w:pPr>
      <w:r w:rsidRPr="00C07479">
        <w:t>–</w:t>
      </w:r>
      <w:r w:rsidRPr="00C07479">
        <w:tab/>
        <w:t>având în vedere scrisoarea transmisă de Comisia pentru afaceri constituționale,</w:t>
      </w:r>
    </w:p>
    <w:p w14:paraId="710D4610" w14:textId="77777777" w:rsidR="000810AD" w:rsidRPr="00C07479" w:rsidRDefault="000810AD" w:rsidP="000810AD">
      <w:pPr>
        <w:pStyle w:val="NormalHanging12a"/>
        <w:rPr>
          <w:szCs w:val="24"/>
        </w:rPr>
      </w:pPr>
      <w:r w:rsidRPr="00C07479">
        <w:t>–</w:t>
      </w:r>
      <w:r w:rsidRPr="00C07479">
        <w:tab/>
        <w:t>având în vedere raportul Comisiei pentru control bugetar (A9-0071/2024),</w:t>
      </w:r>
    </w:p>
    <w:p w14:paraId="2545D118" w14:textId="77777777" w:rsidR="000810AD" w:rsidRPr="00C07479" w:rsidRDefault="000810AD" w:rsidP="000810AD">
      <w:pPr>
        <w:pStyle w:val="NormalHanging12a"/>
        <w:rPr>
          <w:szCs w:val="24"/>
        </w:rPr>
      </w:pPr>
      <w:r w:rsidRPr="00C07479">
        <w:t>A.</w:t>
      </w:r>
      <w:r w:rsidRPr="00C07479">
        <w:tab/>
        <w:t>întrucât în contextul procedurii de descărcare de gestiune, autoritatea care acordă descărcarea de gestiune dorește să accentueze că este deosebit de important să se întărească și mai mult legitimitatea democratică a instituțiilor Uniunii prin creșterea transparenței și a responsabilității și prin aplicarea principiului întocmirii bugetului în funcție de performanțe și al bunei gestiuni a resurselor umane,</w:t>
      </w:r>
    </w:p>
    <w:p w14:paraId="0273542C" w14:textId="77777777" w:rsidR="000810AD" w:rsidRPr="00C07479" w:rsidRDefault="000810AD" w:rsidP="000810AD">
      <w:pPr>
        <w:pStyle w:val="NormalHanging12a"/>
        <w:rPr>
          <w:szCs w:val="24"/>
        </w:rPr>
      </w:pPr>
      <w:r w:rsidRPr="00C07479">
        <w:t>B.</w:t>
      </w:r>
      <w:r w:rsidRPr="00C07479">
        <w:tab/>
        <w:t>întrucât, conform articolului 319 din Tratatul privind funcționarea Uniunii Europene (TFUE), Parlamentului îi revine responsabilitatea exclusivă de a acorda descărcarea de gestiune pentru execuția bugetului general al Uniunii și întrucât bugetul Consiliului European și al Consiliului este o secțiune a bugetului Uniunii;</w:t>
      </w:r>
    </w:p>
    <w:p w14:paraId="1D70D648" w14:textId="77777777" w:rsidR="000810AD" w:rsidRPr="00C07479" w:rsidRDefault="000810AD" w:rsidP="000810AD">
      <w:pPr>
        <w:pStyle w:val="NormalHanging12a"/>
        <w:rPr>
          <w:szCs w:val="24"/>
        </w:rPr>
      </w:pPr>
      <w:r w:rsidRPr="00C07479">
        <w:t>C.</w:t>
      </w:r>
      <w:r w:rsidRPr="00C07479">
        <w:tab/>
        <w:t>întrucât, în conformitate cu articolul 15 alineatul (1) din Tratatul privind Uniunea Europeană (TUE), Consiliul European nu exercită funcții legislative,</w:t>
      </w:r>
    </w:p>
    <w:p w14:paraId="0CD947C7" w14:textId="77777777" w:rsidR="000810AD" w:rsidRPr="00C07479" w:rsidRDefault="000810AD" w:rsidP="000810AD">
      <w:pPr>
        <w:pStyle w:val="NormalHanging12a"/>
        <w:rPr>
          <w:szCs w:val="24"/>
        </w:rPr>
      </w:pPr>
      <w:r w:rsidRPr="00C07479">
        <w:t>D.</w:t>
      </w:r>
      <w:r w:rsidRPr="00C07479">
        <w:tab/>
        <w:t>întrucât, conform articolului 317 din TFUE, Comisia execută bugetul pe propria răspundere, ținând cont de principiile unei bune gestiuni financiare, și întrucât, potrivit cadrului în vigoare, Comisia conferă celorlalte instituții ale Uniunii competențele necesare execuției secțiunii din buget care le este destinată;</w:t>
      </w:r>
    </w:p>
    <w:p w14:paraId="06A34994" w14:textId="77777777" w:rsidR="000810AD" w:rsidRPr="00C07479" w:rsidRDefault="000810AD" w:rsidP="000810AD">
      <w:pPr>
        <w:pStyle w:val="NormalHanging12a"/>
        <w:rPr>
          <w:szCs w:val="24"/>
        </w:rPr>
      </w:pPr>
      <w:r w:rsidRPr="00C07479">
        <w:t>E.</w:t>
      </w:r>
      <w:r w:rsidRPr="00C07479">
        <w:tab/>
        <w:t>întrucât, conform articolului 235 alineatul (4) și articolului 240 alineatul (2) din TFUE, Consiliul European și Consiliul („Consiliul”) sunt asistate de Secretariatul General al Consiliului, și întrucât Secretara Generală a Consiliului este exclusiv responsabilă pentru buna gestiune a creditelor introduse în secțiunea II din bugetul Uniunii;</w:t>
      </w:r>
    </w:p>
    <w:p w14:paraId="414A73A7" w14:textId="77777777" w:rsidR="000810AD" w:rsidRPr="00C07479" w:rsidRDefault="000810AD" w:rsidP="000810AD">
      <w:pPr>
        <w:pStyle w:val="NormalHanging12a"/>
        <w:rPr>
          <w:szCs w:val="24"/>
        </w:rPr>
      </w:pPr>
      <w:r w:rsidRPr="00C07479">
        <w:t>F.</w:t>
      </w:r>
      <w:r w:rsidRPr="00C07479">
        <w:tab/>
        <w:t>întrucât pe parcursul a aproape douăzeci de ani, Parlamentul a aplicat practica respectată și consacrată de a acorda descărcarea de gestiune pentru toate instituțiile, organele, oficiile și agențiile Uniunii și întrucât Comisia susține ideea ca practica de a acorda descărcarea de gestiune fiecărei instituții, organ, birou și agenție a Uniunii pentru cheltuielile administrative efectuate să fie aplicată în continuare;</w:t>
      </w:r>
    </w:p>
    <w:p w14:paraId="6043B30B" w14:textId="77777777" w:rsidR="000810AD" w:rsidRPr="00C07479" w:rsidRDefault="000810AD" w:rsidP="000810AD">
      <w:pPr>
        <w:pStyle w:val="NormalHanging12a"/>
        <w:rPr>
          <w:szCs w:val="24"/>
        </w:rPr>
      </w:pPr>
      <w:r w:rsidRPr="00C07479">
        <w:t>G.</w:t>
      </w:r>
      <w:r w:rsidRPr="00C07479">
        <w:tab/>
        <w:t>întrucât, potrivit articolului 59 alineatul (1) din Regulamentul financiar, Comisia conferă celorlalte instituții ale Uniunii competențele necesare executării secțiunii din buget care le este destinată;</w:t>
      </w:r>
    </w:p>
    <w:p w14:paraId="2038A3FC" w14:textId="77777777" w:rsidR="000810AD" w:rsidRPr="00C07479" w:rsidRDefault="000810AD" w:rsidP="000810AD">
      <w:pPr>
        <w:pStyle w:val="NormalHanging12a"/>
        <w:rPr>
          <w:szCs w:val="24"/>
        </w:rPr>
      </w:pPr>
      <w:r w:rsidRPr="00C07479">
        <w:t>H.</w:t>
      </w:r>
      <w:r w:rsidRPr="00C07479">
        <w:tab/>
        <w:t xml:space="preserve">întrucât din 2009, lipsa de cooperare a Consiliului în cadrul procedurii de descărcare de </w:t>
      </w:r>
      <w:r w:rsidRPr="00C07479">
        <w:lastRenderedPageBreak/>
        <w:t>gestiune a obligat Parlamentul să refuze să acorde Secretarului General al Consiliului descărcarea de gestiune;</w:t>
      </w:r>
    </w:p>
    <w:p w14:paraId="37F7BF1B" w14:textId="77777777" w:rsidR="000810AD" w:rsidRPr="00C07479" w:rsidRDefault="000810AD" w:rsidP="000810AD">
      <w:pPr>
        <w:pStyle w:val="NormalHanging12a"/>
        <w:rPr>
          <w:szCs w:val="24"/>
        </w:rPr>
      </w:pPr>
      <w:r w:rsidRPr="00C07479">
        <w:t>I.</w:t>
      </w:r>
      <w:r w:rsidRPr="00C07479">
        <w:tab/>
        <w:t>întrucât Consiliul European și Consiliul, în calitate de instituții ale Uniunii și de beneficiari ai bugetului general al Uniunii, ar trebui să fie transparente și să poată fi trase la răspundere democratic de cetățenii Uniunii, fiind totodată supuse controlului democratic al modalității de cheltuire a fondurilor publice;</w:t>
      </w:r>
    </w:p>
    <w:p w14:paraId="366B505E" w14:textId="77777777" w:rsidR="000810AD" w:rsidRPr="00C07479" w:rsidRDefault="000810AD" w:rsidP="000810AD">
      <w:pPr>
        <w:pStyle w:val="NormalHanging12a"/>
        <w:rPr>
          <w:szCs w:val="24"/>
        </w:rPr>
      </w:pPr>
      <w:r w:rsidRPr="00C07479">
        <w:t>J.</w:t>
      </w:r>
      <w:r w:rsidRPr="00C07479">
        <w:tab/>
        <w:t>întrucât recomandarea Ombudsmanului European (în continuare „Ombudsmanul”) în ancheta strategică OI/2/2017/TE privind transparența procesului legislativ al Consiliului a indicat că practica Consiliului privind transparența procesului legislativ constituie administrație defectuoasă și ar trebui contracarată, pentru a le permite cetățenilor să urmărească procesul legislativ al Uniunii;</w:t>
      </w:r>
    </w:p>
    <w:p w14:paraId="4DF6ECA8" w14:textId="77777777" w:rsidR="000810AD" w:rsidRPr="00C07479" w:rsidRDefault="000810AD" w:rsidP="000810AD">
      <w:pPr>
        <w:pStyle w:val="NormalHanging12a"/>
        <w:rPr>
          <w:szCs w:val="24"/>
        </w:rPr>
      </w:pPr>
      <w:r w:rsidRPr="00C07479">
        <w:t xml:space="preserve">K. </w:t>
      </w:r>
      <w:r w:rsidRPr="00C07479">
        <w:tab/>
        <w:t>întrucât jurisprudența Curții de Justiție a Uniunii Europene confirmă dreptul contribuabililor și al publicului de a fi informați cu privire la utilizarea veniturilor publice și că în hotărârea sa din 25 ianuarie 2023 în cauza T-163/21</w:t>
      </w:r>
      <w:r w:rsidRPr="00C07479">
        <w:rPr>
          <w:rStyle w:val="FootnoteReference"/>
          <w:szCs w:val="24"/>
        </w:rPr>
        <w:footnoteReference w:id="6"/>
      </w:r>
      <w:r w:rsidRPr="00C07479">
        <w:t>, De Capitani/Consiliul, Tribunalul a afirmat, cu privire la transparența în cadrul procesului legislativ al Uniunii, că documentele elaborate de Consiliu în cadrul grupurilor sale de lucru nu sunt de natură tehnică, ci legislativă și, prin urmare, fac obiectul cererilor de acces la documente,</w:t>
      </w:r>
    </w:p>
    <w:p w14:paraId="14E1BFF3" w14:textId="77777777" w:rsidR="000810AD" w:rsidRPr="00C07479" w:rsidRDefault="000810AD" w:rsidP="000810AD">
      <w:pPr>
        <w:pStyle w:val="NormalHanging12a"/>
        <w:rPr>
          <w:szCs w:val="24"/>
        </w:rPr>
      </w:pPr>
      <w:r w:rsidRPr="00C07479">
        <w:t>1.</w:t>
      </w:r>
      <w:r w:rsidRPr="00C07479">
        <w:tab/>
        <w:t>observă că bugetul Consiliului se încadrează la rubrica 7 din CFM, „Administrație publică europeană”, care s-a ridicat la 11,6 miliarde EUR în 2022 (reprezentând 5,9 % din bugetul total al Uniunii); ia act de faptul că bugetul de aproximativ 0,6 miliarde EUR al Consiliului reprezintă aproximativ 5,3 % din cheltuielile administrative totale ale Uniunii;</w:t>
      </w:r>
    </w:p>
    <w:p w14:paraId="338D9BBA" w14:textId="77777777" w:rsidR="000810AD" w:rsidRPr="00C07479" w:rsidRDefault="000810AD" w:rsidP="000810AD">
      <w:pPr>
        <w:pStyle w:val="NormalHanging12a"/>
        <w:rPr>
          <w:szCs w:val="24"/>
        </w:rPr>
      </w:pPr>
      <w:r w:rsidRPr="00C07479">
        <w:t>2.</w:t>
      </w:r>
      <w:r w:rsidRPr="00C07479">
        <w:tab/>
        <w:t>constată că în Raportul său anual pentru exercițiul financiar 2022, Curtea de Conturi (denumită în continuare „Curtea”) a examinat un eșantion de 60 de operațiuni de la rubrica „Administrație”, același număr ca și în 2021; ia act și de constatarea Curții potrivit căreia cheltuielile administrative cuprind cheltuielile cu resursele umane, inclusiv cheltuielile cu pensiile, care în 2022 au reprezentat aproximativ 70 % din totalul cheltuielilor administrative, și cheltuielile cu clădirile, echipamentele, energia, comunicațiile și tehnologia informației, precum și că din activitatea desfășurată de-a lungul mai multor ani reiese că aceste cheltuieli prezintă un risc scăzut, în general;</w:t>
      </w:r>
    </w:p>
    <w:p w14:paraId="5A9C0F3A" w14:textId="77777777" w:rsidR="000810AD" w:rsidRPr="00C07479" w:rsidRDefault="000810AD" w:rsidP="000810AD">
      <w:pPr>
        <w:pStyle w:val="NormalHanging12a"/>
        <w:rPr>
          <w:szCs w:val="24"/>
        </w:rPr>
      </w:pPr>
      <w:r w:rsidRPr="00C07479">
        <w:t>3.</w:t>
      </w:r>
      <w:r w:rsidRPr="00C07479">
        <w:tab/>
        <w:t>constată că 14 (23 %) dintre cele 60 de operațiuni conțineau erori, dar că pe baza celor cinci erori cuantificate, Curtea estimează că nivelul de eroare se situează sub pragul de semnificație;</w:t>
      </w:r>
    </w:p>
    <w:p w14:paraId="30010A0D" w14:textId="77777777" w:rsidR="000810AD" w:rsidRPr="00C07479" w:rsidRDefault="000810AD" w:rsidP="000810AD">
      <w:pPr>
        <w:pStyle w:val="NormalHanging12a"/>
        <w:rPr>
          <w:szCs w:val="24"/>
        </w:rPr>
      </w:pPr>
      <w:r w:rsidRPr="00C07479">
        <w:t>4.</w:t>
      </w:r>
      <w:r w:rsidRPr="00C07479">
        <w:tab/>
        <w:t>remarcă cu satisfacție că în raportul său anual pentru exercițiul financiar 2022, Curtea menționează că nu a depistat probleme speciale referitoare la Consiliu;</w:t>
      </w:r>
    </w:p>
    <w:p w14:paraId="32EB505E" w14:textId="77777777" w:rsidR="000810AD" w:rsidRPr="00C07479" w:rsidRDefault="000810AD" w:rsidP="000810AD">
      <w:pPr>
        <w:pStyle w:val="NormalHanging12a"/>
        <w:rPr>
          <w:b/>
          <w:i/>
          <w:szCs w:val="24"/>
        </w:rPr>
      </w:pPr>
      <w:r w:rsidRPr="00C07479">
        <w:rPr>
          <w:b/>
          <w:i/>
        </w:rPr>
        <w:t>Situația procedurii de descărcare de gestiune</w:t>
      </w:r>
    </w:p>
    <w:p w14:paraId="0876F01B" w14:textId="77777777" w:rsidR="000810AD" w:rsidRPr="00C07479" w:rsidRDefault="000810AD" w:rsidP="000810AD">
      <w:pPr>
        <w:pStyle w:val="NormalHanging12a"/>
        <w:rPr>
          <w:szCs w:val="24"/>
        </w:rPr>
      </w:pPr>
      <w:r w:rsidRPr="00C07479">
        <w:t>5.</w:t>
      </w:r>
      <w:r w:rsidRPr="00C07479">
        <w:tab/>
        <w:t>regretă profund faptul că începând din 2009 și din nou pentru exercițiul financiar 2021, Parlamentul a fost nevoit să refuze Consiliului descărcarea de gestiune, deoarece Consiliul refuză în continuare să coopereze cu Parlamentul în cadrul procedurii de descărcare de gestiune, împiedicând Parlamentul să ia o decizie în cunoștință de cauză, bazată pe un control serios și amănunțit al execuției bugetului Consiliului;</w:t>
      </w:r>
    </w:p>
    <w:p w14:paraId="55E5FA00" w14:textId="77777777" w:rsidR="000810AD" w:rsidRPr="00C07479" w:rsidRDefault="000810AD" w:rsidP="000810AD">
      <w:pPr>
        <w:pStyle w:val="NormalHanging12a"/>
        <w:rPr>
          <w:szCs w:val="24"/>
        </w:rPr>
      </w:pPr>
      <w:r w:rsidRPr="00C07479">
        <w:t xml:space="preserve">6. </w:t>
      </w:r>
      <w:r w:rsidRPr="00C07479">
        <w:tab/>
        <w:t>remarcă faptul că la 28 septembrie 2023, serviciile competente ale Parlamentului au transmis Secretariatului Consiliului un chestionar conținând 74 de întrebări importante pentru Parlament, în numele raportorului pentru procedura de descărcare de gestiune, pentru a permite un control amănunțit al execuției bugetului Consiliului și al administrării acestei instituții; constată și că s-au trimis chestionare similare tuturor celorlalte instituții, care au oferit Parlamentului răspunsuri detaliate la toate întrebările;</w:t>
      </w:r>
    </w:p>
    <w:p w14:paraId="72B4A2B2" w14:textId="77777777" w:rsidR="000810AD" w:rsidRPr="00C07479" w:rsidRDefault="000810AD" w:rsidP="000810AD">
      <w:pPr>
        <w:pStyle w:val="NormalHanging12a"/>
        <w:rPr>
          <w:szCs w:val="24"/>
        </w:rPr>
      </w:pPr>
      <w:r w:rsidRPr="00C07479">
        <w:t xml:space="preserve">7. </w:t>
      </w:r>
      <w:r w:rsidRPr="00C07479">
        <w:tab/>
        <w:t>regretă faptul că la 12 octombrie 2023 Secretariatul General al Consiliului a informat din nou Parlamentul că nu va răspunde la chestionarul acestuia și că nu va participa la audierea care a fost programată pentru 25 octombrie 2023 ca parte a procesului de descărcare de gestiune, la care au participat toate celelalte instituții invitate;</w:t>
      </w:r>
    </w:p>
    <w:p w14:paraId="16D2788F" w14:textId="77777777" w:rsidR="000810AD" w:rsidRPr="00C07479" w:rsidRDefault="000810AD" w:rsidP="000810AD">
      <w:pPr>
        <w:pStyle w:val="NormalHanging12a"/>
        <w:rPr>
          <w:szCs w:val="24"/>
        </w:rPr>
      </w:pPr>
      <w:r w:rsidRPr="00C07479">
        <w:t>8.</w:t>
      </w:r>
      <w:r w:rsidRPr="00C07479">
        <w:tab/>
        <w:t>reliefează prerogativa Parlamentului de a acorda descărcarea de gestiune în temeiul articolului 319 din TFUE, precum și în temeiul dispozițiilor aplicabile din Regulamentul financiar și Regulamentul de procedură al Parlamentului European, în conformitate cu interpretarea și practica actuală, și anume competența de a acorda descărcarea de gestiune cu scopul de a menține transparența și de a garanta răspunderea democratică față de contribuabilii Uniunii;</w:t>
      </w:r>
    </w:p>
    <w:p w14:paraId="2367BD06" w14:textId="77777777" w:rsidR="000810AD" w:rsidRPr="00C07479" w:rsidRDefault="000810AD" w:rsidP="000810AD">
      <w:pPr>
        <w:pStyle w:val="NormalHanging12a"/>
        <w:rPr>
          <w:szCs w:val="24"/>
        </w:rPr>
      </w:pPr>
      <w:r w:rsidRPr="00C07479">
        <w:t>9.</w:t>
      </w:r>
      <w:r w:rsidRPr="00C07479">
        <w:tab/>
        <w:t>subliniază că articolul 59 alineatul (1) din Regulamentul financiar prevede că Comisia conferă celorlalte instituții ale Uniunii competențele necesare pentru execuția secțiunilor din buget care le privesc și, prin urmare, este de părere că este de neînțeles faptul că Consiliul consideră că este oportun să se acorde Comisiei descărcarea de gestiune pentru execuția bugetului Consiliului;</w:t>
      </w:r>
    </w:p>
    <w:p w14:paraId="5DCB560F" w14:textId="77777777" w:rsidR="000810AD" w:rsidRPr="00C07479" w:rsidRDefault="000810AD" w:rsidP="000810AD">
      <w:pPr>
        <w:pStyle w:val="NormalHanging12a"/>
        <w:rPr>
          <w:szCs w:val="24"/>
        </w:rPr>
      </w:pPr>
      <w:r w:rsidRPr="00C07479">
        <w:t>10.</w:t>
      </w:r>
      <w:r w:rsidRPr="00C07479">
        <w:tab/>
        <w:t>pune în evidență practica respectată și consacrată aplicată de Parlament pe parcursul a aproape douăzeci de ani în care a acordat descărcarea de gestiune pentru toate instituțiile, organele, oficiile și agențiile Uniunii; reamintește că Comisia a declarat că nu poate supraveghea execuția bugetelor celorlalte instituții ale Uniunii; reliefează opinia reiterată a Comisiei că practica de a acorda descărcarea de gestiune fiecărei instituții a Uniunii pentru propriile cheltuieli administrative ar trebui aplicată și pe viitor de Parlament;</w:t>
      </w:r>
    </w:p>
    <w:p w14:paraId="5CB17735" w14:textId="77777777" w:rsidR="000810AD" w:rsidRPr="00C07479" w:rsidRDefault="000810AD" w:rsidP="000810AD">
      <w:pPr>
        <w:pStyle w:val="NormalHanging12a"/>
        <w:rPr>
          <w:szCs w:val="24"/>
        </w:rPr>
      </w:pPr>
      <w:r w:rsidRPr="00C07479">
        <w:t>11.</w:t>
      </w:r>
      <w:r w:rsidRPr="00C07479">
        <w:tab/>
        <w:t>accentuează că în situația actuală Parlamentul poate să verifice numai rapoartele Curții și ale Ombudsmanului, precum și informațiile publice de pe site-ul Consiliului, deoarece Consiliul își continuă reaua practică de a nu coopera cu Parlamentul, ceea ce face ca Parlamentului să îi fie imposibil să își îndeplinească corect atribuțiile și să ia o decizie în cunoștință de cauză cu privire la acordarea descărcării de gestiune;</w:t>
      </w:r>
    </w:p>
    <w:p w14:paraId="1F370C77" w14:textId="77777777" w:rsidR="000810AD" w:rsidRPr="00C07479" w:rsidRDefault="000810AD" w:rsidP="000810AD">
      <w:pPr>
        <w:pStyle w:val="NormalHanging12a"/>
        <w:rPr>
          <w:szCs w:val="24"/>
        </w:rPr>
      </w:pPr>
      <w:r w:rsidRPr="00C07479">
        <w:t>12.</w:t>
      </w:r>
      <w:r w:rsidRPr="00C07479">
        <w:tab/>
        <w:t>regretă că timp de peste un deceniu Consiliul a arătat că nu are niciun fel de voință politică de a colabora cu Parlamentul în contextul procedurii anuale de descărcare de gestiune; subliniază că această atitudine a avut un efect negativ de durată asupra ambelor instituții, a discreditat gestiunea și controlul democratic al bugetului Uniunii și a afectat încrederea cetățenilor în Uniune ca entitate transparentă;</w:t>
      </w:r>
    </w:p>
    <w:p w14:paraId="1DE5ED66" w14:textId="77777777" w:rsidR="000810AD" w:rsidRPr="00C07479" w:rsidRDefault="000810AD" w:rsidP="000810AD">
      <w:pPr>
        <w:pStyle w:val="NormalHanging12a"/>
        <w:rPr>
          <w:szCs w:val="24"/>
        </w:rPr>
      </w:pPr>
      <w:r w:rsidRPr="00C07479">
        <w:t>13.</w:t>
      </w:r>
      <w:r w:rsidRPr="00C07479">
        <w:tab/>
        <w:t>reamintește că jurisprudența Curții de Justiție a Uniunii Europene susține dreptul contribuabililor și al publicului de a fi informați cu privire la utilizarea veniturilor publice; cere deci să se respecte pe deplin prerogativa și rolul Parlamentului ca garant al principiului responsabilității democratice; invită Consiliul să respecte așa cum se cuvine recomandările adoptate de Parlament în contextul procedurii de descărcare de gestiune;</w:t>
      </w:r>
    </w:p>
    <w:p w14:paraId="18D1366D" w14:textId="77777777" w:rsidR="000810AD" w:rsidRPr="00C07479" w:rsidRDefault="000810AD" w:rsidP="000810AD">
      <w:pPr>
        <w:pStyle w:val="NormalHanging12a"/>
        <w:rPr>
          <w:szCs w:val="24"/>
        </w:rPr>
      </w:pPr>
      <w:r w:rsidRPr="00C07479">
        <w:t>14.</w:t>
      </w:r>
      <w:r w:rsidRPr="00C07479">
        <w:tab/>
        <w:t>invită Consiliul să reia cât mai curând posibil negocierile cu Parlamentul la cel mai înalt nivel, la care să participe secretarii generali și președinții ambelor instituții, pentru a depăși impasul și a găsi o soluție, respectând în același timp rolul Parlamentului și al Consiliului în procedura de descărcare de gestiune, garantând transparența și asigurând controlul democratic corect al execuției bugetare;</w:t>
      </w:r>
    </w:p>
    <w:p w14:paraId="2D21BB4E" w14:textId="77777777" w:rsidR="000810AD" w:rsidRPr="00C07479" w:rsidRDefault="000810AD" w:rsidP="000810AD">
      <w:pPr>
        <w:pStyle w:val="NormalHanging12a"/>
        <w:rPr>
          <w:szCs w:val="24"/>
        </w:rPr>
      </w:pPr>
      <w:r w:rsidRPr="00C07479">
        <w:t>15.</w:t>
      </w:r>
      <w:r w:rsidRPr="00C07479">
        <w:tab/>
        <w:t>subliniază că, deși situația actuală trebuie îmbunătățită printr-o mai bună cooperare interinstituțională în cadrul tratatelor, revizuirea tratatelor ar putea face procedura de descărcare de gestiune mai clară și mai transparentă, atribuind Parlamentului competența explicită de a acorda descărcarea de gestiune tuturor instituțiilor, organelor, oficiilor și agențiilor Uniunii în mod individual; subliniază însă că în așteptarea unei astfel de revizuiri situația actuală trebuie îmbunătățită printr-o mai bună cooperare interinstituțională în cadrul actual al tratatelor și invită insistent Consiliul să colaboreze activ cu Parlamentul pentru a găsi soluții la situația actuală;</w:t>
      </w:r>
    </w:p>
    <w:p w14:paraId="021B72A9" w14:textId="6794FE31" w:rsidR="000810AD" w:rsidRPr="00C07479" w:rsidRDefault="000810AD" w:rsidP="000810AD">
      <w:pPr>
        <w:pStyle w:val="NormalHanging12a"/>
      </w:pPr>
      <w:r w:rsidRPr="00C07479">
        <w:t>16.</w:t>
      </w:r>
      <w:r w:rsidRPr="00C07479">
        <w:tab/>
        <w:t>observă că, deși Consiliul nu este dispus să coopereze în cadrul procedurii de descărcare de gestiune, Parlamentul accentuează totuși unele priorități politice și prezintă în acest raport unele observații privind gestiunea bugetară și financiară a Consiliului și alte observații relevante pentru procedura de descărcare de gestiune;</w:t>
      </w:r>
    </w:p>
    <w:p w14:paraId="59E8831A" w14:textId="533888AE" w:rsidR="00CC78AA" w:rsidRPr="00C07479" w:rsidRDefault="00CC78AA" w:rsidP="000810AD">
      <w:pPr>
        <w:pStyle w:val="NormalHanging12a"/>
        <w:rPr>
          <w:szCs w:val="24"/>
        </w:rPr>
      </w:pPr>
      <w:r w:rsidRPr="00C07479">
        <w:rPr>
          <w:szCs w:val="24"/>
        </w:rPr>
        <w:t>17.</w:t>
      </w:r>
      <w:r w:rsidRPr="00C07479">
        <w:rPr>
          <w:szCs w:val="24"/>
        </w:rPr>
        <w:tab/>
        <w:t xml:space="preserve">reamintește că, de când Rusia </w:t>
      </w:r>
      <w:r w:rsidR="00E14E4B" w:rsidRPr="00C07479">
        <w:rPr>
          <w:szCs w:val="24"/>
        </w:rPr>
        <w:t>a inițiat</w:t>
      </w:r>
      <w:r w:rsidRPr="00C07479">
        <w:rPr>
          <w:szCs w:val="24"/>
        </w:rPr>
        <w:t xml:space="preserve"> un război de agresiune ilegal, neprovocat și nejustificat la scară largă împotriva Ucrainei, la 24 februarie 2022, U</w:t>
      </w:r>
      <w:r w:rsidR="00E14E4B" w:rsidRPr="00C07479">
        <w:rPr>
          <w:szCs w:val="24"/>
        </w:rPr>
        <w:t>niunea</w:t>
      </w:r>
      <w:r w:rsidRPr="00C07479">
        <w:rPr>
          <w:szCs w:val="24"/>
        </w:rPr>
        <w:t xml:space="preserve"> și statele sale membre s-au angajat să acorde asistență Ucrainei și poporului său; reamintește inițiativa privind muniția, care a urmărit inițial să furnizeze Ucrainei </w:t>
      </w:r>
      <w:r w:rsidR="00E14E4B" w:rsidRPr="00C07479">
        <w:rPr>
          <w:szCs w:val="24"/>
        </w:rPr>
        <w:t>un</w:t>
      </w:r>
      <w:r w:rsidRPr="00C07479">
        <w:rPr>
          <w:szCs w:val="24"/>
        </w:rPr>
        <w:t xml:space="preserve"> milion de obuze de 155 mm până în martie 2024, dar a livrat doar aproximativ jumătate din această cantitate până la data respectivă; îndeamnă Comisia și statele membre să accelereze în mod semnificativ, fără întârziere, fabricarea, achiziționarea și livrarea muniției către Ucraina; subliniază că guvernul ucrainean a solicitat aliaților</w:t>
      </w:r>
      <w:r w:rsidR="00E14E4B" w:rsidRPr="00C07479">
        <w:rPr>
          <w:szCs w:val="24"/>
        </w:rPr>
        <w:t xml:space="preserve"> săi</w:t>
      </w:r>
      <w:r w:rsidRPr="00C07479">
        <w:rPr>
          <w:szCs w:val="24"/>
        </w:rPr>
        <w:t xml:space="preserve"> europeni să furnizeze </w:t>
      </w:r>
      <w:r w:rsidR="00E14E4B" w:rsidRPr="00C07479">
        <w:rPr>
          <w:szCs w:val="24"/>
        </w:rPr>
        <w:t xml:space="preserve">Ucrainei </w:t>
      </w:r>
      <w:r w:rsidRPr="00C07479">
        <w:rPr>
          <w:szCs w:val="24"/>
        </w:rPr>
        <w:t>7 din cele aproximativ 30 de sisteme antirachetă Patriot disponibile în statele membre pentru a proteja în mod mai adecvat infrastructura civilă împotriva agresiunii Rusiei; regretă că, până în prezent, un singur stat membru s-a angajat să instituie un sistem suplimentar și îndeamnă Consiliul European să accelereze procesul decizional și să aloce resurse pentru a furniza Ucrainei capabilitățile necesare de apărare aeriană; subliniază că Parlamentul nu va acorda descărcarea de gestiune Consiliului pentru nepunerea în aplicare a recomandărilor Parlamentului și atât timp cât sprijinul necesar pentru Ucraina nu este înscris în buget în mod adecvat;  își reafirmă solidaritatea cu Ucraina și subliniază importanța unor acțiuni decisive ale liderilor europeni pentru a răspunde nevoilor urgente în materie de securitate ale partenerilor noștri ucraineni;</w:t>
      </w:r>
    </w:p>
    <w:p w14:paraId="720A7045" w14:textId="77777777" w:rsidR="000810AD" w:rsidRPr="00C07479" w:rsidRDefault="000810AD" w:rsidP="000810AD">
      <w:pPr>
        <w:pStyle w:val="NormalHanging12a"/>
        <w:ind w:left="0" w:firstLine="0"/>
        <w:rPr>
          <w:b/>
          <w:i/>
          <w:szCs w:val="24"/>
        </w:rPr>
      </w:pPr>
      <w:r w:rsidRPr="00C07479">
        <w:rPr>
          <w:b/>
          <w:i/>
        </w:rPr>
        <w:t>Priorități politice</w:t>
      </w:r>
    </w:p>
    <w:p w14:paraId="1581EDB9" w14:textId="5A4B686E" w:rsidR="000810AD" w:rsidRPr="00C07479" w:rsidRDefault="00DA7EC0" w:rsidP="000810AD">
      <w:pPr>
        <w:pStyle w:val="NormalHanging12a"/>
        <w:rPr>
          <w:szCs w:val="24"/>
        </w:rPr>
      </w:pPr>
      <w:r w:rsidRPr="00C07479">
        <w:t>18</w:t>
      </w:r>
      <w:r w:rsidR="000810AD" w:rsidRPr="00C07479">
        <w:t>.</w:t>
      </w:r>
      <w:r w:rsidR="000810AD" w:rsidRPr="00C07479">
        <w:tab/>
        <w:t>regretă că Consiliul își exercită prerogativele în procedurile de nominalizare și numire în cadrul a numeroase instituții, organe, oficii și agenții ale Uniunii fără a ține seama de opiniile părților interesate sau de recomandările Oficiului European de Luptă Antifraudă (OLAF);</w:t>
      </w:r>
    </w:p>
    <w:p w14:paraId="348996EB" w14:textId="19F21E41" w:rsidR="000810AD" w:rsidRPr="00C07479" w:rsidRDefault="00DA7EC0" w:rsidP="000810AD">
      <w:pPr>
        <w:pStyle w:val="NormalHanging12a"/>
        <w:rPr>
          <w:szCs w:val="24"/>
        </w:rPr>
      </w:pPr>
      <w:r w:rsidRPr="00C07479">
        <w:t>19</w:t>
      </w:r>
      <w:r w:rsidR="000810AD" w:rsidRPr="00C07479">
        <w:t xml:space="preserve">. </w:t>
      </w:r>
      <w:r w:rsidR="000810AD" w:rsidRPr="00C07479">
        <w:tab/>
        <w:t>subliniază că tradiția Consiliului de a nu pune sub semnul întrebării numirile pe care fiecare stat membru le face în majoritatea posturilor înseamnă că calificările profesionale ale candidaților nu sunt verificate temeinic; insistă așadar asupra ideii că trebuie revizuită prerogativa Consiliului în vederea garantării și consolidării participării instituțiilor, organelor, oficiilor și agențiilor în cauză și a creșterii legitimității celor numiți; sugerează că o posibilitate de a se asigura că candidații au calificările necesare ar fi înființarea unor jurii independente de experți care să efectueze verificări;</w:t>
      </w:r>
    </w:p>
    <w:p w14:paraId="1D6F7E81" w14:textId="787F525E" w:rsidR="000810AD" w:rsidRPr="00C07479" w:rsidRDefault="00DA7EC0" w:rsidP="000810AD">
      <w:pPr>
        <w:pStyle w:val="NormalHanging12a"/>
        <w:rPr>
          <w:szCs w:val="24"/>
        </w:rPr>
      </w:pPr>
      <w:r w:rsidRPr="00C07479">
        <w:t>20</w:t>
      </w:r>
      <w:r w:rsidR="000810AD" w:rsidRPr="00C07479">
        <w:t>.</w:t>
      </w:r>
      <w:r w:rsidR="000810AD" w:rsidRPr="00C07479">
        <w:tab/>
        <w:t>reamintește că, în conformitate cu articolul 286 alineatul (2) din TFUE, Consiliul numește membrii Curții după consultarea Parlamentului; regretă că, în mod repetat, Consiliul nu a luat în considerare recomandările Parlamentului în rolul său consultativ în ceea ce privește numirea membrilor Curții;</w:t>
      </w:r>
    </w:p>
    <w:p w14:paraId="5954D921" w14:textId="4787C72D" w:rsidR="000810AD" w:rsidRPr="00C07479" w:rsidRDefault="00DA7EC0" w:rsidP="000810AD">
      <w:pPr>
        <w:pStyle w:val="NormalHanging12a"/>
        <w:rPr>
          <w:szCs w:val="24"/>
        </w:rPr>
      </w:pPr>
      <w:r w:rsidRPr="00C07479">
        <w:t>21</w:t>
      </w:r>
      <w:r w:rsidR="000810AD" w:rsidRPr="00C07479">
        <w:t>.</w:t>
      </w:r>
      <w:r w:rsidR="000810AD" w:rsidRPr="00C07479">
        <w:tab/>
        <w:t>evidențiază dezechilibrul de gen grav din cadrul Curții, care număra, la sfârșitul lui 2022 doar 9 membre față de 17 membri; observă dificultățile întâmpinate de Curte în atingerea echilibrului de gen din cauza actualei proceduri de numire; reiterează apelul adresat Consiliului de a reexamina procedura de numire pentru a soluționa această problemă prin acțiuni concrete, cum ar fi impunerea obligației ca statele membre să nominalizeze cel puțin doi candidați de genuri diferite pentru fiecare post vacant;</w:t>
      </w:r>
    </w:p>
    <w:p w14:paraId="271A9EA8" w14:textId="3EF0D9E5" w:rsidR="000810AD" w:rsidRPr="00C07479" w:rsidRDefault="00DA7EC0" w:rsidP="000810AD">
      <w:pPr>
        <w:pStyle w:val="NormalHanging12a"/>
        <w:rPr>
          <w:szCs w:val="24"/>
        </w:rPr>
      </w:pPr>
      <w:r w:rsidRPr="00C07479">
        <w:t>22</w:t>
      </w:r>
      <w:r w:rsidR="000810AD" w:rsidRPr="00C07479">
        <w:t>.</w:t>
      </w:r>
      <w:r w:rsidR="000810AD" w:rsidRPr="00C07479">
        <w:tab/>
        <w:t>regretă că Consiliul a ignorat până în prezent Rezoluția Parlamentului din 17 decembrie 2020 referitoare la necesitatea unei formațiuni a Consiliului dedicate egalității de gen</w:t>
      </w:r>
      <w:r w:rsidR="000810AD" w:rsidRPr="00C07479">
        <w:rPr>
          <w:rStyle w:val="FootnoteReference"/>
          <w:szCs w:val="24"/>
        </w:rPr>
        <w:footnoteReference w:id="7"/>
      </w:r>
      <w:r w:rsidR="000810AD" w:rsidRPr="00C07479">
        <w:t xml:space="preserve"> și insistă asupra faptului că un forum instituțional consacrat acestei chestiuni ar asigura o integrare mai mare a egalității de gen în politicile și strategiile Uniunii, precum și coordonare și progrese esențiale în principalele dosare referitoare la egalitatea de gen;</w:t>
      </w:r>
    </w:p>
    <w:p w14:paraId="43455A70" w14:textId="38E40A26" w:rsidR="000810AD" w:rsidRPr="00C07479" w:rsidRDefault="00DA7EC0" w:rsidP="000810AD">
      <w:pPr>
        <w:pStyle w:val="NormalHanging12a"/>
        <w:rPr>
          <w:szCs w:val="24"/>
        </w:rPr>
      </w:pPr>
      <w:r w:rsidRPr="00C07479">
        <w:t>23</w:t>
      </w:r>
      <w:r w:rsidR="000810AD" w:rsidRPr="00C07479">
        <w:t>.</w:t>
      </w:r>
      <w:r w:rsidR="000810AD" w:rsidRPr="00C07479">
        <w:tab/>
        <w:t>regretă că procesul decizional din cadrul Consiliului este încă departe de a fi pe deplin transparent, ceea ce afectează încrederea cetățenilor în Uniune ca entitate transparentă și pune astfel în pericol reputația Uniunii în ansamblu; reamintește și susține recomandările Ombudsmanului privind transparența procesului legislativ al Consiliului formulate în cadrul anchetei strategice OI/2/2017/TE; invită insistent Consiliul să ia toate măsurile necesare pentru a pune în aplicare recomandările Ombudsmanului și hotărârile relevante ale Curții de Justiție a Uniunii Europene, fără întârzieri nejustificate; reamintește că în hotărârea în cauza T-163/21, De Capitani/Consiliul, Tribunalul a subliniat că este nevoie de mai multă transparență legislativă din partea Consiliului pentru a asigura accesul la documentele legislative, lucru ce corespunde pur și simplu obligației Consiliului de a se supune controlului public și de a-și asuma răspunderea de colegiuitor și reprezintă temeiul oricărei legitimități democratice;</w:t>
      </w:r>
    </w:p>
    <w:p w14:paraId="56AB587F" w14:textId="1F66131F" w:rsidR="000810AD" w:rsidRPr="00C07479" w:rsidRDefault="00DA7EC0" w:rsidP="000810AD">
      <w:pPr>
        <w:pStyle w:val="NormalHanging12a"/>
        <w:rPr>
          <w:szCs w:val="24"/>
        </w:rPr>
      </w:pPr>
      <w:r w:rsidRPr="00C07479">
        <w:t>24</w:t>
      </w:r>
      <w:r w:rsidR="000810AD" w:rsidRPr="00C07479">
        <w:t xml:space="preserve">. </w:t>
      </w:r>
      <w:r w:rsidR="000810AD" w:rsidRPr="00C07479">
        <w:tab/>
        <w:t>își exprimă îngrijorarea profundă cu privire la rolul tot mai important al Consiliului European în dosarele legislative, în pofida faptului că nu are nici funcție legislativă, nici executivă și nu aplică standardele de transparență aplicate de Consiliu, ceea ce înseamnă că nu poate fi tras la răspundere;</w:t>
      </w:r>
    </w:p>
    <w:p w14:paraId="066EE9DD" w14:textId="29F85265" w:rsidR="000810AD" w:rsidRPr="00C07479" w:rsidRDefault="00DA7EC0" w:rsidP="000810AD">
      <w:pPr>
        <w:pStyle w:val="NormalHanging12a"/>
        <w:rPr>
          <w:szCs w:val="24"/>
        </w:rPr>
      </w:pPr>
      <w:r w:rsidRPr="00C07479">
        <w:t>25</w:t>
      </w:r>
      <w:r w:rsidR="000810AD" w:rsidRPr="00C07479">
        <w:t>.</w:t>
      </w:r>
      <w:r w:rsidR="000810AD" w:rsidRPr="00C07479">
        <w:tab/>
        <w:t>consideră că recurgerea la procedura de vot în unanimitate în cadrul Consiliului în anumite domenii de politică afectează procesul decizional al Uniunii și, așadar, îl face predispus la șantaj din partea statelor membre, în special a celor care nu respectă statul de drept; invită Consiliul să aplice procedurile de vot cu majoritate calificată ori de câte ori acest lucru este prevăzut de tratate; constată că trecerea la o procedură de vot cu majoritate calificată în Consiliu poate reprezenta o cale către o elaborare mai eficientă a politicilor;</w:t>
      </w:r>
    </w:p>
    <w:p w14:paraId="680E8213" w14:textId="367DC721" w:rsidR="000810AD" w:rsidRPr="00C07479" w:rsidRDefault="00DA7EC0" w:rsidP="000810AD">
      <w:pPr>
        <w:pStyle w:val="NormalHanging12a"/>
        <w:rPr>
          <w:szCs w:val="24"/>
        </w:rPr>
      </w:pPr>
      <w:r w:rsidRPr="00C07479">
        <w:t>26</w:t>
      </w:r>
      <w:r w:rsidR="000810AD" w:rsidRPr="00C07479">
        <w:t>.</w:t>
      </w:r>
      <w:r w:rsidR="000810AD" w:rsidRPr="00C07479">
        <w:tab/>
        <w:t>regretă faptul că participarea reprezentanților permanenți ai statelor membre la registrul de transparență obligatoriu, instituit prin Acordul interinstituțional din 20 mai 2021 dintre Parlamentul European, Consiliul Uniunii Europene și Comisia Europeană privind un registru de transparență obligatoriu</w:t>
      </w:r>
      <w:r w:rsidR="000810AD" w:rsidRPr="00C07479">
        <w:rPr>
          <w:szCs w:val="24"/>
          <w:vertAlign w:val="superscript"/>
        </w:rPr>
        <w:footnoteReference w:id="8"/>
      </w:r>
      <w:r w:rsidR="000810AD" w:rsidRPr="00C07479">
        <w:t>, este total voluntară și insistă ca toate reprezentanțele permanente să participe activ la registrul de transparență obligatoriu înainte, în timpul și după președinția Consiliului pe care o deține statul lor membru; consideră că normele etice existente privind conflictele de interese, practica „ușilor turnante” și transparența activităților de lobby ar trebui consolidate și armonizate și că reprezentanților statelor membre care beneficiază direct de subvenții din partea Uniunii prin intermediul întreprinderilor pe care le dețin nu ar trebui să li se permită să participe la discuțiile și voturile politice sau bugetare legate de aceste subvenții;</w:t>
      </w:r>
    </w:p>
    <w:p w14:paraId="0FA0F4FD" w14:textId="124D200C" w:rsidR="000810AD" w:rsidRPr="00C07479" w:rsidRDefault="00DA7EC0" w:rsidP="000810AD">
      <w:pPr>
        <w:pStyle w:val="NormalHanging12a"/>
        <w:rPr>
          <w:szCs w:val="24"/>
        </w:rPr>
      </w:pPr>
      <w:r w:rsidRPr="00C07479">
        <w:t>27</w:t>
      </w:r>
      <w:r w:rsidR="000810AD" w:rsidRPr="00C07479">
        <w:t>.</w:t>
      </w:r>
      <w:r w:rsidR="000810AD" w:rsidRPr="00C07479">
        <w:tab/>
        <w:t>regretă că Consiliul nu utilizează pe deplin registrul de transparență obligatoriu dincolo de limitările sale actuale, respingând orice recomandare de îmbunătățire; își reiterează apelul adresat Consiliului de a refuza să se întâlnească cu lobbyiști neînregistrați;</w:t>
      </w:r>
    </w:p>
    <w:p w14:paraId="2CE33879" w14:textId="33D324C8" w:rsidR="000810AD" w:rsidRPr="00C07479" w:rsidRDefault="00DA7EC0" w:rsidP="000810AD">
      <w:pPr>
        <w:pStyle w:val="NormalHanging12a"/>
        <w:rPr>
          <w:szCs w:val="24"/>
        </w:rPr>
      </w:pPr>
      <w:r w:rsidRPr="00C07479">
        <w:t>28</w:t>
      </w:r>
      <w:r w:rsidR="000810AD" w:rsidRPr="00C07479">
        <w:t>.</w:t>
      </w:r>
      <w:r w:rsidR="000810AD" w:rsidRPr="00C07479">
        <w:tab/>
        <w:t>în concordanță cu concluziile atelierului organizat de Comisia pentru control bugetar a Parlamentului la 27 iunie 2023, invită președințiile prin rotație ale Consiliului să nu mai utilizeze sponsorizarea corporațiilor pentru a contribui la acoperirea cheltuielilor; înțelege că resursele financiare din bugetele naționale variază semnificativ de la un stat membru la altul și că fiecare stat membru, indiferent de dimensiunea sa și de bugetul disponibil, ar trebui să aibă șanse egale de a organiza o președinție reușită a Consiliului, dar consideră că acceptarea sponsorizării din partea agenților economici cauzează prejudicii reputației, deoarece riscă să creeze conflicte de interese; își reiterează apelul adresat Consiliului să prevadă pentru președințiile Consiliului un buget care să asigure standarde adecvate și uniforme de eficiență și eficacitate a activității în Consiliu în general; în acest sens, este dezamăgit de orientările fără caracter obligatoriu emise de Consiliu cu privire la sponsorizarea din partea corporațiilor;</w:t>
      </w:r>
    </w:p>
    <w:p w14:paraId="23FA3407" w14:textId="4636DDE1" w:rsidR="000810AD" w:rsidRPr="00C07479" w:rsidRDefault="00DA7EC0" w:rsidP="000810AD">
      <w:pPr>
        <w:pStyle w:val="NormalHanging12a"/>
        <w:rPr>
          <w:szCs w:val="24"/>
        </w:rPr>
      </w:pPr>
      <w:r w:rsidRPr="00C07479">
        <w:t>29</w:t>
      </w:r>
      <w:r w:rsidR="000810AD" w:rsidRPr="00C07479">
        <w:t>.</w:t>
      </w:r>
      <w:r w:rsidR="000810AD" w:rsidRPr="00C07479">
        <w:tab/>
        <w:t>regretă că, în ciuda mai multor solicitări ale Parlamentului, Codul de conduită al Președintelui Consiliului European nu a fost aliniat cu cel al Parlamentului și al Comisiei, în special în ceea ce privește activitățile care trebuie aprobate după ce acesta părăsește postul;</w:t>
      </w:r>
    </w:p>
    <w:p w14:paraId="50AAC19D" w14:textId="41EAD6AE" w:rsidR="000810AD" w:rsidRPr="00C07479" w:rsidRDefault="00DA7EC0" w:rsidP="000810AD">
      <w:pPr>
        <w:pStyle w:val="NormalHanging12a"/>
        <w:rPr>
          <w:szCs w:val="24"/>
        </w:rPr>
      </w:pPr>
      <w:r w:rsidRPr="00C07479">
        <w:t>30</w:t>
      </w:r>
      <w:r w:rsidR="000810AD" w:rsidRPr="00C07479">
        <w:t>.</w:t>
      </w:r>
      <w:r w:rsidR="000810AD" w:rsidRPr="00C07479">
        <w:tab/>
        <w:t>afirmă din nou că Decizia (UE) 2023/2061 a Consiliului European din 22 septembrie 2023 de stabilire a componenței Parlamentului European</w:t>
      </w:r>
      <w:r w:rsidR="000810AD" w:rsidRPr="00C07479">
        <w:rPr>
          <w:rStyle w:val="FootnoteReference"/>
          <w:szCs w:val="24"/>
        </w:rPr>
        <w:footnoteReference w:id="9"/>
      </w:r>
      <w:r w:rsidR="000810AD" w:rsidRPr="00C07479">
        <w:t xml:space="preserve"> nu aduce atingere prerogativelor Parlamentului și ale Consiliului în cadrul procedurii bugetare anuale, iar considerentul 5 din decizia respectivă se referă la aspecte care nu intră în sfera de competență a Consiliului European în temeiul articolului 15 alineatul (1) din TUE, nici în sfera de aplicare a temeiului juridic al Deciziei de stabilire a componenței Parlamentului European, în conformitate cu articolul 14 alineatul (2) din TUE; insistă asupra ideii că ține numai de competența Parlamentului și a Consiliului să decidă conținutul bugetului Uniunii, în conformitate cu procedura prevăzută la articolul 314 din TFUE;</w:t>
      </w:r>
    </w:p>
    <w:p w14:paraId="41D29268" w14:textId="77777777" w:rsidR="000810AD" w:rsidRPr="00C07479" w:rsidRDefault="000810AD" w:rsidP="000810AD">
      <w:pPr>
        <w:pStyle w:val="NormalHanging12a"/>
        <w:rPr>
          <w:b/>
          <w:i/>
          <w:szCs w:val="24"/>
        </w:rPr>
      </w:pPr>
      <w:r w:rsidRPr="00C07479">
        <w:rPr>
          <w:b/>
          <w:i/>
        </w:rPr>
        <w:t>Gestiunea bugetară și financiară</w:t>
      </w:r>
    </w:p>
    <w:p w14:paraId="4647689D" w14:textId="693AB829" w:rsidR="000810AD" w:rsidRPr="00C07479" w:rsidRDefault="00DA7EC0" w:rsidP="000810AD">
      <w:pPr>
        <w:pStyle w:val="NormalHanging12a"/>
        <w:rPr>
          <w:szCs w:val="24"/>
        </w:rPr>
      </w:pPr>
      <w:r w:rsidRPr="00C07479">
        <w:t>31</w:t>
      </w:r>
      <w:r w:rsidR="000810AD" w:rsidRPr="00C07479">
        <w:t>.</w:t>
      </w:r>
      <w:r w:rsidR="000810AD" w:rsidRPr="00C07479">
        <w:tab/>
        <w:t>constată că bugetul Consiliului a fost de 611 473 556 EUR pentru 2022, ceea ce reprezintă o creștere de 2,9 % față de 2021, cu mult mai mare decât a fost creșterea între 2020 și 2021 (0,6 %);</w:t>
      </w:r>
    </w:p>
    <w:p w14:paraId="3C8517CB" w14:textId="0CB7ECC4" w:rsidR="000810AD" w:rsidRPr="00C07479" w:rsidRDefault="00DA7EC0" w:rsidP="000810AD">
      <w:pPr>
        <w:pStyle w:val="NormalHanging12a"/>
        <w:rPr>
          <w:szCs w:val="24"/>
        </w:rPr>
      </w:pPr>
      <w:r w:rsidRPr="00C07479">
        <w:t>32</w:t>
      </w:r>
      <w:r w:rsidR="000810AD" w:rsidRPr="00C07479">
        <w:t>.</w:t>
      </w:r>
      <w:r w:rsidR="000810AD" w:rsidRPr="00C07479">
        <w:tab/>
        <w:t>își reiterează regretul că bugetul Consiliului European și al Consiliului nu a fost împărțit în două bugete clar separate, așa cum a recomandat Parlamentul în rezoluțiile sale anterioare referitoare descărcarea de gestiune, pentru a mări transparența și responsabilitatea, nu în ultimul rând în ceea ce privește Consiliul European, având în vedere că este în prezent imposibil să se obțină informații sigure despre costurile acestuia;</w:t>
      </w:r>
    </w:p>
    <w:p w14:paraId="58EE8888" w14:textId="0702D5F3" w:rsidR="000810AD" w:rsidRPr="00C07479" w:rsidRDefault="00DA7EC0" w:rsidP="000810AD">
      <w:pPr>
        <w:pStyle w:val="NormalHanging12a"/>
        <w:rPr>
          <w:szCs w:val="24"/>
        </w:rPr>
      </w:pPr>
      <w:r w:rsidRPr="00C07479">
        <w:t>33</w:t>
      </w:r>
      <w:r w:rsidR="000810AD" w:rsidRPr="00C07479">
        <w:t>.</w:t>
      </w:r>
      <w:r w:rsidR="000810AD" w:rsidRPr="00C07479">
        <w:tab/>
        <w:t>constată cu regret că Secretariatul General al Consiliului publică un raport privind conturile anuale și o serie de rapoarte anuale de activitate ce provin din diferite părți ale Secretariatului General, dar este dificil de obținut o imagine de ansamblu concisă și ușor accesibilă asupra activităților Secretariatului General al Consiliului, deoarece nu există un raport unic care să rezume și să prezinte o imagine de ansamblu coerentă a activităților Consiliului;</w:t>
      </w:r>
    </w:p>
    <w:p w14:paraId="51F8B5AD" w14:textId="12D68E57" w:rsidR="000810AD" w:rsidRPr="00C07479" w:rsidRDefault="00DA7EC0" w:rsidP="000810AD">
      <w:pPr>
        <w:pStyle w:val="NormalHanging12a"/>
        <w:rPr>
          <w:szCs w:val="24"/>
        </w:rPr>
      </w:pPr>
      <w:r w:rsidRPr="00C07479">
        <w:t>34</w:t>
      </w:r>
      <w:r w:rsidR="000810AD" w:rsidRPr="00C07479">
        <w:t>.</w:t>
      </w:r>
      <w:r w:rsidR="000810AD" w:rsidRPr="00C07479">
        <w:tab/>
        <w:t>ia act cu satisfacție de faptul că contabilul Consiliului este în măsură să certifice că conturile anuale ale Consiliului pentru exercițiul 2022 au fost întocmite în conformitate cu titlul XIII din Regulamentul financiar și cu normele contabile adoptate de contabilul Comisiei, așa cum li se cere tuturor instituțiilor, organelor, oficiilor și agențiilor Uniunii, și că contabilul a oferit o asigurare rezonabilă a faptului că conturile aferente exercițiului 2022 prezintă în mod fidel, sub toate aspectele semnificative, situația financiară, rezultatele operațiunilor și fluxul de numerar al Consiliului;</w:t>
      </w:r>
    </w:p>
    <w:p w14:paraId="4D5E99BE" w14:textId="4C1F68E3" w:rsidR="000810AD" w:rsidRPr="00C07479" w:rsidRDefault="00DA7EC0" w:rsidP="000810AD">
      <w:pPr>
        <w:pStyle w:val="NormalHanging12a"/>
        <w:rPr>
          <w:szCs w:val="24"/>
        </w:rPr>
      </w:pPr>
      <w:r w:rsidRPr="00C07479">
        <w:t>35</w:t>
      </w:r>
      <w:r w:rsidR="000810AD" w:rsidRPr="00C07479">
        <w:t>.</w:t>
      </w:r>
      <w:r w:rsidR="000810AD" w:rsidRPr="00C07479">
        <w:tab/>
        <w:t>constată că în 2022 Consiliul a efectuat 64 de transferuri bugetare, toate în temeiul articolului 29 din Regulamentul financiar, cu mult mai multe decât cele 43 de transferuri bugetare din 2021; constată și că șase dintre transferuri au presupus informarea autorității bugetare și că motivul principal al transferurilor respective a fost creșterea costurilor cu apa, gazul, electricitatea și încălzirea și creșterile salariale;</w:t>
      </w:r>
    </w:p>
    <w:p w14:paraId="413CFD71" w14:textId="6C0798AA" w:rsidR="000810AD" w:rsidRPr="00C07479" w:rsidRDefault="00DA7EC0" w:rsidP="000810AD">
      <w:pPr>
        <w:pStyle w:val="NormalHanging12a"/>
        <w:rPr>
          <w:szCs w:val="24"/>
        </w:rPr>
      </w:pPr>
      <w:r w:rsidRPr="00C07479">
        <w:t>36</w:t>
      </w:r>
      <w:r w:rsidR="000810AD" w:rsidRPr="00C07479">
        <w:t>.</w:t>
      </w:r>
      <w:r w:rsidR="000810AD" w:rsidRPr="00C07479">
        <w:tab/>
        <w:t>ia act de faptul că transferurile au mai presupus reducerea costurilor de misiune pentru Secretariatul General al Consiliului cu 300 000 EUR, echivalentul a 9 %, și o creștere similară. de 300 000 EUR, a costurilor de misiune pentru personalul Consiliului European, echivalentul a 20 %; solicită Consiliului să asigure transparența deplină a deplasărilor Președintelui Consiliului European, inclusiv mijloacele de transport, justificarea mijloacelor alese și personalul însoțitor;</w:t>
      </w:r>
    </w:p>
    <w:p w14:paraId="5BD3B5B6" w14:textId="7A78A78B" w:rsidR="000810AD" w:rsidRPr="00C07479" w:rsidRDefault="00DA7EC0" w:rsidP="000810AD">
      <w:pPr>
        <w:pStyle w:val="NormalHanging12a"/>
        <w:rPr>
          <w:szCs w:val="24"/>
        </w:rPr>
      </w:pPr>
      <w:r w:rsidRPr="00C07479">
        <w:t>37</w:t>
      </w:r>
      <w:r w:rsidR="000810AD" w:rsidRPr="00C07479">
        <w:t>.</w:t>
      </w:r>
      <w:r w:rsidR="000810AD" w:rsidRPr="00C07479">
        <w:tab/>
        <w:t>critică creșterea semnificativă a bugetului pentru deplasări al Președintelui Consiliului European de-a lungul mai multor ani și este preocupat de faptul că, potrivit relatărilor presei, Președintele Consiliului European a folosit avioane comerciale doar pentru 18 din cele 112 misiuni efectuate între începutul mandatului său, în 2019, și decembrie 2022; subliniază că avioanele comerciale ar trebui să fie opțiunea standard și pentru Președintele Consiliului European, ori de câte ori această opțiune este disponibilă și în conformitate cu ordinea de zi și locul reuniunilor în cauză; subliniază că liderii instituțiilor Uniunii ar trebui să reprezinte bune exemple pentru public, nu în ultimul rând în ceea ce privește asigurarea politicilor de sustenabilitate climatică;</w:t>
      </w:r>
    </w:p>
    <w:p w14:paraId="63EEE2E7" w14:textId="77777777" w:rsidR="000810AD" w:rsidRPr="00C07479" w:rsidRDefault="000810AD" w:rsidP="000810AD">
      <w:pPr>
        <w:pStyle w:val="NormalHanging12a"/>
        <w:rPr>
          <w:b/>
          <w:i/>
          <w:szCs w:val="24"/>
        </w:rPr>
      </w:pPr>
      <w:r w:rsidRPr="00C07479">
        <w:rPr>
          <w:b/>
          <w:i/>
        </w:rPr>
        <w:t>Gestiunea internă, performanța și controlul intern</w:t>
      </w:r>
    </w:p>
    <w:p w14:paraId="5E83A550" w14:textId="01C06E05" w:rsidR="000810AD" w:rsidRPr="00C07479" w:rsidRDefault="00DA7EC0" w:rsidP="000810AD">
      <w:pPr>
        <w:pStyle w:val="NormalHanging12a"/>
        <w:rPr>
          <w:szCs w:val="24"/>
        </w:rPr>
      </w:pPr>
      <w:r w:rsidRPr="00C07479">
        <w:t>38</w:t>
      </w:r>
      <w:r w:rsidR="000810AD" w:rsidRPr="00C07479">
        <w:t>.</w:t>
      </w:r>
      <w:r w:rsidR="000810AD" w:rsidRPr="00C07479">
        <w:tab/>
        <w:t>ia act de faptul că în 2022 s-a renunțat treptat la măsurile excepționale legate de pandemia de COVID-19 și că activitățile de reuniune au revenit la normal; în această privință, constată că numărul de videoconferințe a scăzut și cel al reuniunilor fizice a crescut din 2021, când 35 % dintre reuniuni au fost videoconferințe și 65 % au fost reuniuni cu prezență fizică, în 2022, când 15 % dintre reuniuni au fost videoconferințe și 85 % au fost reuniuni cu prezență fizică;</w:t>
      </w:r>
    </w:p>
    <w:p w14:paraId="7B69CF64" w14:textId="4E49664B" w:rsidR="000810AD" w:rsidRPr="00C07479" w:rsidRDefault="00DA7EC0" w:rsidP="000810AD">
      <w:pPr>
        <w:pStyle w:val="NormalHanging12a"/>
        <w:rPr>
          <w:szCs w:val="24"/>
        </w:rPr>
      </w:pPr>
      <w:r w:rsidRPr="00C07479">
        <w:t>39</w:t>
      </w:r>
      <w:r w:rsidR="000810AD" w:rsidRPr="00C07479">
        <w:t>.</w:t>
      </w:r>
      <w:r w:rsidR="000810AD" w:rsidRPr="00C07479">
        <w:tab/>
        <w:t>ia act de faptul că numărul total de reuniuni oficiale în 2022 a fost de 4 415, ceea ce reprezintă o creștere de 2,9 % față de cele 4 291 din 2021, precum și de creșterea semnificativă a reuniunilor cu prezență fizică, cu peste 150 %;</w:t>
      </w:r>
    </w:p>
    <w:p w14:paraId="25462DA9" w14:textId="70E63917" w:rsidR="000810AD" w:rsidRPr="00C07479" w:rsidRDefault="00DA7EC0" w:rsidP="000810AD">
      <w:pPr>
        <w:pStyle w:val="NormalHanging12a"/>
        <w:rPr>
          <w:szCs w:val="24"/>
        </w:rPr>
      </w:pPr>
      <w:r w:rsidRPr="00C07479">
        <w:t>40</w:t>
      </w:r>
      <w:r w:rsidR="000810AD" w:rsidRPr="00C07479">
        <w:t>.</w:t>
      </w:r>
      <w:r w:rsidR="000810AD" w:rsidRPr="00C07479">
        <w:tab/>
        <w:t>ia act de faptul că în 2022 Secretariatul General al Consiliului a lansat 44 de noi proceduri de achiziții publice și s-au semnat 42 de contracte în valoare totală de 123 863 392 EUR, ceea ce reprezintă o reducere semnificativă față de 2021, când au fost lansate 62 de noi proceduri de achiziții publice și au fost semnate 102 contracte, în valoare totală de 416 013 813 EUR;</w:t>
      </w:r>
    </w:p>
    <w:p w14:paraId="10526977" w14:textId="4B292323" w:rsidR="000810AD" w:rsidRPr="00C07479" w:rsidRDefault="00DA7EC0" w:rsidP="000810AD">
      <w:pPr>
        <w:pStyle w:val="NormalHanging12a"/>
        <w:rPr>
          <w:szCs w:val="24"/>
        </w:rPr>
      </w:pPr>
      <w:r w:rsidRPr="00C07479">
        <w:t>41</w:t>
      </w:r>
      <w:r w:rsidR="000810AD" w:rsidRPr="00C07479">
        <w:t>.</w:t>
      </w:r>
      <w:r w:rsidR="000810AD" w:rsidRPr="00C07479">
        <w:tab/>
        <w:t>salută faptul că Secretariatul General al Consiliului a furnizat un rezumat al numărului și tipului de audituri interne efectuate în cadrul său în 2022, precum și o sinteză a recomandărilor și a acțiunilor întreprinse ca urmare a acestor recomandări, în conformitate cu articolul 118 alineatul (8) din Regulamentul financiar; ia act de faptul că auditorul intern a stabilit un program de lucru pe trei ani pentru perioada 2022-2024, care este defalcat în programe anuale de lucru; constată, de asemenea, că în 2022 au fost efectuate șapte audituri interne; constată cu îngrijorare că la sfârșitul lui 2022 doar 72 % din recomandările din programul de lucru pentru perioada 2019-2021 fuseseră puse în practică, iar 27 % erau încă deschise;</w:t>
      </w:r>
    </w:p>
    <w:p w14:paraId="44A4AF21" w14:textId="0435D241" w:rsidR="000810AD" w:rsidRPr="00C07479" w:rsidRDefault="00DA7EC0" w:rsidP="000810AD">
      <w:pPr>
        <w:pStyle w:val="NormalHanging12a"/>
        <w:rPr>
          <w:szCs w:val="24"/>
        </w:rPr>
      </w:pPr>
      <w:r w:rsidRPr="00C07479">
        <w:t>42</w:t>
      </w:r>
      <w:r w:rsidR="000810AD" w:rsidRPr="00C07479">
        <w:t>.</w:t>
      </w:r>
      <w:r w:rsidR="000810AD" w:rsidRPr="00C07479">
        <w:tab/>
        <w:t>salută faptul că auditurile interne au fost efectuate într-o gamă largă de domenii; salută, de asemenea, faptul că toate recomandările referitoare la șase dintre cele șapte audituri au fost acceptate; regretă că rezultatele auditului privind gestionarea criptoactivelor nu au fost comunicate deoarece raportul de audit a fost clasificat; subliniază că Parlamentul dispune de sisteme de tratare a informațiilor clasificate, iar rezultatele auditului privind gestionarea criptoactivelor ar fi putut fi comunicate prin intermediul acestor sisteme;</w:t>
      </w:r>
    </w:p>
    <w:p w14:paraId="7CDF67F7" w14:textId="77777777" w:rsidR="000810AD" w:rsidRPr="00C07479" w:rsidRDefault="000810AD" w:rsidP="000810AD">
      <w:pPr>
        <w:pStyle w:val="NormalHanging12a"/>
        <w:rPr>
          <w:b/>
          <w:i/>
          <w:szCs w:val="24"/>
        </w:rPr>
      </w:pPr>
      <w:r w:rsidRPr="00C07479">
        <w:rPr>
          <w:b/>
          <w:i/>
        </w:rPr>
        <w:t>Resursele umane, egalitatea și starea de bine a angajaților</w:t>
      </w:r>
    </w:p>
    <w:p w14:paraId="21A46CE9" w14:textId="1FCFC79B" w:rsidR="000810AD" w:rsidRPr="00C07479" w:rsidRDefault="00DA7EC0" w:rsidP="000810AD">
      <w:pPr>
        <w:pStyle w:val="NormalHanging12a"/>
        <w:rPr>
          <w:szCs w:val="24"/>
        </w:rPr>
      </w:pPr>
      <w:r w:rsidRPr="00C07479">
        <w:t>43</w:t>
      </w:r>
      <w:r w:rsidR="000810AD" w:rsidRPr="00C07479">
        <w:t>.</w:t>
      </w:r>
      <w:r w:rsidR="000810AD" w:rsidRPr="00C07479">
        <w:tab/>
        <w:t>constată că, având în vedere lipsa de cooperare a Consiliului cu Parlamentul, observațiile din această secțiune se bazează în principal pe informații agregate publicate pe site-ul Consiliului, care oferă detalii limitate;</w:t>
      </w:r>
    </w:p>
    <w:p w14:paraId="3BF2FBFD" w14:textId="01293D6F" w:rsidR="000810AD" w:rsidRPr="00C07479" w:rsidRDefault="00DA7EC0" w:rsidP="000810AD">
      <w:pPr>
        <w:pStyle w:val="NormalHanging12a"/>
        <w:rPr>
          <w:szCs w:val="24"/>
        </w:rPr>
      </w:pPr>
      <w:r w:rsidRPr="00C07479">
        <w:t>44</w:t>
      </w:r>
      <w:r w:rsidR="000810AD" w:rsidRPr="00C07479">
        <w:t>.</w:t>
      </w:r>
      <w:r w:rsidR="000810AD" w:rsidRPr="00C07479">
        <w:tab/>
        <w:t>ia act de faptul că în bugetul său pentru 2022 Consiliului i-au fost alocate 3 029 de posturi, număr identic cu cel din 2021, dar că distribuția pe categorii s-a modificat, numărul de posturi de administrator (AD) crescând de la 1 493 la 1 519, numărul de posturi de asistent (AST) scăzând de la 1 320 la 1 284, iar numărul posturilor de secretar (SC) crescând de la 180 la 190; solicită Consiliului să furnizeze mai multe detalii despre prevenirea epuizării în rândul personalului său, mai cu seamă fiindcă numărul asistenților a scăzut;</w:t>
      </w:r>
    </w:p>
    <w:p w14:paraId="73B9EE7A" w14:textId="262680AD" w:rsidR="000810AD" w:rsidRPr="00C07479" w:rsidRDefault="00DA7EC0" w:rsidP="000810AD">
      <w:pPr>
        <w:pStyle w:val="NormalHanging12a"/>
        <w:rPr>
          <w:szCs w:val="24"/>
        </w:rPr>
      </w:pPr>
      <w:r w:rsidRPr="00C07479">
        <w:t>45</w:t>
      </w:r>
      <w:r w:rsidR="000810AD" w:rsidRPr="00C07479">
        <w:t>.</w:t>
      </w:r>
      <w:r w:rsidR="000810AD" w:rsidRPr="00C07479">
        <w:tab/>
        <w:t xml:space="preserve">observă că, potrivit raportului său de activitate financiară pentru 2022, Secretariatul General al Consiliului avea 2 924 de posturi ocupate până la 31 decembrie 2022; constată, de asemenea, că pe site-ul Consiliului se menționează că Secretariatul Consiliului avea 3 108 angajați (funcționari, agenți temporari și contractuali și experți naționali detașați) la 1 ianuarie 2023; invită Consiliul </w:t>
      </w:r>
      <w:r w:rsidR="00C878C1" w:rsidRPr="00C07479">
        <w:t xml:space="preserve">să </w:t>
      </w:r>
      <w:r w:rsidR="000810AD" w:rsidRPr="00C07479">
        <w:t>nu publice informații discrepante în sursele sale deschise;</w:t>
      </w:r>
    </w:p>
    <w:p w14:paraId="3EFEA8CB" w14:textId="167ED79A" w:rsidR="000810AD" w:rsidRPr="00C07479" w:rsidRDefault="00DA7EC0" w:rsidP="000810AD">
      <w:pPr>
        <w:pStyle w:val="NormalHanging12a"/>
        <w:rPr>
          <w:szCs w:val="24"/>
        </w:rPr>
      </w:pPr>
      <w:r w:rsidRPr="00C07479">
        <w:t>46</w:t>
      </w:r>
      <w:r w:rsidR="000810AD" w:rsidRPr="00C07479">
        <w:t>.</w:t>
      </w:r>
      <w:r w:rsidR="000810AD" w:rsidRPr="00C07479">
        <w:tab/>
        <w:t>constată că, din 3 108 angajați, 1 783 (57 %) erau femei și 1 325 (43 %) bărbați; regretă faptul că, în categoria „funcții de conducere de nivel superior”, doar 18 din 51, echivalentul a 35 %, erau femei; regretă, de asemenea, că acest lucru reprezintă o scădere a ponderii femeilor în funcții de conducere de nivel superior, de la 38 % în 2021;</w:t>
      </w:r>
    </w:p>
    <w:p w14:paraId="4A9E51EE" w14:textId="1B21EED3" w:rsidR="000810AD" w:rsidRPr="00C07479" w:rsidRDefault="00DA7EC0" w:rsidP="000810AD">
      <w:pPr>
        <w:pStyle w:val="NormalHanging12a"/>
        <w:rPr>
          <w:szCs w:val="24"/>
        </w:rPr>
      </w:pPr>
      <w:r w:rsidRPr="00C07479">
        <w:t>47</w:t>
      </w:r>
      <w:r w:rsidR="000810AD" w:rsidRPr="00C07479">
        <w:t>.</w:t>
      </w:r>
      <w:r w:rsidR="000810AD" w:rsidRPr="00C07479">
        <w:tab/>
        <w:t>constată că 37 din 83 de posturi din categoria „posturi de conducere de nivel mediu”, echivalentul a 45%, erau ocupate de femei, ceea ce reprezintă o ușoară creștere față de procentul de 44 % din anul anterior; constată, în final, că 814 din 1 462 de posturi de AD, echivalentul a 56 %, erau ocupate femei, ceea ce reprezintă, de asemenea, o ușoară creștere față de procentul de 55 % în 2021 și constată că 882 din 1 411 din posturile de AST și SC, echivalentul a 63 %, erau ocupate femei, la fel ca în 2021;</w:t>
      </w:r>
    </w:p>
    <w:p w14:paraId="36B9FDAA" w14:textId="7FD3D580" w:rsidR="000810AD" w:rsidRPr="00C07479" w:rsidRDefault="00DA7EC0" w:rsidP="000810AD">
      <w:pPr>
        <w:pStyle w:val="NormalHanging12a"/>
        <w:rPr>
          <w:szCs w:val="24"/>
        </w:rPr>
      </w:pPr>
      <w:r w:rsidRPr="00C07479">
        <w:t>48</w:t>
      </w:r>
      <w:r w:rsidR="000810AD" w:rsidRPr="00C07479">
        <w:t>.</w:t>
      </w:r>
      <w:r w:rsidR="000810AD" w:rsidRPr="00C07479">
        <w:tab/>
        <w:t>regretă dezechilibrul de gen în posturile de conducere de nivel superior din cadrul Secretariatului General al Consiliului; invită Consiliul să ia măsuri imediate și concrete pentru a asigura echilibrul de gen la toate nivelurile ierarhice;</w:t>
      </w:r>
    </w:p>
    <w:p w14:paraId="1845334F" w14:textId="7CB28492" w:rsidR="000810AD" w:rsidRPr="00C07479" w:rsidRDefault="00DA7EC0" w:rsidP="000810AD">
      <w:pPr>
        <w:pStyle w:val="NormalHanging12a"/>
        <w:rPr>
          <w:szCs w:val="24"/>
        </w:rPr>
      </w:pPr>
      <w:r w:rsidRPr="00C07479">
        <w:t>49</w:t>
      </w:r>
      <w:r w:rsidR="000810AD" w:rsidRPr="00C07479">
        <w:t>.</w:t>
      </w:r>
      <w:r w:rsidR="000810AD" w:rsidRPr="00C07479">
        <w:tab/>
        <w:t>ia act de faptul că toate cele 27 de state membre sunt reprezentate în rândul personalului, dar că există dezechilibre geografice majore: 527 de angajați sunt belgieni, echivalentul a 17 %, în timp ce doar 0,2 % sunt ciprioți și 0,3 %, luxemburghezi; evidențiază că este important să se asigure un echilibru geografic just în rândul membrilor personalului său de la toate nivelurile, în special de la nivelul de conducere mediu și la cel superior, îndeplinind totodată și cerințele din Statutul funcționarilor referitoare la competențele și meritele candidaților;</w:t>
      </w:r>
    </w:p>
    <w:p w14:paraId="31CE1B4B" w14:textId="6794E161" w:rsidR="000810AD" w:rsidRPr="00C07479" w:rsidRDefault="00DA7EC0" w:rsidP="000810AD">
      <w:pPr>
        <w:pStyle w:val="NormalHanging12a"/>
        <w:rPr>
          <w:szCs w:val="24"/>
        </w:rPr>
      </w:pPr>
      <w:r w:rsidRPr="00C07479">
        <w:t>50</w:t>
      </w:r>
      <w:r w:rsidR="000810AD" w:rsidRPr="00C07479">
        <w:t>.</w:t>
      </w:r>
      <w:r w:rsidR="000810AD" w:rsidRPr="00C07479">
        <w:tab/>
        <w:t>regretă că nu există informații despre implementarea planului de acțiune al Consiliului privind egalitatea de gen și a măsurilor luate cu scopul de a asigura egalitatea de șanse pentru persoanele cu dizabilități angajate de Consiliu; invită Consiliul să comunice Parlamentului informații privind echilibrul de gen, distribuția geografică și dizabilitățile membrilor personalului său și privind politicile interne aferente;</w:t>
      </w:r>
    </w:p>
    <w:p w14:paraId="4AF9CB8F" w14:textId="55972852" w:rsidR="000810AD" w:rsidRPr="00C07479" w:rsidRDefault="00DA7EC0" w:rsidP="000810AD">
      <w:pPr>
        <w:pStyle w:val="NormalHanging12a"/>
        <w:rPr>
          <w:szCs w:val="24"/>
        </w:rPr>
      </w:pPr>
      <w:r w:rsidRPr="00C07479">
        <w:t>51</w:t>
      </w:r>
      <w:r w:rsidR="000810AD" w:rsidRPr="00C07479">
        <w:t>.</w:t>
      </w:r>
      <w:r w:rsidR="000810AD" w:rsidRPr="00C07479">
        <w:tab/>
        <w:t>regretă faptul că, întrucât Consiliul nu a răspuns la chestionarul Parlamentului, Parlamentul nu dispune de nicio informație cu privire la numărul de stagiari din Consiliu în cursul anului 2022 și nu știe nici dacă aceștia au fost plătiți în timpul stagiului sau nu; reamintește solicitarea Parlamentului adresată tuturor instituțiilor ca toți stagiarii să primească un salariu, cu excepția cazului în care sunt deja plătiți din alte surse;</w:t>
      </w:r>
    </w:p>
    <w:p w14:paraId="6C031971" w14:textId="77777777" w:rsidR="000810AD" w:rsidRPr="00C07479" w:rsidRDefault="000810AD" w:rsidP="000810AD">
      <w:pPr>
        <w:pStyle w:val="NormalHanging12a"/>
        <w:rPr>
          <w:b/>
          <w:i/>
          <w:szCs w:val="24"/>
        </w:rPr>
      </w:pPr>
      <w:r w:rsidRPr="00C07479">
        <w:rPr>
          <w:b/>
          <w:i/>
        </w:rPr>
        <w:t>Cadrul etic și transparența</w:t>
      </w:r>
    </w:p>
    <w:p w14:paraId="4DF404DA" w14:textId="22F2A2B7" w:rsidR="000810AD" w:rsidRPr="00C07479" w:rsidRDefault="00DA7EC0" w:rsidP="000810AD">
      <w:pPr>
        <w:pStyle w:val="NormalHanging12a"/>
        <w:rPr>
          <w:szCs w:val="24"/>
        </w:rPr>
      </w:pPr>
      <w:r w:rsidRPr="00C07479">
        <w:t>52</w:t>
      </w:r>
      <w:r w:rsidR="000810AD" w:rsidRPr="00C07479">
        <w:t>.</w:t>
      </w:r>
      <w:r w:rsidR="000810AD" w:rsidRPr="00C07479">
        <w:tab/>
        <w:t>reafirmă că conduita etică contribuie la buna gestiune financiară și crește încrederea publicului și că, așa cum a subliniat Curtea în Raportul său special nr. 13/2019, cadrele etice ale instituțiilor UE pot încă fi ameliorate, ceea ce este esențial, căci orice comportament neetic al personalului și al membrilor atrage un mare interes public și scade încrederea în Uniune;</w:t>
      </w:r>
    </w:p>
    <w:p w14:paraId="256B0254" w14:textId="5159008D" w:rsidR="000810AD" w:rsidRPr="00C07479" w:rsidRDefault="00DA7EC0" w:rsidP="000810AD">
      <w:pPr>
        <w:pStyle w:val="NormalHanging12a"/>
        <w:rPr>
          <w:szCs w:val="24"/>
        </w:rPr>
      </w:pPr>
      <w:r w:rsidRPr="00C07479">
        <w:t>53</w:t>
      </w:r>
      <w:r w:rsidR="000810AD" w:rsidRPr="00C07479">
        <w:t>.</w:t>
      </w:r>
      <w:r w:rsidR="000810AD" w:rsidRPr="00C07479">
        <w:tab/>
        <w:t>regretă că Parlamentul nu poate sub nicio formă adresa întrebări despre cadrul etic în vigoare la Consiliu, deoarece Consiliul nu dorește să răspundă la întrebările Parlamentului și nu se primește deci nicio informație referitoare la codul de conduită aplicabil tuturor membrilor personalului Consiliului;</w:t>
      </w:r>
    </w:p>
    <w:p w14:paraId="15450FE8" w14:textId="5E76F24B" w:rsidR="000810AD" w:rsidRPr="00C07479" w:rsidRDefault="00DA7EC0" w:rsidP="000810AD">
      <w:pPr>
        <w:pStyle w:val="NormalHanging12a"/>
        <w:rPr>
          <w:szCs w:val="24"/>
        </w:rPr>
      </w:pPr>
      <w:r w:rsidRPr="00C07479">
        <w:t>54</w:t>
      </w:r>
      <w:r w:rsidR="000810AD" w:rsidRPr="00C07479">
        <w:t>.</w:t>
      </w:r>
      <w:r w:rsidR="000810AD" w:rsidRPr="00C07479">
        <w:tab/>
        <w:t>reamintește recomandarea emisă de Curte în Raportul special nr. 13/2019 în ceea ce privește ameliorarea cadrului etic al Consiliului; se declară îngrijorat de lipsa unui cadru etic comun al Uniunii care să reglementeze activitatea reprezentanților statelor membre în cadrul Consiliului, după cum a menționat Curtea;</w:t>
      </w:r>
    </w:p>
    <w:p w14:paraId="15800463" w14:textId="143A159E" w:rsidR="000810AD" w:rsidRPr="00C07479" w:rsidRDefault="00DA7EC0" w:rsidP="000810AD">
      <w:pPr>
        <w:pStyle w:val="NormalHanging12a"/>
        <w:rPr>
          <w:szCs w:val="24"/>
        </w:rPr>
      </w:pPr>
      <w:r w:rsidRPr="00C07479">
        <w:t>55</w:t>
      </w:r>
      <w:r w:rsidR="000810AD" w:rsidRPr="00C07479">
        <w:t>.</w:t>
      </w:r>
      <w:r w:rsidR="000810AD" w:rsidRPr="00C07479">
        <w:tab/>
        <w:t>constată că Secretariatul General al Consiliului publică un raport anual conținând informații privind activitățile profesionale ale foștilor înalți funcționari ai Secretariatului General al Consiliului după încetarea raporturilor de muncă (articolul 16 al treilea și al patrulea paragraf din Statutul funcționarilor); ia act de faptul că, potrivit raportului referitor la 2022, patru înalți funcționari și-au declarat intenția de a se implica în activități profesionale în cursul anului 2022 și că doi foști înalți funcționari au depus declarații la sfârșitul anului 2021, care au fost, de asemenea, examinate în 2022; observă că s-a constatat că niciuna dintre cereri nu intră sub incidența articolului 16;</w:t>
      </w:r>
    </w:p>
    <w:p w14:paraId="6B34F9EB" w14:textId="135C173B" w:rsidR="000810AD" w:rsidRPr="00C07479" w:rsidRDefault="00DA7EC0" w:rsidP="000810AD">
      <w:pPr>
        <w:pStyle w:val="NormalHanging12a"/>
        <w:rPr>
          <w:szCs w:val="24"/>
        </w:rPr>
      </w:pPr>
      <w:r w:rsidRPr="00C07479">
        <w:t>56</w:t>
      </w:r>
      <w:r w:rsidR="000810AD" w:rsidRPr="00C07479">
        <w:t>.</w:t>
      </w:r>
      <w:r w:rsidR="000810AD" w:rsidRPr="00C07479">
        <w:tab/>
        <w:t>ia act cu satisfacție de faptul că, în rapoartele lor anuale de activitate, toți directorii generali de resort din Consiliu au declarat că nu le-a fost adus la cunoștință niciun caz de fraudă sau de neregulă în cursul anului 2022;</w:t>
      </w:r>
    </w:p>
    <w:p w14:paraId="6A648FCC" w14:textId="77777777" w:rsidR="000810AD" w:rsidRPr="00C07479" w:rsidRDefault="000810AD" w:rsidP="000810AD">
      <w:pPr>
        <w:spacing w:after="240"/>
        <w:rPr>
          <w:b/>
          <w:i/>
          <w:szCs w:val="24"/>
        </w:rPr>
      </w:pPr>
      <w:r w:rsidRPr="00C07479">
        <w:rPr>
          <w:b/>
          <w:i/>
        </w:rPr>
        <w:t>Digitalizarea, securitatea cibernetică și protecția datelor</w:t>
      </w:r>
    </w:p>
    <w:p w14:paraId="2EED86D0" w14:textId="4EF3FB30" w:rsidR="000810AD" w:rsidRPr="00C07479" w:rsidRDefault="00DA7EC0" w:rsidP="000810AD">
      <w:pPr>
        <w:pStyle w:val="NormalHanging12a"/>
        <w:rPr>
          <w:szCs w:val="24"/>
        </w:rPr>
      </w:pPr>
      <w:r w:rsidRPr="00C07479">
        <w:t>57</w:t>
      </w:r>
      <w:r w:rsidR="000810AD" w:rsidRPr="00C07479">
        <w:t>.</w:t>
      </w:r>
      <w:r w:rsidR="000810AD" w:rsidRPr="00C07479">
        <w:tab/>
        <w:t>constată că inițial bugetul Consiliului pentru sisteme informatice și telecomunicații în 2022 a fost de 48 115 000 EUR, ceea ce reprezintă o creștere de 2,1 % față de 2021; constată însă că o sumă suplimentară de 6 805 000 EUR a fost transferată în buget în cursul exercițiului 2022, dar că plățile efective au fost considerabil mai mici, situându-se la 27 096 067 EUR, ceea ce reprezintă doar circa 50 % din totalul creditelor finale;</w:t>
      </w:r>
    </w:p>
    <w:p w14:paraId="69599D25" w14:textId="00F84898" w:rsidR="000810AD" w:rsidRPr="00C07479" w:rsidRDefault="00DA7EC0" w:rsidP="000810AD">
      <w:pPr>
        <w:pStyle w:val="NormalHanging12a"/>
        <w:rPr>
          <w:szCs w:val="24"/>
        </w:rPr>
      </w:pPr>
      <w:r w:rsidRPr="00C07479">
        <w:t>58</w:t>
      </w:r>
      <w:r w:rsidR="000810AD" w:rsidRPr="00C07479">
        <w:t>.</w:t>
      </w:r>
      <w:r w:rsidR="000810AD" w:rsidRPr="00C07479">
        <w:tab/>
        <w:t>salută faptul că prelucrarea electronică a facturilor a ajuns la 97 % în 2022, ceea ce reprezintă o creștere semnificativă față de 89 %, nivel la care era în 2021;</w:t>
      </w:r>
    </w:p>
    <w:p w14:paraId="2DEE8E80" w14:textId="50058EC3" w:rsidR="000810AD" w:rsidRPr="00C07479" w:rsidRDefault="00DA7EC0" w:rsidP="000810AD">
      <w:pPr>
        <w:pStyle w:val="NormalHanging12a"/>
        <w:rPr>
          <w:szCs w:val="24"/>
        </w:rPr>
      </w:pPr>
      <w:r w:rsidRPr="00C07479">
        <w:t>59</w:t>
      </w:r>
      <w:r w:rsidR="000810AD" w:rsidRPr="00C07479">
        <w:t>.</w:t>
      </w:r>
      <w:r w:rsidR="000810AD" w:rsidRPr="00C07479">
        <w:tab/>
        <w:t>invită din nou Consiliul să examineze cum se pot utiliza cât mai multe tehnologii cu sursă deschisă și să comunice progresele înregistrate în utilizarea acestor sisteme;</w:t>
      </w:r>
    </w:p>
    <w:p w14:paraId="33DD9A38" w14:textId="77777777" w:rsidR="000810AD" w:rsidRPr="00C07479" w:rsidRDefault="000810AD" w:rsidP="000810AD">
      <w:pPr>
        <w:spacing w:after="240"/>
        <w:rPr>
          <w:b/>
          <w:bCs/>
          <w:i/>
          <w:iCs/>
          <w:szCs w:val="24"/>
        </w:rPr>
      </w:pPr>
      <w:r w:rsidRPr="00C07479">
        <w:rPr>
          <w:b/>
          <w:i/>
        </w:rPr>
        <w:t>Clădirile</w:t>
      </w:r>
    </w:p>
    <w:p w14:paraId="57722864" w14:textId="0042BABE" w:rsidR="000810AD" w:rsidRPr="00C07479" w:rsidRDefault="00DA7EC0" w:rsidP="000810AD">
      <w:pPr>
        <w:pStyle w:val="NormalHanging12a"/>
        <w:rPr>
          <w:szCs w:val="24"/>
        </w:rPr>
      </w:pPr>
      <w:r w:rsidRPr="00C07479">
        <w:t>60</w:t>
      </w:r>
      <w:r w:rsidR="000810AD" w:rsidRPr="00C07479">
        <w:t>.</w:t>
      </w:r>
      <w:r w:rsidR="000810AD" w:rsidRPr="00C07479">
        <w:tab/>
        <w:t>constată că plățile finale pentru clădiri au fost de 45 435 994 EUR în 2022, în creștere semnificativă, de 27,2 %, față de 35 709 119 EUR în 2021; constată că principalul motiv al acestei creșteri este reprezentat de plățile pentru apă, gaz, electricitate și încălzire, care au crescut de la 2 565 008 EUR în 2021 la 11 233 088 EUR în 2022, ceea ce reprezintă o creștere de 338 %;</w:t>
      </w:r>
    </w:p>
    <w:p w14:paraId="51845A32" w14:textId="1B02B92F" w:rsidR="000810AD" w:rsidRPr="00C07479" w:rsidRDefault="00DA7EC0" w:rsidP="000810AD">
      <w:pPr>
        <w:pStyle w:val="NormalHanging12a"/>
        <w:rPr>
          <w:szCs w:val="24"/>
        </w:rPr>
      </w:pPr>
      <w:r w:rsidRPr="00C07479">
        <w:t>61</w:t>
      </w:r>
      <w:r w:rsidR="000810AD" w:rsidRPr="00C07479">
        <w:t>.</w:t>
      </w:r>
      <w:r w:rsidR="000810AD" w:rsidRPr="00C07479">
        <w:tab/>
        <w:t>salută faptul că Consiliul a reușit să reducă consumul de energie în 2022 comparativ cu anii precedenți, inclusiv datorită politicii adoptate de toate instituțiile Uniunii de a reduce temperatura în clădiri la 19 grade; încurajează, cu toate acestea, Secretariatul Consiliului să identifice noi inițiative de reducere a consumului de energie;</w:t>
      </w:r>
    </w:p>
    <w:p w14:paraId="5D851025" w14:textId="5286EF5B" w:rsidR="000810AD" w:rsidRPr="00C07479" w:rsidRDefault="00DA7EC0" w:rsidP="000810AD">
      <w:pPr>
        <w:pStyle w:val="NormalHanging12a"/>
        <w:rPr>
          <w:szCs w:val="24"/>
        </w:rPr>
      </w:pPr>
      <w:r w:rsidRPr="00C07479">
        <w:t>62</w:t>
      </w:r>
      <w:r w:rsidR="000810AD" w:rsidRPr="00C07479">
        <w:t>.</w:t>
      </w:r>
      <w:r w:rsidR="000810AD" w:rsidRPr="00C07479">
        <w:tab/>
        <w:t>regretă faptul că, deoarece Consiliul nu a răspuns la chestionarul Parlamentului, Parlamentul nu dispune de informații despre inițiativele luate în 2022 în Consiliu referitoare la îmbunătățirea accesului persoanelor cu dizabilități la clădirile sale și despre alte eventuale inițiative pentru persoanele cu dizabilități;</w:t>
      </w:r>
    </w:p>
    <w:p w14:paraId="54C94F6E" w14:textId="77777777" w:rsidR="000810AD" w:rsidRPr="00C07479" w:rsidRDefault="000810AD" w:rsidP="000810AD">
      <w:pPr>
        <w:spacing w:after="240"/>
        <w:rPr>
          <w:b/>
          <w:i/>
          <w:szCs w:val="24"/>
        </w:rPr>
      </w:pPr>
      <w:r w:rsidRPr="00C07479">
        <w:rPr>
          <w:b/>
          <w:i/>
        </w:rPr>
        <w:t>Mediu și sustenabilitate</w:t>
      </w:r>
    </w:p>
    <w:p w14:paraId="49F90FB1" w14:textId="1D994F87" w:rsidR="000810AD" w:rsidRPr="00C07479" w:rsidRDefault="00DA7EC0" w:rsidP="000810AD">
      <w:pPr>
        <w:pStyle w:val="NormalHanging12a"/>
        <w:rPr>
          <w:szCs w:val="24"/>
        </w:rPr>
      </w:pPr>
      <w:r w:rsidRPr="00C07479">
        <w:t>63</w:t>
      </w:r>
      <w:r w:rsidR="000810AD" w:rsidRPr="00C07479">
        <w:t>.</w:t>
      </w:r>
      <w:r w:rsidR="000810AD" w:rsidRPr="00C07479">
        <w:tab/>
        <w:t>constată că este în continuare dificil să se obțină informații detaliate la zi cu privire la inițiativele Consiliului legate de mediu, sustenabilitate și evoluția consumului general, inclusiv utilizarea apei, a gazului, a energiei electrice și a hârtiei; încurajează Consiliul să informeze sistematic în legătură cu elementele de mediu și de sustenabilitate ale activității sale, în cadrul rapoartelor sale anuale; ia act cu satisfacție de câteva inițiative dispersate menționate în raportul anual, cum ar fi achiziționarea a patru mașini electrice și încurajarea integrării clauzelor de mediu în procedurile de achiziții publice;</w:t>
      </w:r>
    </w:p>
    <w:p w14:paraId="72DBE63E" w14:textId="1D8C9CE0" w:rsidR="000810AD" w:rsidRPr="00C07479" w:rsidRDefault="00DA7EC0" w:rsidP="000810AD">
      <w:pPr>
        <w:pStyle w:val="NormalHanging12a"/>
        <w:rPr>
          <w:szCs w:val="24"/>
        </w:rPr>
      </w:pPr>
      <w:r w:rsidRPr="00C07479">
        <w:t>64</w:t>
      </w:r>
      <w:r w:rsidR="000810AD" w:rsidRPr="00C07479">
        <w:t>.</w:t>
      </w:r>
      <w:r w:rsidR="000810AD" w:rsidRPr="00C07479">
        <w:tab/>
        <w:t>invită din nou Consiliul să creeze un sistem, dacă nu l-a creat deja, prin care să încurajeze personalul să folosească transportul public sau alte mijloace de transport cu emisii scăzute, cum ar fi bicicletele, pentru a reduce amprenta de carbon a Consiliului;</w:t>
      </w:r>
    </w:p>
    <w:p w14:paraId="791CDCC5" w14:textId="366B0502" w:rsidR="000810AD" w:rsidRPr="00C07479" w:rsidRDefault="00DA7EC0" w:rsidP="000810AD">
      <w:pPr>
        <w:pStyle w:val="NormalHanging12a"/>
        <w:rPr>
          <w:szCs w:val="24"/>
        </w:rPr>
      </w:pPr>
      <w:r w:rsidRPr="00C07479">
        <w:t>65</w:t>
      </w:r>
      <w:r w:rsidR="000810AD" w:rsidRPr="00C07479">
        <w:t>.</w:t>
      </w:r>
      <w:r w:rsidR="000810AD" w:rsidRPr="00C07479">
        <w:tab/>
        <w:t>observă că în conturile anuale ale Consiliului se menționează că la sfârșitul exercițiului 2022 Consiliul deținea 773,4 certificate verzi pentru energie, față de 2 589,2 la sfârșitul lui 2021, bazate pe energia produsă de panourile solare situate pe acoperișul clădirilor Consiliului; constată că certificatele sunt evaluate la 65 EUR fiecare; solicită din nou Consiliului să prezinte un raport mai detaliat privind vânzarea acestor certificate pe piața deschisă și utilizarea preconizată a veniturilor generate;</w:t>
      </w:r>
    </w:p>
    <w:p w14:paraId="634E6255" w14:textId="77777777" w:rsidR="000810AD" w:rsidRPr="00C07479" w:rsidRDefault="000810AD" w:rsidP="000810AD">
      <w:pPr>
        <w:spacing w:after="240"/>
        <w:rPr>
          <w:b/>
          <w:i/>
          <w:szCs w:val="24"/>
        </w:rPr>
      </w:pPr>
      <w:r w:rsidRPr="00C07479">
        <w:rPr>
          <w:b/>
          <w:i/>
        </w:rPr>
        <w:t>Cooperarea interinstituțională</w:t>
      </w:r>
    </w:p>
    <w:p w14:paraId="511F3EF4" w14:textId="42ABEA14" w:rsidR="000810AD" w:rsidRPr="00C07479" w:rsidRDefault="00DA7EC0" w:rsidP="000810AD">
      <w:pPr>
        <w:pStyle w:val="NormalHanging12a"/>
        <w:rPr>
          <w:szCs w:val="24"/>
        </w:rPr>
      </w:pPr>
      <w:r w:rsidRPr="00C07479">
        <w:t>66</w:t>
      </w:r>
      <w:r w:rsidR="000810AD" w:rsidRPr="00C07479">
        <w:t>.</w:t>
      </w:r>
      <w:r w:rsidR="000810AD" w:rsidRPr="00C07479">
        <w:tab/>
        <w:t>subliniază că trebuie revizuit articolul 319 din TFUE în cadrul unei modificări a tratatului, pentru a stipula explicit că Parlamentul, pe lângă acordarea descărcării de gestiune Comisiei, acordă și altor instituții, organe, oficii și agenții ale Uniunii descărcarea de gestiune pentru execuția secțiunilor lor din bugetul general sau a bugetelor lor;</w:t>
      </w:r>
    </w:p>
    <w:p w14:paraId="36BEFBF2" w14:textId="77777777" w:rsidR="000810AD" w:rsidRPr="00C07479" w:rsidRDefault="000810AD" w:rsidP="000810AD">
      <w:pPr>
        <w:pStyle w:val="NormalHanging12a"/>
        <w:rPr>
          <w:b/>
          <w:i/>
          <w:szCs w:val="24"/>
        </w:rPr>
      </w:pPr>
      <w:r w:rsidRPr="00C07479">
        <w:rPr>
          <w:b/>
          <w:i/>
        </w:rPr>
        <w:t>Comunicarea</w:t>
      </w:r>
    </w:p>
    <w:p w14:paraId="57D43C91" w14:textId="583FDEA0" w:rsidR="000810AD" w:rsidRPr="00C07479" w:rsidRDefault="00DA7EC0" w:rsidP="000810AD">
      <w:pPr>
        <w:pStyle w:val="NormalHanging12a"/>
        <w:rPr>
          <w:szCs w:val="24"/>
        </w:rPr>
      </w:pPr>
      <w:r w:rsidRPr="00C07479">
        <w:t>67</w:t>
      </w:r>
      <w:r w:rsidR="000810AD" w:rsidRPr="00C07479">
        <w:t>.</w:t>
      </w:r>
      <w:r w:rsidR="000810AD" w:rsidRPr="00C07479">
        <w:tab/>
        <w:t>constată că 2022 a fost un an record, cu peste 24,5 milioane de vizite pe site-ul Consiliului, ceea ce reprezintă o creștere de 16 % față de 2020, și că numărul de urmăritori pe Facebook a crescut cu 8 %, iar numărul de urmăritori pe X (fostul Twitter), Instagram și LinkedIn a crescut cu 19 %, 17 % și, respectiv, cu 33 %;</w:t>
      </w:r>
    </w:p>
    <w:p w14:paraId="042475B9" w14:textId="254C8667" w:rsidR="000810AD" w:rsidRPr="00C07479" w:rsidRDefault="00DA7EC0" w:rsidP="000810AD">
      <w:pPr>
        <w:pStyle w:val="NormalHanging12a"/>
        <w:rPr>
          <w:b/>
          <w:i/>
          <w:szCs w:val="24"/>
        </w:rPr>
      </w:pPr>
      <w:r w:rsidRPr="00C07479">
        <w:t>68</w:t>
      </w:r>
      <w:r w:rsidR="000810AD" w:rsidRPr="00C07479">
        <w:t>.</w:t>
      </w:r>
      <w:r w:rsidR="000810AD" w:rsidRPr="00C07479">
        <w:tab/>
        <w:t>încurajează Consiliul să colaboreze cu Autoritatea Europeană pentru Protecția Datelor în vederea utilizării celor două platforme de comunicare socială cu sursă deschisă, EU Voice și EU Video, care au fost lansate ca proiect-pilot public pentru a promova utilizarea rețelelor sociale gratuite și cu sursă deschisă; încurajează Consiliul să utilizeze rețele sociale descentralizate ca alternative la platformele online foarte mari, cum ar fi Mastodon.</w:t>
      </w:r>
    </w:p>
    <w:p w14:paraId="05C4F508" w14:textId="77777777" w:rsidR="00E365E1" w:rsidRPr="00C07479" w:rsidRDefault="00E365E1" w:rsidP="00BE0458">
      <w:bookmarkStart w:id="11" w:name="TextBodyEnd"/>
      <w:bookmarkEnd w:id="11"/>
    </w:p>
    <w:sectPr w:rsidR="00E365E1" w:rsidRPr="00C07479" w:rsidSect="00335D82">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B05615" w14:textId="77777777" w:rsidR="00BE0458" w:rsidRPr="00335D82" w:rsidRDefault="00BE0458">
      <w:r w:rsidRPr="00335D82">
        <w:separator/>
      </w:r>
    </w:p>
  </w:endnote>
  <w:endnote w:type="continuationSeparator" w:id="0">
    <w:p w14:paraId="267FF679" w14:textId="77777777" w:rsidR="00BE0458" w:rsidRPr="00335D82" w:rsidRDefault="00BE0458">
      <w:r w:rsidRPr="00335D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B964CF" w14:textId="38276E29" w:rsidR="000810AD" w:rsidRPr="00335D82" w:rsidRDefault="000810AD" w:rsidP="00BA7323">
    <w:pPr>
      <w:pStyle w:val="EPFooter"/>
    </w:pPr>
    <w:r w:rsidRPr="00335D82">
      <w:t>PE</w:t>
    </w:r>
    <w:r w:rsidRPr="00335D82">
      <w:rPr>
        <w:rStyle w:val="HideTWBExt"/>
      </w:rPr>
      <w:t>&lt;NoPE&gt;</w:t>
    </w:r>
    <w:r w:rsidRPr="00335D82">
      <w:t>753.479</w:t>
    </w:r>
    <w:r w:rsidRPr="00335D82">
      <w:rPr>
        <w:rStyle w:val="HideTWBExt"/>
      </w:rPr>
      <w:t>&lt;/NoPE&gt;&lt;Version&gt;</w:t>
    </w:r>
    <w:r w:rsidRPr="00335D82">
      <w:t>v02-00</w:t>
    </w:r>
    <w:r w:rsidRPr="00335D82">
      <w:rPr>
        <w:rStyle w:val="HideTWBExt"/>
      </w:rPr>
      <w:t>&lt;/Version&gt;</w:t>
    </w:r>
    <w:r w:rsidRPr="00335D82">
      <w:tab/>
    </w:r>
    <w:r w:rsidRPr="00335D82">
      <w:fldChar w:fldCharType="begin"/>
    </w:r>
    <w:r w:rsidRPr="00335D82">
      <w:instrText xml:space="preserve"> PAGE  \* MERGEFORMAT </w:instrText>
    </w:r>
    <w:r w:rsidRPr="00335D82">
      <w:fldChar w:fldCharType="separate"/>
    </w:r>
    <w:r w:rsidR="00335D82" w:rsidRPr="00335D82">
      <w:rPr>
        <w:noProof/>
      </w:rPr>
      <w:t>4</w:t>
    </w:r>
    <w:r w:rsidRPr="00335D82">
      <w:fldChar w:fldCharType="end"/>
    </w:r>
    <w:r w:rsidRPr="00335D82">
      <w:t>/</w:t>
    </w:r>
    <w:r w:rsidR="00E14E4B">
      <w:fldChar w:fldCharType="begin"/>
    </w:r>
    <w:r w:rsidR="00E14E4B">
      <w:instrText xml:space="preserve"> NUMPAGES  \* MERGEFORMAT </w:instrText>
    </w:r>
    <w:r w:rsidR="00E14E4B">
      <w:fldChar w:fldCharType="separate"/>
    </w:r>
    <w:r w:rsidR="00CC78AA">
      <w:rPr>
        <w:noProof/>
      </w:rPr>
      <w:t>13</w:t>
    </w:r>
    <w:r w:rsidR="00E14E4B">
      <w:rPr>
        <w:noProof/>
      </w:rPr>
      <w:fldChar w:fldCharType="end"/>
    </w:r>
    <w:r w:rsidRPr="00335D82">
      <w:tab/>
    </w:r>
    <w:r w:rsidRPr="00335D82">
      <w:rPr>
        <w:rStyle w:val="HideTWBExt"/>
      </w:rPr>
      <w:t>&lt;PathFdR&gt;</w:t>
    </w:r>
    <w:r w:rsidRPr="00335D82">
      <w:t>RR\1298435RO.docx</w:t>
    </w:r>
    <w:r w:rsidRPr="00335D82">
      <w:rPr>
        <w:rStyle w:val="HideTWBExt"/>
      </w:rPr>
      <w:t>&lt;/PathFdR&gt;</w:t>
    </w:r>
  </w:p>
  <w:p w14:paraId="455D3237" w14:textId="77777777" w:rsidR="000810AD" w:rsidRPr="00335D82" w:rsidRDefault="000810AD" w:rsidP="00BA7323">
    <w:pPr>
      <w:pStyle w:val="EPFooter2"/>
    </w:pPr>
    <w:r w:rsidRPr="00335D82">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1F74EE" w14:textId="77777777" w:rsidR="000810AD" w:rsidRPr="00335D82" w:rsidRDefault="000810AD" w:rsidP="00BA7323">
    <w:pPr>
      <w:pStyle w:val="EPFooter"/>
    </w:pPr>
    <w:r w:rsidRPr="00335D82">
      <w:rPr>
        <w:rStyle w:val="HideTWBExt"/>
      </w:rPr>
      <w:t>&lt;PathFdR&gt;</w:t>
    </w:r>
    <w:r w:rsidRPr="00335D82">
      <w:t>RR\1298435RO.docx</w:t>
    </w:r>
    <w:r w:rsidRPr="00335D82">
      <w:rPr>
        <w:rStyle w:val="HideTWBExt"/>
      </w:rPr>
      <w:t>&lt;/PathFdR&gt;</w:t>
    </w:r>
    <w:r w:rsidRPr="00335D82">
      <w:tab/>
    </w:r>
    <w:r w:rsidRPr="00335D82">
      <w:tab/>
      <w:t>PE</w:t>
    </w:r>
    <w:r w:rsidRPr="00335D82">
      <w:rPr>
        <w:rStyle w:val="HideTWBExt"/>
      </w:rPr>
      <w:t>&lt;NoPE&gt;</w:t>
    </w:r>
    <w:r w:rsidRPr="00335D82">
      <w:t>753.479</w:t>
    </w:r>
    <w:r w:rsidRPr="00335D82">
      <w:rPr>
        <w:rStyle w:val="HideTWBExt"/>
      </w:rPr>
      <w:t>&lt;/NoPE&gt;&lt;Version&gt;</w:t>
    </w:r>
    <w:r w:rsidRPr="00335D82">
      <w:t>v02-00</w:t>
    </w:r>
    <w:r w:rsidRPr="00335D82">
      <w:rPr>
        <w:rStyle w:val="HideTWBExt"/>
      </w:rPr>
      <w:t>&lt;/Version&gt;</w:t>
    </w:r>
  </w:p>
  <w:p w14:paraId="65D59890" w14:textId="77777777" w:rsidR="000810AD" w:rsidRPr="00335D82" w:rsidRDefault="000810AD" w:rsidP="00BA7323">
    <w:pPr>
      <w:pStyle w:val="EPFooter2"/>
    </w:pPr>
    <w:r w:rsidRPr="00335D82">
      <w:t>RO</w:t>
    </w:r>
    <w:r w:rsidRPr="00335D82">
      <w:tab/>
    </w:r>
    <w:r w:rsidRPr="00335D82">
      <w:rPr>
        <w:b w:val="0"/>
        <w:i/>
        <w:color w:val="C0C0C0"/>
        <w:sz w:val="22"/>
      </w:rPr>
      <w:t>Unită în diversitate</w:t>
    </w:r>
    <w:r w:rsidRPr="00335D82">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6A6755" w14:textId="77777777" w:rsidR="00064002" w:rsidRPr="00335D82"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FB134F" w14:textId="77777777" w:rsidR="00064002" w:rsidRPr="00335D82"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17ED3E" w14:textId="77777777" w:rsidR="00064002" w:rsidRPr="00335D8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F43844" w14:textId="77777777" w:rsidR="00BE0458" w:rsidRPr="00335D82" w:rsidRDefault="00BE0458">
      <w:r w:rsidRPr="00335D82">
        <w:separator/>
      </w:r>
    </w:p>
  </w:footnote>
  <w:footnote w:type="continuationSeparator" w:id="0">
    <w:p w14:paraId="3E1519B8" w14:textId="77777777" w:rsidR="00BE0458" w:rsidRPr="00335D82" w:rsidRDefault="00BE0458">
      <w:r w:rsidRPr="00335D82">
        <w:continuationSeparator/>
      </w:r>
    </w:p>
  </w:footnote>
  <w:footnote w:id="1">
    <w:p w14:paraId="0E4D585A" w14:textId="77777777" w:rsidR="000810AD" w:rsidRPr="00335D82" w:rsidRDefault="000810AD" w:rsidP="00335D82">
      <w:pPr>
        <w:pStyle w:val="FootnoteText"/>
        <w:ind w:left="567" w:hanging="567"/>
        <w:rPr>
          <w:sz w:val="24"/>
          <w:lang w:val="ro-RO"/>
        </w:rPr>
      </w:pPr>
      <w:r w:rsidRPr="00335D82">
        <w:rPr>
          <w:rStyle w:val="FootnoteReference"/>
          <w:sz w:val="24"/>
          <w:lang w:val="ro-RO"/>
        </w:rPr>
        <w:footnoteRef/>
      </w:r>
      <w:r w:rsidR="00335D82" w:rsidRPr="00335D82">
        <w:rPr>
          <w:sz w:val="24"/>
          <w:lang w:val="ro-RO"/>
        </w:rPr>
        <w:t xml:space="preserve"> </w:t>
      </w:r>
      <w:r w:rsidR="00335D82" w:rsidRPr="00335D82">
        <w:rPr>
          <w:sz w:val="24"/>
          <w:lang w:val="ro-RO"/>
        </w:rPr>
        <w:tab/>
      </w:r>
      <w:r w:rsidRPr="00335D82">
        <w:rPr>
          <w:sz w:val="24"/>
          <w:lang w:val="ro-RO"/>
        </w:rPr>
        <w:t>JO L 45, 24.2.2022.</w:t>
      </w:r>
    </w:p>
  </w:footnote>
  <w:footnote w:id="2">
    <w:p w14:paraId="48432B65" w14:textId="77777777" w:rsidR="000810AD" w:rsidRPr="00335D82" w:rsidRDefault="000810AD" w:rsidP="00335D82">
      <w:pPr>
        <w:pStyle w:val="FootnoteText"/>
        <w:ind w:left="567" w:hanging="567"/>
        <w:rPr>
          <w:sz w:val="24"/>
          <w:lang w:val="ro-RO"/>
        </w:rPr>
      </w:pPr>
      <w:r w:rsidRPr="00335D82">
        <w:rPr>
          <w:rStyle w:val="FootnoteReference"/>
          <w:sz w:val="24"/>
          <w:lang w:val="ro-RO"/>
        </w:rPr>
        <w:footnoteRef/>
      </w:r>
      <w:r w:rsidR="00335D82" w:rsidRPr="00335D82">
        <w:rPr>
          <w:sz w:val="24"/>
          <w:lang w:val="ro-RO"/>
        </w:rPr>
        <w:t xml:space="preserve"> </w:t>
      </w:r>
      <w:r w:rsidR="00335D82" w:rsidRPr="00335D82">
        <w:rPr>
          <w:sz w:val="24"/>
          <w:lang w:val="ro-RO"/>
        </w:rPr>
        <w:tab/>
      </w:r>
      <w:r w:rsidRPr="00335D82">
        <w:rPr>
          <w:sz w:val="24"/>
          <w:lang w:val="ro-RO"/>
        </w:rPr>
        <w:t>JO C, C/2023/2, 12.10.2023.</w:t>
      </w:r>
    </w:p>
  </w:footnote>
  <w:footnote w:id="3">
    <w:p w14:paraId="53E48C18" w14:textId="77777777" w:rsidR="000810AD" w:rsidRPr="00335D82" w:rsidRDefault="000810AD" w:rsidP="00335D82">
      <w:pPr>
        <w:pStyle w:val="FootnoteText"/>
        <w:ind w:left="567" w:hanging="567"/>
        <w:rPr>
          <w:sz w:val="24"/>
          <w:lang w:val="ro-RO"/>
        </w:rPr>
      </w:pPr>
      <w:r w:rsidRPr="00335D82">
        <w:rPr>
          <w:rStyle w:val="FootnoteReference"/>
          <w:sz w:val="24"/>
          <w:lang w:val="ro-RO"/>
        </w:rPr>
        <w:footnoteRef/>
      </w:r>
      <w:r w:rsidR="00335D82" w:rsidRPr="00335D82">
        <w:rPr>
          <w:sz w:val="24"/>
          <w:lang w:val="ro-RO"/>
        </w:rPr>
        <w:t xml:space="preserve"> </w:t>
      </w:r>
      <w:r w:rsidR="00335D82" w:rsidRPr="00335D82">
        <w:rPr>
          <w:sz w:val="24"/>
          <w:lang w:val="ro-RO"/>
        </w:rPr>
        <w:tab/>
      </w:r>
      <w:r w:rsidRPr="00335D82">
        <w:rPr>
          <w:sz w:val="24"/>
          <w:lang w:val="ro-RO"/>
        </w:rPr>
        <w:t>JO C, C/2023/103, 4.10.2023.</w:t>
      </w:r>
    </w:p>
  </w:footnote>
  <w:footnote w:id="4">
    <w:p w14:paraId="01DF5CB9" w14:textId="77777777" w:rsidR="000810AD" w:rsidRPr="00335D82" w:rsidRDefault="000810AD" w:rsidP="00335D82">
      <w:pPr>
        <w:pStyle w:val="FootnoteText"/>
        <w:ind w:left="567" w:hanging="567"/>
        <w:rPr>
          <w:sz w:val="24"/>
          <w:lang w:val="ro-RO"/>
        </w:rPr>
      </w:pPr>
      <w:r w:rsidRPr="00335D82">
        <w:rPr>
          <w:rStyle w:val="FootnoteReference"/>
          <w:sz w:val="24"/>
          <w:lang w:val="ro-RO"/>
        </w:rPr>
        <w:footnoteRef/>
      </w:r>
      <w:r w:rsidR="00335D82" w:rsidRPr="00335D82">
        <w:rPr>
          <w:sz w:val="24"/>
          <w:lang w:val="ro-RO"/>
        </w:rPr>
        <w:t xml:space="preserve"> </w:t>
      </w:r>
      <w:r w:rsidR="00335D82" w:rsidRPr="00335D82">
        <w:rPr>
          <w:sz w:val="24"/>
          <w:lang w:val="ro-RO"/>
        </w:rPr>
        <w:tab/>
      </w:r>
      <w:r w:rsidRPr="00335D82">
        <w:rPr>
          <w:sz w:val="24"/>
          <w:lang w:val="ro-RO"/>
        </w:rPr>
        <w:t>JO C, C/2023/112, 12.10.2023.</w:t>
      </w:r>
    </w:p>
  </w:footnote>
  <w:footnote w:id="5">
    <w:p w14:paraId="70F4DD2D" w14:textId="77777777" w:rsidR="000810AD" w:rsidRPr="00335D82" w:rsidRDefault="000810AD" w:rsidP="00335D82">
      <w:pPr>
        <w:pStyle w:val="FootnoteText"/>
        <w:ind w:left="567" w:hanging="567"/>
        <w:rPr>
          <w:sz w:val="24"/>
          <w:szCs w:val="24"/>
          <w:lang w:val="ro-RO"/>
        </w:rPr>
      </w:pPr>
      <w:r w:rsidRPr="00335D82">
        <w:rPr>
          <w:rStyle w:val="FootnoteReference"/>
          <w:sz w:val="24"/>
          <w:lang w:val="ro-RO"/>
        </w:rPr>
        <w:footnoteRef/>
      </w:r>
      <w:r w:rsidR="00335D82" w:rsidRPr="00335D82">
        <w:rPr>
          <w:sz w:val="24"/>
          <w:lang w:val="ro-RO"/>
        </w:rPr>
        <w:t xml:space="preserve"> </w:t>
      </w:r>
      <w:r w:rsidR="00335D82" w:rsidRPr="00335D82">
        <w:rPr>
          <w:sz w:val="24"/>
          <w:lang w:val="ro-RO"/>
        </w:rPr>
        <w:tab/>
      </w:r>
      <w:r w:rsidRPr="00335D82">
        <w:rPr>
          <w:sz w:val="24"/>
          <w:lang w:val="ro-RO"/>
        </w:rPr>
        <w:t>JO L 193, 30.7.2018, p. 1.</w:t>
      </w:r>
    </w:p>
  </w:footnote>
  <w:footnote w:id="6">
    <w:p w14:paraId="7CD5FB7C" w14:textId="77777777" w:rsidR="000810AD" w:rsidRPr="00335D82" w:rsidRDefault="000810AD" w:rsidP="00335D82">
      <w:pPr>
        <w:pStyle w:val="FootnoteText"/>
        <w:ind w:left="567" w:hanging="567"/>
        <w:rPr>
          <w:sz w:val="24"/>
          <w:lang w:val="ro-RO"/>
        </w:rPr>
      </w:pPr>
      <w:r w:rsidRPr="00335D82">
        <w:rPr>
          <w:rStyle w:val="FootnoteReference"/>
          <w:sz w:val="24"/>
          <w:lang w:val="ro-RO"/>
        </w:rPr>
        <w:footnoteRef/>
      </w:r>
      <w:r w:rsidR="00335D82" w:rsidRPr="00335D82">
        <w:rPr>
          <w:sz w:val="24"/>
          <w:lang w:val="ro-RO"/>
        </w:rPr>
        <w:t xml:space="preserve"> </w:t>
      </w:r>
      <w:r w:rsidR="00335D82" w:rsidRPr="00335D82">
        <w:rPr>
          <w:sz w:val="24"/>
          <w:lang w:val="ro-RO"/>
        </w:rPr>
        <w:tab/>
      </w:r>
      <w:r w:rsidRPr="00335D82">
        <w:rPr>
          <w:sz w:val="24"/>
          <w:lang w:val="ro-RO"/>
        </w:rPr>
        <w:t>Hotărârea Tribunalului din 25 ianuarie 2023, cauza De Capitani/Consiliul, T-163/21, CLI:EU:T:2023:15.</w:t>
      </w:r>
    </w:p>
  </w:footnote>
  <w:footnote w:id="7">
    <w:p w14:paraId="381DC9CB" w14:textId="77777777" w:rsidR="000810AD" w:rsidRPr="00335D82" w:rsidRDefault="000810AD" w:rsidP="00335D82">
      <w:pPr>
        <w:pStyle w:val="FootnoteText"/>
        <w:ind w:left="567" w:hanging="567"/>
        <w:rPr>
          <w:sz w:val="24"/>
          <w:lang w:val="ro-RO"/>
        </w:rPr>
      </w:pPr>
      <w:r w:rsidRPr="00335D82">
        <w:rPr>
          <w:rStyle w:val="FootnoteReference"/>
          <w:sz w:val="24"/>
          <w:lang w:val="ro-RO"/>
        </w:rPr>
        <w:footnoteRef/>
      </w:r>
      <w:r w:rsidR="00335D82" w:rsidRPr="00335D82">
        <w:rPr>
          <w:sz w:val="24"/>
          <w:lang w:val="ro-RO"/>
        </w:rPr>
        <w:t xml:space="preserve"> </w:t>
      </w:r>
      <w:r w:rsidR="00335D82" w:rsidRPr="00335D82">
        <w:rPr>
          <w:sz w:val="24"/>
          <w:lang w:val="ro-RO"/>
        </w:rPr>
        <w:tab/>
      </w:r>
      <w:r w:rsidRPr="00335D82">
        <w:rPr>
          <w:sz w:val="24"/>
          <w:lang w:val="ro-RO"/>
        </w:rPr>
        <w:t>JO C 445, 29.10.2021, p. 150.</w:t>
      </w:r>
    </w:p>
  </w:footnote>
  <w:footnote w:id="8">
    <w:p w14:paraId="69D3536D" w14:textId="77777777" w:rsidR="000810AD" w:rsidRPr="00335D82" w:rsidRDefault="000810AD" w:rsidP="00335D82">
      <w:pPr>
        <w:pStyle w:val="FootnoteText"/>
        <w:ind w:left="567" w:hanging="567"/>
        <w:rPr>
          <w:sz w:val="24"/>
          <w:lang w:val="ro-RO"/>
        </w:rPr>
      </w:pPr>
      <w:r w:rsidRPr="00335D82">
        <w:rPr>
          <w:rStyle w:val="FootnoteReference"/>
          <w:sz w:val="24"/>
          <w:lang w:val="ro-RO"/>
        </w:rPr>
        <w:footnoteRef/>
      </w:r>
      <w:r w:rsidR="00335D82" w:rsidRPr="00335D82">
        <w:rPr>
          <w:sz w:val="24"/>
          <w:lang w:val="ro-RO"/>
        </w:rPr>
        <w:t xml:space="preserve"> </w:t>
      </w:r>
      <w:r w:rsidR="00335D82" w:rsidRPr="00335D82">
        <w:rPr>
          <w:sz w:val="24"/>
          <w:lang w:val="ro-RO"/>
        </w:rPr>
        <w:tab/>
      </w:r>
      <w:r w:rsidRPr="00335D82">
        <w:rPr>
          <w:sz w:val="24"/>
          <w:lang w:val="ro-RO"/>
        </w:rPr>
        <w:t>JO L 207, 11.6.2021, p. 1.</w:t>
      </w:r>
    </w:p>
  </w:footnote>
  <w:footnote w:id="9">
    <w:p w14:paraId="6B345EE7" w14:textId="77777777" w:rsidR="000810AD" w:rsidRPr="00335D82" w:rsidRDefault="000810AD" w:rsidP="00335D82">
      <w:pPr>
        <w:pStyle w:val="FootnoteText"/>
        <w:ind w:left="567" w:hanging="567"/>
        <w:rPr>
          <w:sz w:val="24"/>
          <w:lang w:val="ro-RO"/>
        </w:rPr>
      </w:pPr>
      <w:r w:rsidRPr="00335D82">
        <w:rPr>
          <w:rStyle w:val="FootnoteReference"/>
          <w:sz w:val="24"/>
          <w:lang w:val="ro-RO"/>
        </w:rPr>
        <w:footnoteRef/>
      </w:r>
      <w:r w:rsidR="00335D82" w:rsidRPr="00335D82">
        <w:rPr>
          <w:sz w:val="24"/>
          <w:lang w:val="ro-RO"/>
        </w:rPr>
        <w:t xml:space="preserve"> </w:t>
      </w:r>
      <w:r w:rsidR="00335D82" w:rsidRPr="00335D82">
        <w:rPr>
          <w:sz w:val="24"/>
          <w:lang w:val="ro-RO"/>
        </w:rPr>
        <w:tab/>
      </w:r>
      <w:r w:rsidRPr="00335D82">
        <w:rPr>
          <w:sz w:val="24"/>
          <w:lang w:val="ro-RO"/>
        </w:rPr>
        <w:t>JO L 238, 27.9.2023, p. 114.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86AD4B" w14:textId="77777777" w:rsidR="00064002" w:rsidRPr="00335D8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A90513" w14:textId="77777777" w:rsidR="00064002" w:rsidRPr="00335D8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9F6621" w14:textId="77777777" w:rsidR="00064002" w:rsidRPr="00335D8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8266102A">
      <w:start w:val="1"/>
      <w:numFmt w:val="upperLetter"/>
      <w:lvlText w:val="%1."/>
      <w:lvlJc w:val="left"/>
      <w:pPr>
        <w:tabs>
          <w:tab w:val="num" w:pos="360"/>
        </w:tabs>
        <w:ind w:left="360" w:hanging="360"/>
      </w:pPr>
      <w:rPr>
        <w:rFonts w:hint="default"/>
      </w:rPr>
    </w:lvl>
    <w:lvl w:ilvl="1" w:tplc="7F3E0708" w:tentative="1">
      <w:start w:val="1"/>
      <w:numFmt w:val="lowerLetter"/>
      <w:lvlText w:val="%2."/>
      <w:lvlJc w:val="left"/>
      <w:pPr>
        <w:tabs>
          <w:tab w:val="num" w:pos="1080"/>
        </w:tabs>
        <w:ind w:left="1080" w:hanging="360"/>
      </w:pPr>
    </w:lvl>
    <w:lvl w:ilvl="2" w:tplc="35B0F93E" w:tentative="1">
      <w:start w:val="1"/>
      <w:numFmt w:val="lowerRoman"/>
      <w:lvlText w:val="%3."/>
      <w:lvlJc w:val="right"/>
      <w:pPr>
        <w:tabs>
          <w:tab w:val="num" w:pos="1800"/>
        </w:tabs>
        <w:ind w:left="1800" w:hanging="180"/>
      </w:pPr>
    </w:lvl>
    <w:lvl w:ilvl="3" w:tplc="6116DEC4" w:tentative="1">
      <w:start w:val="1"/>
      <w:numFmt w:val="decimal"/>
      <w:lvlText w:val="%4."/>
      <w:lvlJc w:val="left"/>
      <w:pPr>
        <w:tabs>
          <w:tab w:val="num" w:pos="2520"/>
        </w:tabs>
        <w:ind w:left="2520" w:hanging="360"/>
      </w:pPr>
    </w:lvl>
    <w:lvl w:ilvl="4" w:tplc="B4E659F6" w:tentative="1">
      <w:start w:val="1"/>
      <w:numFmt w:val="lowerLetter"/>
      <w:lvlText w:val="%5."/>
      <w:lvlJc w:val="left"/>
      <w:pPr>
        <w:tabs>
          <w:tab w:val="num" w:pos="3240"/>
        </w:tabs>
        <w:ind w:left="3240" w:hanging="360"/>
      </w:pPr>
    </w:lvl>
    <w:lvl w:ilvl="5" w:tplc="8C8AF710" w:tentative="1">
      <w:start w:val="1"/>
      <w:numFmt w:val="lowerRoman"/>
      <w:lvlText w:val="%6."/>
      <w:lvlJc w:val="right"/>
      <w:pPr>
        <w:tabs>
          <w:tab w:val="num" w:pos="3960"/>
        </w:tabs>
        <w:ind w:left="3960" w:hanging="180"/>
      </w:pPr>
    </w:lvl>
    <w:lvl w:ilvl="6" w:tplc="AA121A6A" w:tentative="1">
      <w:start w:val="1"/>
      <w:numFmt w:val="decimal"/>
      <w:lvlText w:val="%7."/>
      <w:lvlJc w:val="left"/>
      <w:pPr>
        <w:tabs>
          <w:tab w:val="num" w:pos="4680"/>
        </w:tabs>
        <w:ind w:left="4680" w:hanging="360"/>
      </w:pPr>
    </w:lvl>
    <w:lvl w:ilvl="7" w:tplc="D5BAF206" w:tentative="1">
      <w:start w:val="1"/>
      <w:numFmt w:val="lowerLetter"/>
      <w:lvlText w:val="%8."/>
      <w:lvlJc w:val="left"/>
      <w:pPr>
        <w:tabs>
          <w:tab w:val="num" w:pos="5400"/>
        </w:tabs>
        <w:ind w:left="5400" w:hanging="360"/>
      </w:pPr>
    </w:lvl>
    <w:lvl w:ilvl="8" w:tplc="7ABCDB02" w:tentative="1">
      <w:start w:val="1"/>
      <w:numFmt w:val="lowerRoman"/>
      <w:lvlText w:val="%9."/>
      <w:lvlJc w:val="right"/>
      <w:pPr>
        <w:tabs>
          <w:tab w:val="num" w:pos="6120"/>
        </w:tabs>
        <w:ind w:left="612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62D6E49"/>
    <w:multiLevelType w:val="hybridMultilevel"/>
    <w:tmpl w:val="78B8CEFC"/>
    <w:lvl w:ilvl="0" w:tplc="AA482B76">
      <w:start w:val="1"/>
      <w:numFmt w:val="decimal"/>
      <w:lvlText w:val="%1."/>
      <w:lvlJc w:val="left"/>
      <w:pPr>
        <w:tabs>
          <w:tab w:val="num" w:pos="720"/>
        </w:tabs>
        <w:ind w:left="720" w:hanging="360"/>
      </w:pPr>
    </w:lvl>
    <w:lvl w:ilvl="1" w:tplc="A75C0F4E" w:tentative="1">
      <w:start w:val="1"/>
      <w:numFmt w:val="lowerLetter"/>
      <w:lvlText w:val="%2."/>
      <w:lvlJc w:val="left"/>
      <w:pPr>
        <w:tabs>
          <w:tab w:val="num" w:pos="1440"/>
        </w:tabs>
        <w:ind w:left="1440" w:hanging="360"/>
      </w:pPr>
    </w:lvl>
    <w:lvl w:ilvl="2" w:tplc="A33A7394" w:tentative="1">
      <w:start w:val="1"/>
      <w:numFmt w:val="lowerRoman"/>
      <w:lvlText w:val="%3."/>
      <w:lvlJc w:val="right"/>
      <w:pPr>
        <w:tabs>
          <w:tab w:val="num" w:pos="2160"/>
        </w:tabs>
        <w:ind w:left="2160" w:hanging="180"/>
      </w:pPr>
    </w:lvl>
    <w:lvl w:ilvl="3" w:tplc="678848E2" w:tentative="1">
      <w:start w:val="1"/>
      <w:numFmt w:val="decimal"/>
      <w:lvlText w:val="%4."/>
      <w:lvlJc w:val="left"/>
      <w:pPr>
        <w:tabs>
          <w:tab w:val="num" w:pos="2880"/>
        </w:tabs>
        <w:ind w:left="2880" w:hanging="360"/>
      </w:pPr>
    </w:lvl>
    <w:lvl w:ilvl="4" w:tplc="667AD128" w:tentative="1">
      <w:start w:val="1"/>
      <w:numFmt w:val="lowerLetter"/>
      <w:lvlText w:val="%5."/>
      <w:lvlJc w:val="left"/>
      <w:pPr>
        <w:tabs>
          <w:tab w:val="num" w:pos="3600"/>
        </w:tabs>
        <w:ind w:left="3600" w:hanging="360"/>
      </w:pPr>
    </w:lvl>
    <w:lvl w:ilvl="5" w:tplc="87BCA7A2" w:tentative="1">
      <w:start w:val="1"/>
      <w:numFmt w:val="lowerRoman"/>
      <w:lvlText w:val="%6."/>
      <w:lvlJc w:val="right"/>
      <w:pPr>
        <w:tabs>
          <w:tab w:val="num" w:pos="4320"/>
        </w:tabs>
        <w:ind w:left="4320" w:hanging="180"/>
      </w:pPr>
    </w:lvl>
    <w:lvl w:ilvl="6" w:tplc="A6266BFC" w:tentative="1">
      <w:start w:val="1"/>
      <w:numFmt w:val="decimal"/>
      <w:lvlText w:val="%7."/>
      <w:lvlJc w:val="left"/>
      <w:pPr>
        <w:tabs>
          <w:tab w:val="num" w:pos="5040"/>
        </w:tabs>
        <w:ind w:left="5040" w:hanging="360"/>
      </w:pPr>
    </w:lvl>
    <w:lvl w:ilvl="7" w:tplc="0076151E" w:tentative="1">
      <w:start w:val="1"/>
      <w:numFmt w:val="lowerLetter"/>
      <w:lvlText w:val="%8."/>
      <w:lvlJc w:val="left"/>
      <w:pPr>
        <w:tabs>
          <w:tab w:val="num" w:pos="5760"/>
        </w:tabs>
        <w:ind w:left="5760" w:hanging="360"/>
      </w:pPr>
    </w:lvl>
    <w:lvl w:ilvl="8" w:tplc="8E329A02" w:tentative="1">
      <w:start w:val="1"/>
      <w:numFmt w:val="lowerRoman"/>
      <w:lvlText w:val="%9."/>
      <w:lvlJc w:val="right"/>
      <w:pPr>
        <w:tabs>
          <w:tab w:val="num" w:pos="6480"/>
        </w:tabs>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3"/>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1/2024"/>
    <w:docVar w:name="dvlangue" w:val="RO"/>
    <w:docVar w:name="dvnumam" w:val="0"/>
    <w:docVar w:name="dvpe" w:val="753.479"/>
    <w:docVar w:name="dvrapporteur" w:val="Raportor: "/>
    <w:docVar w:name="dvtitre" w:val="1. Decizia Parlamentului European din ... 2024 privind referitor la descărcarea de gestiune pentru execuția bugetului general al Uniunii Europene aferent exercițiului financiar 2022, secțiunea II - Consiliul European și Consiliul(2023/2131(DEC))"/>
  </w:docVars>
  <w:rsids>
    <w:rsidRoot w:val="00BE0458"/>
    <w:rsid w:val="00002272"/>
    <w:rsid w:val="00064002"/>
    <w:rsid w:val="000677B9"/>
    <w:rsid w:val="000810AD"/>
    <w:rsid w:val="000831BA"/>
    <w:rsid w:val="000A42CC"/>
    <w:rsid w:val="000E7DD9"/>
    <w:rsid w:val="0010095E"/>
    <w:rsid w:val="00125B37"/>
    <w:rsid w:val="00187494"/>
    <w:rsid w:val="001F32AE"/>
    <w:rsid w:val="002767FF"/>
    <w:rsid w:val="002B18FE"/>
    <w:rsid w:val="002B5493"/>
    <w:rsid w:val="00335D82"/>
    <w:rsid w:val="00343214"/>
    <w:rsid w:val="00361C00"/>
    <w:rsid w:val="00395FA1"/>
    <w:rsid w:val="003E15D4"/>
    <w:rsid w:val="00411CCE"/>
    <w:rsid w:val="0041666E"/>
    <w:rsid w:val="00421060"/>
    <w:rsid w:val="00471C19"/>
    <w:rsid w:val="004867E3"/>
    <w:rsid w:val="0049369D"/>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0827"/>
    <w:rsid w:val="00A43E52"/>
    <w:rsid w:val="00A4678D"/>
    <w:rsid w:val="00A778C7"/>
    <w:rsid w:val="00AB441E"/>
    <w:rsid w:val="00AB6293"/>
    <w:rsid w:val="00AE0928"/>
    <w:rsid w:val="00AF3B82"/>
    <w:rsid w:val="00B12E95"/>
    <w:rsid w:val="00B22876"/>
    <w:rsid w:val="00B558F0"/>
    <w:rsid w:val="00BD48FE"/>
    <w:rsid w:val="00BD7BD8"/>
    <w:rsid w:val="00BE0458"/>
    <w:rsid w:val="00BE6ADC"/>
    <w:rsid w:val="00C05BFE"/>
    <w:rsid w:val="00C07479"/>
    <w:rsid w:val="00C23CD4"/>
    <w:rsid w:val="00C61C0C"/>
    <w:rsid w:val="00C878C1"/>
    <w:rsid w:val="00C941CB"/>
    <w:rsid w:val="00CC2357"/>
    <w:rsid w:val="00CC78AA"/>
    <w:rsid w:val="00CF071A"/>
    <w:rsid w:val="00D058B8"/>
    <w:rsid w:val="00D56C11"/>
    <w:rsid w:val="00D834A0"/>
    <w:rsid w:val="00D872DF"/>
    <w:rsid w:val="00D91E21"/>
    <w:rsid w:val="00DA7EC0"/>
    <w:rsid w:val="00DA7FCD"/>
    <w:rsid w:val="00E14E4B"/>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ADABC2"/>
  <w15:chartTrackingRefBased/>
  <w15:docId w15:val="{E5DE3050-C046-4E9C-B84E-C875CF7AE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810AD"/>
    <w:rPr>
      <w:b/>
      <w:kern w:val="28"/>
      <w:sz w:val="28"/>
      <w:lang w:val="fr-FR" w:eastAsia="fr-FR"/>
    </w:rPr>
  </w:style>
  <w:style w:type="character" w:customStyle="1" w:styleId="Heading2Char">
    <w:name w:val="Heading 2 Char"/>
    <w:basedOn w:val="DefaultParagraphFont"/>
    <w:link w:val="Heading2"/>
    <w:semiHidden/>
    <w:rsid w:val="000810AD"/>
    <w:rPr>
      <w:sz w:val="24"/>
      <w:lang w:val="fr-FR" w:eastAsia="fr-FR"/>
    </w:rPr>
  </w:style>
  <w:style w:type="character" w:customStyle="1" w:styleId="Heading3Char">
    <w:name w:val="Heading 3 Char"/>
    <w:basedOn w:val="DefaultParagraphFont"/>
    <w:link w:val="Heading3"/>
    <w:semiHidden/>
    <w:rsid w:val="000810AD"/>
    <w:rPr>
      <w:rFonts w:ascii="Arial" w:hAnsi="Arial"/>
      <w:sz w:val="24"/>
      <w:lang w:val="fr-FR" w:eastAsia="fr-FR"/>
    </w:rPr>
  </w:style>
  <w:style w:type="character" w:customStyle="1" w:styleId="Heading4Char">
    <w:name w:val="Heading 4 Char"/>
    <w:basedOn w:val="DefaultParagraphFont"/>
    <w:link w:val="Heading4"/>
    <w:semiHidden/>
    <w:rsid w:val="000810AD"/>
    <w:rPr>
      <w:sz w:val="24"/>
      <w:lang w:val="en-US" w:eastAsia="fr-FR"/>
    </w:rPr>
  </w:style>
  <w:style w:type="character" w:customStyle="1" w:styleId="Heading5Char">
    <w:name w:val="Heading 5 Char"/>
    <w:basedOn w:val="DefaultParagraphFont"/>
    <w:link w:val="Heading5"/>
    <w:semiHidden/>
    <w:rsid w:val="000810AD"/>
    <w:rPr>
      <w:sz w:val="24"/>
      <w:lang w:val="en-US" w:eastAsia="fr-FR"/>
    </w:rPr>
  </w:style>
  <w:style w:type="character" w:customStyle="1" w:styleId="Heading6Char">
    <w:name w:val="Heading 6 Char"/>
    <w:basedOn w:val="DefaultParagraphFont"/>
    <w:link w:val="Heading6"/>
    <w:semiHidden/>
    <w:rsid w:val="000810AD"/>
    <w:rPr>
      <w:i/>
      <w:sz w:val="22"/>
      <w:lang w:val="ro-RO"/>
    </w:rPr>
  </w:style>
  <w:style w:type="character" w:customStyle="1" w:styleId="Heading7Char">
    <w:name w:val="Heading 7 Char"/>
    <w:basedOn w:val="DefaultParagraphFont"/>
    <w:link w:val="Heading7"/>
    <w:semiHidden/>
    <w:rsid w:val="000810AD"/>
    <w:rPr>
      <w:rFonts w:ascii="Arial" w:hAnsi="Arial"/>
      <w:sz w:val="24"/>
      <w:lang w:val="ro-RO"/>
    </w:rPr>
  </w:style>
  <w:style w:type="character" w:customStyle="1" w:styleId="Heading8Char">
    <w:name w:val="Heading 8 Char"/>
    <w:basedOn w:val="DefaultParagraphFont"/>
    <w:link w:val="Heading8"/>
    <w:semiHidden/>
    <w:rsid w:val="000810AD"/>
    <w:rPr>
      <w:rFonts w:ascii="Arial" w:hAnsi="Arial"/>
      <w:i/>
      <w:sz w:val="24"/>
      <w:lang w:val="ro-RO"/>
    </w:rPr>
  </w:style>
  <w:style w:type="character" w:customStyle="1" w:styleId="Heading9Char">
    <w:name w:val="Heading 9 Char"/>
    <w:basedOn w:val="DefaultParagraphFont"/>
    <w:link w:val="Heading9"/>
    <w:semiHidden/>
    <w:rsid w:val="000810AD"/>
    <w:rPr>
      <w:rFonts w:ascii="Arial" w:hAnsi="Arial"/>
      <w:b/>
      <w:i/>
      <w:sz w:val="18"/>
      <w:lang w:val="ro-RO"/>
    </w:rPr>
  </w:style>
  <w:style w:type="paragraph" w:styleId="TOCHeading">
    <w:name w:val="TOC Heading"/>
    <w:basedOn w:val="Normal"/>
    <w:next w:val="Normal"/>
    <w:unhideWhenUsed/>
    <w:qFormat/>
    <w:rsid w:val="000810AD"/>
    <w:pPr>
      <w:widowControl/>
      <w:spacing w:after="240"/>
    </w:pPr>
    <w:rPr>
      <w:lang w:val="en-GB"/>
    </w:rPr>
  </w:style>
  <w:style w:type="paragraph" w:customStyle="1" w:styleId="EPFooter2">
    <w:name w:val="EPFooter2"/>
    <w:basedOn w:val="Normal"/>
    <w:next w:val="Normal"/>
    <w:rsid w:val="000810A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810AD"/>
    <w:pPr>
      <w:spacing w:before="480" w:after="240"/>
    </w:pPr>
  </w:style>
  <w:style w:type="paragraph" w:customStyle="1" w:styleId="TOCPage">
    <w:name w:val="TOC Page"/>
    <w:basedOn w:val="Normal"/>
    <w:next w:val="TOC1"/>
    <w:rsid w:val="000810AD"/>
    <w:pPr>
      <w:keepNext/>
      <w:spacing w:after="240"/>
      <w:jc w:val="right"/>
    </w:pPr>
    <w:rPr>
      <w:rFonts w:ascii="Arial" w:hAnsi="Arial"/>
      <w:b/>
    </w:rPr>
  </w:style>
  <w:style w:type="paragraph" w:customStyle="1" w:styleId="PageHeading">
    <w:name w:val="PageHeading"/>
    <w:basedOn w:val="Normal"/>
    <w:link w:val="PageHeadingChar"/>
    <w:rsid w:val="000810AD"/>
    <w:pPr>
      <w:keepNext/>
      <w:spacing w:after="480"/>
      <w:jc w:val="center"/>
    </w:pPr>
    <w:rPr>
      <w:rFonts w:ascii="Arial" w:hAnsi="Arial" w:cs="Arial"/>
      <w:b/>
    </w:rPr>
  </w:style>
  <w:style w:type="paragraph" w:customStyle="1" w:styleId="NormalBold">
    <w:name w:val="NormalBold"/>
    <w:basedOn w:val="Normal"/>
    <w:rsid w:val="000810AD"/>
    <w:rPr>
      <w:b/>
    </w:rPr>
  </w:style>
  <w:style w:type="paragraph" w:customStyle="1" w:styleId="NormalHanging12a">
    <w:name w:val="NormalHanging12a"/>
    <w:basedOn w:val="Normal"/>
    <w:link w:val="NormalHanging12aChar"/>
    <w:rsid w:val="000810AD"/>
    <w:pPr>
      <w:spacing w:after="240"/>
      <w:ind w:left="567" w:hanging="567"/>
    </w:pPr>
  </w:style>
  <w:style w:type="paragraph" w:customStyle="1" w:styleId="CoverNormal24a">
    <w:name w:val="CoverNormal24a"/>
    <w:basedOn w:val="Normal"/>
    <w:rsid w:val="000810AD"/>
    <w:pPr>
      <w:spacing w:after="480"/>
      <w:ind w:left="1417"/>
    </w:pPr>
  </w:style>
  <w:style w:type="paragraph" w:customStyle="1" w:styleId="CoverNormal">
    <w:name w:val="CoverNormal"/>
    <w:basedOn w:val="Normal"/>
    <w:rsid w:val="000810AD"/>
    <w:pPr>
      <w:ind w:left="1418"/>
    </w:pPr>
  </w:style>
  <w:style w:type="paragraph" w:customStyle="1" w:styleId="CoverReference">
    <w:name w:val="CoverReference"/>
    <w:basedOn w:val="Normal"/>
    <w:rsid w:val="000810AD"/>
    <w:pPr>
      <w:spacing w:before="1080"/>
      <w:jc w:val="right"/>
    </w:pPr>
    <w:rPr>
      <w:rFonts w:ascii="Arial" w:hAnsi="Arial" w:cs="Arial"/>
      <w:b/>
    </w:rPr>
  </w:style>
  <w:style w:type="paragraph" w:customStyle="1" w:styleId="CoverDocType24a">
    <w:name w:val="CoverDocType24a"/>
    <w:basedOn w:val="Normal"/>
    <w:rsid w:val="000810AD"/>
    <w:pPr>
      <w:spacing w:after="480"/>
      <w:ind w:left="1418"/>
    </w:pPr>
    <w:rPr>
      <w:rFonts w:ascii="Arial" w:hAnsi="Arial"/>
      <w:b/>
      <w:sz w:val="48"/>
    </w:rPr>
  </w:style>
  <w:style w:type="paragraph" w:customStyle="1" w:styleId="CoverDate">
    <w:name w:val="CoverDate"/>
    <w:basedOn w:val="Normal"/>
    <w:rsid w:val="000810AD"/>
    <w:pPr>
      <w:spacing w:before="240" w:after="1200"/>
    </w:pPr>
  </w:style>
  <w:style w:type="paragraph" w:styleId="Header">
    <w:name w:val="header"/>
    <w:basedOn w:val="Normal"/>
    <w:link w:val="HeaderChar"/>
    <w:rsid w:val="000810AD"/>
    <w:pPr>
      <w:tabs>
        <w:tab w:val="center" w:pos="4513"/>
        <w:tab w:val="right" w:pos="9026"/>
      </w:tabs>
    </w:pPr>
  </w:style>
  <w:style w:type="character" w:customStyle="1" w:styleId="HeaderChar">
    <w:name w:val="Header Char"/>
    <w:basedOn w:val="DefaultParagraphFont"/>
    <w:link w:val="Header"/>
    <w:rsid w:val="000810AD"/>
    <w:rPr>
      <w:sz w:val="24"/>
      <w:lang w:val="ro-RO"/>
    </w:rPr>
  </w:style>
  <w:style w:type="paragraph" w:customStyle="1" w:styleId="EPBody">
    <w:name w:val="EPBody"/>
    <w:basedOn w:val="Normal"/>
    <w:rsid w:val="000810AD"/>
    <w:pPr>
      <w:jc w:val="center"/>
    </w:pPr>
    <w:rPr>
      <w:rFonts w:ascii="Arial" w:hAnsi="Arial" w:cs="Arial"/>
      <w:i/>
      <w:sz w:val="22"/>
      <w:szCs w:val="22"/>
    </w:rPr>
  </w:style>
  <w:style w:type="paragraph" w:customStyle="1" w:styleId="EPFooter">
    <w:name w:val="EPFooter"/>
    <w:basedOn w:val="Normal"/>
    <w:rsid w:val="000810AD"/>
    <w:pPr>
      <w:tabs>
        <w:tab w:val="center" w:pos="4535"/>
        <w:tab w:val="right" w:pos="9071"/>
      </w:tabs>
      <w:spacing w:before="240" w:after="240"/>
    </w:pPr>
    <w:rPr>
      <w:color w:val="010000"/>
      <w:sz w:val="22"/>
    </w:rPr>
  </w:style>
  <w:style w:type="character" w:styleId="Hyperlink">
    <w:name w:val="Hyperlink"/>
    <w:basedOn w:val="DefaultParagraphFont"/>
    <w:unhideWhenUsed/>
    <w:rsid w:val="000810AD"/>
    <w:rPr>
      <w:color w:val="0563C1" w:themeColor="hyperlink"/>
      <w:u w:val="single"/>
    </w:rPr>
  </w:style>
  <w:style w:type="paragraph" w:styleId="CommentText">
    <w:name w:val="annotation text"/>
    <w:basedOn w:val="Normal"/>
    <w:link w:val="CommentTextChar"/>
    <w:unhideWhenUsed/>
    <w:rsid w:val="000810AD"/>
    <w:rPr>
      <w:sz w:val="20"/>
    </w:rPr>
  </w:style>
  <w:style w:type="character" w:customStyle="1" w:styleId="CommentTextChar">
    <w:name w:val="Comment Text Char"/>
    <w:basedOn w:val="DefaultParagraphFont"/>
    <w:link w:val="CommentText"/>
    <w:rsid w:val="000810AD"/>
    <w:rPr>
      <w:lang w:val="ro-RO"/>
    </w:rPr>
  </w:style>
  <w:style w:type="character" w:styleId="CommentReference">
    <w:name w:val="annotation reference"/>
    <w:basedOn w:val="DefaultParagraphFont"/>
    <w:unhideWhenUsed/>
    <w:rsid w:val="000810AD"/>
    <w:rPr>
      <w:sz w:val="16"/>
      <w:szCs w:val="16"/>
    </w:rPr>
  </w:style>
  <w:style w:type="paragraph" w:styleId="BalloonText">
    <w:name w:val="Balloon Text"/>
    <w:basedOn w:val="Normal"/>
    <w:link w:val="BalloonTextChar"/>
    <w:unhideWhenUsed/>
    <w:rsid w:val="000810AD"/>
    <w:rPr>
      <w:rFonts w:ascii="Segoe UI" w:hAnsi="Segoe UI" w:cs="Segoe UI"/>
      <w:sz w:val="18"/>
      <w:szCs w:val="18"/>
    </w:rPr>
  </w:style>
  <w:style w:type="character" w:customStyle="1" w:styleId="BalloonTextChar">
    <w:name w:val="Balloon Text Char"/>
    <w:basedOn w:val="DefaultParagraphFont"/>
    <w:link w:val="BalloonText"/>
    <w:rsid w:val="000810AD"/>
    <w:rPr>
      <w:rFonts w:ascii="Segoe UI" w:hAnsi="Segoe UI" w:cs="Segoe UI"/>
      <w:sz w:val="18"/>
      <w:szCs w:val="18"/>
      <w:lang w:val="ro-RO"/>
    </w:rPr>
  </w:style>
  <w:style w:type="character" w:customStyle="1" w:styleId="NormalHanging12aChar">
    <w:name w:val="NormalHanging12a Char"/>
    <w:basedOn w:val="DefaultParagraphFont"/>
    <w:link w:val="NormalHanging12a"/>
    <w:locked/>
    <w:rsid w:val="000810AD"/>
    <w:rPr>
      <w:sz w:val="24"/>
      <w:lang w:val="ro-RO"/>
    </w:rPr>
  </w:style>
  <w:style w:type="paragraph" w:styleId="CommentSubject">
    <w:name w:val="annotation subject"/>
    <w:basedOn w:val="CommentText"/>
    <w:next w:val="CommentText"/>
    <w:link w:val="CommentSubjectChar"/>
    <w:unhideWhenUsed/>
    <w:rsid w:val="000810AD"/>
    <w:rPr>
      <w:b/>
      <w:bCs/>
    </w:rPr>
  </w:style>
  <w:style w:type="character" w:customStyle="1" w:styleId="CommentSubjectChar">
    <w:name w:val="Comment Subject Char"/>
    <w:basedOn w:val="CommentTextChar"/>
    <w:link w:val="CommentSubject"/>
    <w:rsid w:val="000810AD"/>
    <w:rPr>
      <w:b/>
      <w:bCs/>
      <w:lang w:val="ro-RO"/>
    </w:rPr>
  </w:style>
  <w:style w:type="paragraph" w:customStyle="1" w:styleId="Normal12a">
    <w:name w:val="Normal12a"/>
    <w:basedOn w:val="Normal"/>
    <w:rsid w:val="000810AD"/>
    <w:pPr>
      <w:spacing w:after="240"/>
    </w:pPr>
  </w:style>
  <w:style w:type="paragraph" w:customStyle="1" w:styleId="LetterSalutation">
    <w:name w:val="LetterSalutation"/>
    <w:basedOn w:val="Normal"/>
    <w:rsid w:val="000810AD"/>
    <w:pPr>
      <w:spacing w:before="600" w:after="360"/>
    </w:pPr>
  </w:style>
  <w:style w:type="paragraph" w:customStyle="1" w:styleId="LetterSubject">
    <w:name w:val="LetterSubject"/>
    <w:basedOn w:val="Normal"/>
    <w:rsid w:val="000810AD"/>
    <w:pPr>
      <w:spacing w:before="480"/>
      <w:ind w:left="1134" w:hanging="1134"/>
    </w:pPr>
  </w:style>
  <w:style w:type="paragraph" w:customStyle="1" w:styleId="PageHeadingNotTOC">
    <w:name w:val="PageHeadingNotTOC"/>
    <w:basedOn w:val="Normal"/>
    <w:rsid w:val="000810AD"/>
    <w:pPr>
      <w:keepNext/>
      <w:spacing w:after="480"/>
      <w:jc w:val="center"/>
    </w:pPr>
    <w:rPr>
      <w:rFonts w:ascii="Arial" w:hAnsi="Arial" w:cs="Arial"/>
      <w:b/>
    </w:rPr>
  </w:style>
  <w:style w:type="paragraph" w:customStyle="1" w:styleId="Normal24a">
    <w:name w:val="Normal24a"/>
    <w:basedOn w:val="Normal"/>
    <w:rsid w:val="000810AD"/>
    <w:pPr>
      <w:spacing w:after="480"/>
    </w:pPr>
  </w:style>
  <w:style w:type="paragraph" w:customStyle="1" w:styleId="Normal12">
    <w:name w:val="Normal12"/>
    <w:basedOn w:val="Normal"/>
    <w:link w:val="Normal12Char"/>
    <w:rsid w:val="000810AD"/>
    <w:pPr>
      <w:spacing w:after="240"/>
    </w:pPr>
    <w:rPr>
      <w:rFonts w:ascii="Arial" w:hAnsi="Arial" w:cs="Arial"/>
    </w:rPr>
  </w:style>
  <w:style w:type="character" w:customStyle="1" w:styleId="PageHeadingChar">
    <w:name w:val="PageHeading Char"/>
    <w:basedOn w:val="DefaultParagraphFont"/>
    <w:link w:val="PageHeading"/>
    <w:rsid w:val="000810AD"/>
    <w:rPr>
      <w:rFonts w:ascii="Arial" w:hAnsi="Arial" w:cs="Arial"/>
      <w:b/>
      <w:sz w:val="24"/>
      <w:lang w:val="ro-RO"/>
    </w:rPr>
  </w:style>
  <w:style w:type="character" w:customStyle="1" w:styleId="Normal12Char">
    <w:name w:val="Normal12 Char"/>
    <w:basedOn w:val="PageHeadingChar"/>
    <w:link w:val="Normal12"/>
    <w:rsid w:val="000810AD"/>
    <w:rPr>
      <w:rFonts w:ascii="Arial" w:hAnsi="Arial" w:cs="Arial"/>
      <w:b w:val="0"/>
      <w:sz w:val="24"/>
      <w:lang w:val="ro-RO"/>
    </w:rPr>
  </w:style>
  <w:style w:type="paragraph" w:customStyle="1" w:styleId="NormalBoldCenter">
    <w:name w:val="NormalBoldCenter"/>
    <w:basedOn w:val="Normal"/>
    <w:rsid w:val="000810AD"/>
    <w:pPr>
      <w:jc w:val="center"/>
    </w:pPr>
    <w:rPr>
      <w:b/>
    </w:rPr>
  </w:style>
  <w:style w:type="paragraph" w:styleId="Footer">
    <w:name w:val="footer"/>
    <w:basedOn w:val="Normal"/>
    <w:link w:val="FooterChar"/>
    <w:rsid w:val="000810AD"/>
    <w:pPr>
      <w:tabs>
        <w:tab w:val="center" w:pos="4513"/>
        <w:tab w:val="right" w:pos="9026"/>
      </w:tabs>
    </w:pPr>
  </w:style>
  <w:style w:type="character" w:customStyle="1" w:styleId="FooterChar">
    <w:name w:val="Footer Char"/>
    <w:basedOn w:val="DefaultParagraphFont"/>
    <w:link w:val="Footer"/>
    <w:rsid w:val="000810AD"/>
    <w:rPr>
      <w:sz w:val="24"/>
      <w:lang w:val="ro-RO"/>
    </w:rPr>
  </w:style>
  <w:style w:type="paragraph" w:customStyle="1" w:styleId="RollCallVotes">
    <w:name w:val="RollCallVotes"/>
    <w:basedOn w:val="Normal"/>
    <w:rsid w:val="000810AD"/>
    <w:pPr>
      <w:spacing w:before="120" w:after="120"/>
      <w:jc w:val="center"/>
    </w:pPr>
    <w:rPr>
      <w:b/>
      <w:bCs/>
      <w:snapToGrid w:val="0"/>
      <w:sz w:val="16"/>
      <w:lang w:eastAsia="en-US"/>
    </w:rPr>
  </w:style>
  <w:style w:type="paragraph" w:customStyle="1" w:styleId="RollCallTabs">
    <w:name w:val="RollCallTabs"/>
    <w:basedOn w:val="Normal"/>
    <w:qFormat/>
    <w:rsid w:val="000810AD"/>
    <w:pPr>
      <w:tabs>
        <w:tab w:val="center" w:pos="284"/>
        <w:tab w:val="left" w:pos="426"/>
      </w:tabs>
    </w:pPr>
    <w:rPr>
      <w:snapToGrid w:val="0"/>
      <w:lang w:eastAsia="en-US"/>
    </w:rPr>
  </w:style>
  <w:style w:type="paragraph" w:customStyle="1" w:styleId="RollCallSymbols14pt">
    <w:name w:val="RollCallSymbols14pt"/>
    <w:basedOn w:val="Normal"/>
    <w:rsid w:val="000810AD"/>
    <w:pPr>
      <w:spacing w:before="120" w:after="120"/>
      <w:jc w:val="center"/>
    </w:pPr>
    <w:rPr>
      <w:rFonts w:ascii="Arial" w:hAnsi="Arial"/>
      <w:b/>
      <w:bCs/>
      <w:snapToGrid w:val="0"/>
      <w:sz w:val="28"/>
      <w:lang w:eastAsia="en-US"/>
    </w:rPr>
  </w:style>
  <w:style w:type="paragraph" w:customStyle="1" w:styleId="RollCallTable">
    <w:name w:val="RollCallTable"/>
    <w:basedOn w:val="Normal"/>
    <w:rsid w:val="000810AD"/>
    <w:pPr>
      <w:spacing w:before="120" w:after="120"/>
    </w:pPr>
    <w:rPr>
      <w:snapToGrid w:val="0"/>
      <w:sz w:val="16"/>
      <w:lang w:eastAsia="en-US"/>
    </w:rPr>
  </w:style>
  <w:style w:type="character" w:customStyle="1" w:styleId="Normal6Char">
    <w:name w:val="Normal6 Char"/>
    <w:link w:val="Normal6"/>
    <w:locked/>
    <w:rsid w:val="000810AD"/>
    <w:rPr>
      <w:sz w:val="24"/>
      <w:lang w:val="ro-RO"/>
    </w:rPr>
  </w:style>
  <w:style w:type="paragraph" w:customStyle="1" w:styleId="Normal6">
    <w:name w:val="Normal6"/>
    <w:basedOn w:val="Normal"/>
    <w:link w:val="Normal6Char"/>
    <w:rsid w:val="000810AD"/>
    <w:pPr>
      <w:spacing w:after="120"/>
    </w:pPr>
  </w:style>
  <w:style w:type="paragraph" w:styleId="Revision">
    <w:name w:val="Revision"/>
    <w:hidden/>
    <w:uiPriority w:val="99"/>
    <w:semiHidden/>
    <w:rsid w:val="000810AD"/>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87BE8F-638C-4EC2-BA2B-D83D504233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5758</Words>
  <Characters>33509</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GHERMAN Laura</cp:lastModifiedBy>
  <cp:revision>2</cp:revision>
  <cp:lastPrinted>2004-11-19T15:42:00Z</cp:lastPrinted>
  <dcterms:created xsi:type="dcterms:W3CDTF">2024-04-23T14:59:00Z</dcterms:created>
  <dcterms:modified xsi:type="dcterms:W3CDTF">2024-04-23T14:59:00Z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A9-0071/2024</vt:lpwstr>
  </property>
  <property fmtid="{D5CDD505-2E9C-101B-9397-08002B2CF9AE}" pid="4" name="&lt;Type&gt;">
    <vt:lpwstr>RR</vt:lpwstr>
  </property>
</Properties>
</file>