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4033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40337" w:rsidRDefault="009D6649" w:rsidP="0010095E">
            <w:pPr>
              <w:pStyle w:val="EPName"/>
            </w:pPr>
            <w:r w:rsidRPr="00C40337">
              <w:t>Evropský parlament</w:t>
            </w:r>
          </w:p>
          <w:p w:rsidR="00751A4A" w:rsidRPr="00C4033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40337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C40337" w:rsidRDefault="00187494" w:rsidP="0010095E">
            <w:pPr>
              <w:pStyle w:val="EPLogo"/>
            </w:pPr>
            <w:r w:rsidRPr="00C4033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40337" w:rsidRDefault="00D058B8" w:rsidP="004C5D52">
      <w:pPr>
        <w:pStyle w:val="LineTop"/>
      </w:pPr>
    </w:p>
    <w:p w:rsidR="00680577" w:rsidRPr="00C40337" w:rsidRDefault="009D6649" w:rsidP="00680577">
      <w:pPr>
        <w:pStyle w:val="EPBodyTA1"/>
      </w:pPr>
      <w:r w:rsidRPr="00C40337">
        <w:t>PŘIJATÉ TEXTY</w:t>
      </w:r>
    </w:p>
    <w:p w:rsidR="00D058B8" w:rsidRPr="00C40337" w:rsidRDefault="00D058B8" w:rsidP="00D058B8">
      <w:pPr>
        <w:pStyle w:val="LineBottom"/>
      </w:pPr>
    </w:p>
    <w:p w:rsidR="009D6649" w:rsidRPr="00C40337" w:rsidRDefault="009D6649" w:rsidP="009D6649">
      <w:pPr>
        <w:pStyle w:val="ATHeading1"/>
      </w:pPr>
      <w:bookmarkStart w:id="0" w:name="TANumber"/>
      <w:r w:rsidRPr="00C40337">
        <w:t>P9_TA(2024)0</w:t>
      </w:r>
      <w:r w:rsidR="00EC3F3B">
        <w:t>290</w:t>
      </w:r>
      <w:bookmarkEnd w:id="0"/>
    </w:p>
    <w:p w:rsidR="009D6649" w:rsidRPr="00C40337" w:rsidRDefault="003F0EDC" w:rsidP="009D6649">
      <w:pPr>
        <w:pStyle w:val="ATHeading2"/>
      </w:pPr>
      <w:r w:rsidRPr="003D5F05">
        <w:t>Nevyslovení námitky vůči aktu v přenesené pravomoci: pravidla týkající se poměru pro normu DZES 1</w:t>
      </w:r>
      <w:r w:rsidRPr="003F0EDC">
        <w:t xml:space="preserve"> </w:t>
      </w:r>
    </w:p>
    <w:p w:rsidR="009D6649" w:rsidRPr="00C40337" w:rsidRDefault="009D6649" w:rsidP="009D6649">
      <w:pPr>
        <w:rPr>
          <w:i/>
          <w:vanish/>
        </w:rPr>
      </w:pPr>
      <w:r w:rsidRPr="00C40337">
        <w:rPr>
          <w:i/>
        </w:rPr>
        <w:fldChar w:fldCharType="begin"/>
      </w:r>
      <w:r w:rsidRPr="00C40337">
        <w:rPr>
          <w:i/>
        </w:rPr>
        <w:instrText xml:space="preserve"> TC"(</w:instrText>
      </w:r>
      <w:bookmarkStart w:id="1" w:name="DocNumber"/>
      <w:r w:rsidRPr="00C40337">
        <w:rPr>
          <w:i/>
        </w:rPr>
        <w:instrText>B9-0199/2024</w:instrText>
      </w:r>
      <w:bookmarkEnd w:id="1"/>
      <w:r w:rsidRPr="00C40337">
        <w:rPr>
          <w:i/>
        </w:rPr>
        <w:instrText xml:space="preserve">)"\l3 \n&gt; \* MERGEFORMAT </w:instrText>
      </w:r>
      <w:r w:rsidRPr="00C40337">
        <w:rPr>
          <w:i/>
        </w:rPr>
        <w:fldChar w:fldCharType="end"/>
      </w:r>
    </w:p>
    <w:p w:rsidR="009D6649" w:rsidRPr="00C40337" w:rsidRDefault="009D6649" w:rsidP="009D6649">
      <w:pPr>
        <w:rPr>
          <w:vanish/>
        </w:rPr>
      </w:pPr>
      <w:bookmarkStart w:id="2" w:name="PE"/>
      <w:r w:rsidRPr="00C40337">
        <w:rPr>
          <w:vanish/>
        </w:rPr>
        <w:t>PE759.936</w:t>
      </w:r>
      <w:bookmarkEnd w:id="2"/>
    </w:p>
    <w:p w:rsidR="009D6649" w:rsidRDefault="003F0EDC" w:rsidP="009D6649">
      <w:pPr>
        <w:pStyle w:val="ATHeading3"/>
      </w:pPr>
      <w:bookmarkStart w:id="3" w:name="Sujet"/>
      <w:r>
        <w:t>Rozhodnutí</w:t>
      </w:r>
      <w:r w:rsidR="009D6649" w:rsidRPr="00C40337">
        <w:t xml:space="preserve"> Evrop</w:t>
      </w:r>
      <w:r>
        <w:t>ského parlamentu</w:t>
      </w:r>
      <w:r w:rsidR="009D6649" w:rsidRPr="00C40337">
        <w:t xml:space="preserve"> </w:t>
      </w:r>
      <w:r w:rsidR="00EC3F3B">
        <w:t xml:space="preserve">ze dne 23. dubna 2024 </w:t>
      </w:r>
      <w:r w:rsidR="009D6649" w:rsidRPr="00C40337">
        <w:t>nevyslovit námitku vůči nařízení Komise v přenesené pravomoci ze dne 12. března 2024, kterým se mění nařízení Komise v přenesené pravomoci (EU) 2022/126, kterým se doplňuje nařízení Evropského parlamentu a Rady (EU) 2021/2115, pokud jde o pravidla týkající se poměru pro normu dobrého zemědělského a environmentálního stavu (DZES) 1</w:t>
      </w:r>
      <w:bookmarkEnd w:id="3"/>
      <w:r w:rsidR="009D6649" w:rsidRPr="00C40337">
        <w:t xml:space="preserve"> </w:t>
      </w:r>
      <w:bookmarkStart w:id="4" w:name="References"/>
      <w:r w:rsidR="009D6649" w:rsidRPr="00C40337">
        <w:t>(C(2024)01488 – 2024/2663(DEA))</w:t>
      </w:r>
      <w:bookmarkEnd w:id="4"/>
    </w:p>
    <w:p w:rsidR="00CA698A" w:rsidRPr="00C40337" w:rsidRDefault="00CA698A" w:rsidP="00CA698A">
      <w:pPr>
        <w:pStyle w:val="EPComma"/>
      </w:pPr>
      <w:bookmarkStart w:id="5" w:name="TextBodyBegin"/>
      <w:bookmarkEnd w:id="5"/>
      <w:r w:rsidRPr="00C40337">
        <w:rPr>
          <w:i/>
        </w:rPr>
        <w:t>Evropský parlament</w:t>
      </w:r>
      <w:r w:rsidRPr="00C40337">
        <w:t>,</w:t>
      </w:r>
      <w:bookmarkStart w:id="6" w:name="_GoBack"/>
      <w:bookmarkEnd w:id="6"/>
    </w:p>
    <w:p w:rsidR="00CA698A" w:rsidRPr="00C40337" w:rsidRDefault="00CA698A" w:rsidP="00CA698A">
      <w:pPr>
        <w:pStyle w:val="NormalHanging12a"/>
      </w:pPr>
      <w:r w:rsidRPr="00C40337">
        <w:t>–</w:t>
      </w:r>
      <w:r w:rsidRPr="00C40337">
        <w:tab/>
        <w:t>s ohledem na rozhodnutí Komise v přenesené pravomoci (C(2024)01488),</w:t>
      </w:r>
    </w:p>
    <w:p w:rsidR="00CA698A" w:rsidRPr="00C40337" w:rsidRDefault="00CA698A" w:rsidP="00CA698A">
      <w:pPr>
        <w:pStyle w:val="NormalHanging12a"/>
      </w:pPr>
      <w:r w:rsidRPr="00C40337">
        <w:t>–</w:t>
      </w:r>
      <w:r w:rsidRPr="00C40337">
        <w:tab/>
        <w:t>s ohledem na dopis Komise ze dne 12. března 2024, kterým Komise žádá Evropský parlament, aby uvedl, že nevysloví námitku proti rozhodnutí,</w:t>
      </w:r>
    </w:p>
    <w:p w:rsidR="00CA698A" w:rsidRPr="00C40337" w:rsidRDefault="00CA698A" w:rsidP="00CA698A">
      <w:pPr>
        <w:pStyle w:val="NormalHanging12a"/>
      </w:pPr>
      <w:r w:rsidRPr="00C40337">
        <w:t>–</w:t>
      </w:r>
      <w:r w:rsidRPr="00C40337">
        <w:tab/>
        <w:t>s ohledem na dopis Výboru pro zemědělství a rozvoj venkova předsedovi Konference předsedů výborů ze dne 19. března 2024,</w:t>
      </w:r>
    </w:p>
    <w:p w:rsidR="00CA698A" w:rsidRPr="00C40337" w:rsidRDefault="00CA698A" w:rsidP="00CA698A">
      <w:pPr>
        <w:pStyle w:val="NormalHanging12a"/>
      </w:pPr>
      <w:r w:rsidRPr="00C40337">
        <w:t>–</w:t>
      </w:r>
      <w:r w:rsidRPr="00C40337">
        <w:tab/>
        <w:t>s ohledem na článek 290 Smlouvy o fungování Evropské unie,</w:t>
      </w:r>
    </w:p>
    <w:p w:rsidR="00CA698A" w:rsidRPr="00C40337" w:rsidRDefault="00CA698A" w:rsidP="00CA698A">
      <w:pPr>
        <w:pStyle w:val="NormalHanging12a"/>
      </w:pPr>
      <w:r w:rsidRPr="00C40337">
        <w:t>–</w:t>
      </w:r>
      <w:r w:rsidRPr="00C40337">
        <w:tab/>
        <w:t>s ohledem na nařízení Evropského parlamentu a Rady (EU) 2021/2115 ze dne 2. prosince 2021, kterým se stanoví pravidla podpory pro strategické plány, jež mají být vypracovány členskými státy v rámci společné zemědělské politiky (strategické plány SZP) a financovány Evropským zemědělským záručním fondem (EZZF) a Evropským zemědělským fondem pro rozvoj venkova (EZFRV), a kterým se zrušují nařízení (EU) č. 1305/2013</w:t>
      </w:r>
      <w:r w:rsidRPr="00C40337">
        <w:rPr>
          <w:rStyle w:val="FootnoteReference"/>
          <w:color w:val="000000"/>
        </w:rPr>
        <w:footnoteReference w:id="1"/>
      </w:r>
      <w:r w:rsidRPr="00C40337">
        <w:t xml:space="preserve"> a (EU) č. 1307/2013, a zejména na čl. 13 odst. 3 a čl. 152 odst. 6 uvedeného nařízení,</w:t>
      </w:r>
    </w:p>
    <w:p w:rsidR="00CA698A" w:rsidRPr="00C40337" w:rsidRDefault="00CA698A" w:rsidP="00CA698A">
      <w:pPr>
        <w:pStyle w:val="NormalHanging12a"/>
      </w:pPr>
      <w:r w:rsidRPr="00C40337">
        <w:t>–</w:t>
      </w:r>
      <w:r w:rsidRPr="00C40337">
        <w:tab/>
        <w:t>s ohledem na čl. 111 odst. 6 jednacího řádu,</w:t>
      </w:r>
    </w:p>
    <w:p w:rsidR="00CA698A" w:rsidRDefault="00CA698A" w:rsidP="00CA698A">
      <w:pPr>
        <w:pStyle w:val="NormalHanging12a"/>
      </w:pPr>
      <w:r w:rsidRPr="00C40337">
        <w:t>–</w:t>
      </w:r>
      <w:r w:rsidRPr="00C40337">
        <w:tab/>
        <w:t>s ohledem na doporučení k rozhodnutí Výboru pro zemědělství a rozvoj venkova,</w:t>
      </w:r>
    </w:p>
    <w:p w:rsidR="00CA698A" w:rsidRPr="00C40337" w:rsidRDefault="00CA698A" w:rsidP="00CA698A">
      <w:pPr>
        <w:pStyle w:val="NormalHanging12a"/>
      </w:pPr>
      <w:r w:rsidRPr="00C40337">
        <w:lastRenderedPageBreak/>
        <w:t>A.</w:t>
      </w:r>
      <w:r w:rsidRPr="00C40337">
        <w:tab/>
        <w:t>vzhledem k tomu, že od 1. ledna 2023 provádějí členské státy své strategické plány SZP včetně povinnosti zachovávat poměr trvalých travních porostů k zemědělské ploše, stanovené v rámci standardu dobrého zemědělského a environmentálního stavu půdy (DZES) 1 (dále jen „standard DZES 1“) v příloze III nařízení (EU) 2021/2115;</w:t>
      </w:r>
    </w:p>
    <w:p w:rsidR="00CA698A" w:rsidRPr="00C40337" w:rsidRDefault="00CA698A" w:rsidP="00CA698A">
      <w:pPr>
        <w:pStyle w:val="NormalHanging12a"/>
      </w:pPr>
      <w:r w:rsidRPr="00C40337">
        <w:t>B.</w:t>
      </w:r>
      <w:r w:rsidRPr="00C40337">
        <w:tab/>
        <w:t>vzhledem k tomu, že ze zkušeností získaných od začátku provádění standardu DZES 1 vyplývá, že tato pravidla je třeba změnit, aby se zabránilo nepřiměřené zátěži pro zemědělce v případech, kdy strukturální změny zemědělských systémů členských států způsobené změnou tržní orientace, jako je přechod od živočišné výroby k pěstování plodin a omezení živočišné výroby, podstatně ovlivňují schopnost zemědělců zřizovat plochy trvalých travních porostů při současném zachování své hospodářské životaschopnosti;</w:t>
      </w:r>
    </w:p>
    <w:p w:rsidR="00CA698A" w:rsidRPr="00C40337" w:rsidRDefault="00CA698A" w:rsidP="00CA698A">
      <w:pPr>
        <w:pStyle w:val="NormalHanging12a"/>
      </w:pPr>
      <w:r w:rsidRPr="00C40337">
        <w:t>C.</w:t>
      </w:r>
      <w:r w:rsidRPr="00C40337">
        <w:tab/>
        <w:t>vzhledem k tomu, že v některých situacích mohou být členské státy nuceny uložit příjemcům povinnost obnovit plochy jako trvalé travní porosty nebo vyčlenit plochy s trvalými travními porosty, ačkoli pokles ročního poměru je způsoben kolísáním rozlohy ohlášených ploch;</w:t>
      </w:r>
    </w:p>
    <w:p w:rsidR="00CA698A" w:rsidRPr="00C40337" w:rsidRDefault="00CA698A" w:rsidP="00CA698A">
      <w:pPr>
        <w:pStyle w:val="NormalHanging12a"/>
      </w:pPr>
      <w:r w:rsidRPr="00C40337">
        <w:t>D.</w:t>
      </w:r>
      <w:r w:rsidRPr="00C40337">
        <w:tab/>
        <w:t>vzhledem k tomu, že za některých okolností mohou být plochy s trvalými travními porosty evidovány v systému evidence půdy, ale zemědělci je v daném roce neohlásí k přímým platbám, nebo že se mohla zvýšit celková zemědělská plocha v důsledku dodatečných prohlášení zemědělců;</w:t>
      </w:r>
    </w:p>
    <w:p w:rsidR="00CA698A" w:rsidRPr="00C40337" w:rsidRDefault="00CA698A" w:rsidP="00CA698A">
      <w:pPr>
        <w:pStyle w:val="NormalHanging12a"/>
      </w:pPr>
      <w:r w:rsidRPr="00C40337">
        <w:t>E.</w:t>
      </w:r>
      <w:r w:rsidRPr="00C40337">
        <w:tab/>
        <w:t>vzhledem k tomu, že v takových situacích, kdy pokles ročního poměru pod prahovou hodnotu 5 % stanovenou v příloze III nařízení (EU) 2021/2115 není důsledkem přeměny ploch s trvalými travními porosty na zemědělskou půdu s jiným využitím, by uložení povinnosti zemědělcům vyčlenit další plochy s trvalými travními porosty mohlo být nepřiměřené;</w:t>
      </w:r>
    </w:p>
    <w:p w:rsidR="00CA698A" w:rsidRPr="00C40337" w:rsidRDefault="00CA698A" w:rsidP="00CA698A">
      <w:pPr>
        <w:pStyle w:val="NormalHanging12a"/>
      </w:pPr>
      <w:r w:rsidRPr="00C40337">
        <w:t>F.</w:t>
      </w:r>
      <w:r w:rsidRPr="00C40337">
        <w:tab/>
        <w:t>vzhledem k tomu, že je vhodné umožnit určitou míru flexibility a zároveň zajistit soulad s hlavním cílem standardu DZES 1, kterým je „obecná ochrana proti přeměně na zemědělskou půdu s jiným využitím za účelem zachování zásob uhlíku“, a s maximálním snížením poměru stanoveným v příloze III nařízení (EU) 2021/2115;</w:t>
      </w:r>
    </w:p>
    <w:p w:rsidR="00CA698A" w:rsidRPr="00C40337" w:rsidRDefault="00CA698A" w:rsidP="00CA698A">
      <w:pPr>
        <w:pStyle w:val="NormalHanging12a"/>
      </w:pPr>
      <w:r w:rsidRPr="00C40337">
        <w:t>G.</w:t>
      </w:r>
      <w:r w:rsidRPr="00C40337">
        <w:tab/>
        <w:t>vzhledem k tomu, že nařízení Komise v přenesené pravomoci (EU) 2022/126</w:t>
      </w:r>
      <w:r w:rsidRPr="00C40337">
        <w:rPr>
          <w:rStyle w:val="FootnoteReference"/>
          <w:color w:val="000000"/>
        </w:rPr>
        <w:footnoteReference w:id="2"/>
      </w:r>
      <w:r w:rsidRPr="00C40337">
        <w:t>, které stanovuje pravidla poměru pro standard DZES 1, by tedy mělo být změněno;</w:t>
      </w:r>
    </w:p>
    <w:p w:rsidR="00CA698A" w:rsidRPr="00C40337" w:rsidRDefault="00CA698A" w:rsidP="00CA698A">
      <w:pPr>
        <w:pStyle w:val="NormalHanging12a"/>
      </w:pPr>
      <w:r w:rsidRPr="00C40337">
        <w:t>1.</w:t>
      </w:r>
      <w:r w:rsidRPr="00C40337">
        <w:tab/>
        <w:t>prohlašuje, že nevysloví námitku vůči rozhodnutí v přenesené pravomoci;</w:t>
      </w:r>
    </w:p>
    <w:p w:rsidR="00CA698A" w:rsidRPr="00C40337" w:rsidRDefault="00CA698A" w:rsidP="00CA698A">
      <w:pPr>
        <w:pStyle w:val="NormalHanging12a"/>
      </w:pPr>
      <w:r w:rsidRPr="00C40337">
        <w:t>2.</w:t>
      </w:r>
      <w:r w:rsidRPr="00C40337">
        <w:tab/>
        <w:t>pověřuje svou předsedkyni, aby předala toto usnesení Radě a Komisi.</w:t>
      </w:r>
    </w:p>
    <w:p w:rsidR="00CA698A" w:rsidRPr="00C40337" w:rsidRDefault="00CA698A" w:rsidP="00CA698A"/>
    <w:sectPr w:rsidR="00CA698A" w:rsidRPr="00C40337" w:rsidSect="00C4033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6649" w:rsidRPr="00C40337" w:rsidRDefault="009D6649">
      <w:r w:rsidRPr="00C40337">
        <w:separator/>
      </w:r>
    </w:p>
  </w:endnote>
  <w:endnote w:type="continuationSeparator" w:id="0">
    <w:p w:rsidR="009D6649" w:rsidRPr="00C40337" w:rsidRDefault="009D6649">
      <w:r w:rsidRPr="00C4033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4033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4033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4033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6649" w:rsidRPr="00C40337" w:rsidRDefault="009D6649">
      <w:r w:rsidRPr="00C40337">
        <w:separator/>
      </w:r>
    </w:p>
  </w:footnote>
  <w:footnote w:type="continuationSeparator" w:id="0">
    <w:p w:rsidR="009D6649" w:rsidRPr="00C40337" w:rsidRDefault="009D6649">
      <w:r w:rsidRPr="00C40337">
        <w:continuationSeparator/>
      </w:r>
    </w:p>
  </w:footnote>
  <w:footnote w:id="1">
    <w:p w:rsidR="00CA698A" w:rsidRPr="00C40337" w:rsidRDefault="00CA698A" w:rsidP="00C40337">
      <w:pPr>
        <w:pStyle w:val="FootnoteText"/>
        <w:ind w:left="567" w:hanging="567"/>
        <w:rPr>
          <w:sz w:val="24"/>
          <w:lang w:val="cs-CZ"/>
        </w:rPr>
      </w:pPr>
      <w:r w:rsidRPr="00C40337">
        <w:rPr>
          <w:rStyle w:val="FootnoteReference"/>
          <w:sz w:val="24"/>
          <w:lang w:val="cs-CZ"/>
        </w:rPr>
        <w:footnoteRef/>
      </w:r>
      <w:r w:rsidR="00C40337" w:rsidRPr="00C40337">
        <w:rPr>
          <w:sz w:val="24"/>
          <w:lang w:val="cs-CZ"/>
        </w:rPr>
        <w:t xml:space="preserve"> </w:t>
      </w:r>
      <w:r w:rsidR="00C40337" w:rsidRPr="00C40337">
        <w:rPr>
          <w:sz w:val="24"/>
          <w:lang w:val="cs-CZ"/>
        </w:rPr>
        <w:tab/>
      </w:r>
      <w:proofErr w:type="spellStart"/>
      <w:r w:rsidRPr="00C40337">
        <w:rPr>
          <w:sz w:val="24"/>
          <w:lang w:val="cs-CZ"/>
        </w:rPr>
        <w:t>Úř</w:t>
      </w:r>
      <w:proofErr w:type="spellEnd"/>
      <w:r w:rsidRPr="00C40337">
        <w:rPr>
          <w:sz w:val="24"/>
          <w:lang w:val="cs-CZ"/>
        </w:rPr>
        <w:t xml:space="preserve">. </w:t>
      </w:r>
      <w:proofErr w:type="spellStart"/>
      <w:proofErr w:type="gramStart"/>
      <w:r w:rsidRPr="00C40337">
        <w:rPr>
          <w:sz w:val="24"/>
          <w:lang w:val="cs-CZ"/>
        </w:rPr>
        <w:t>věst</w:t>
      </w:r>
      <w:proofErr w:type="spellEnd"/>
      <w:proofErr w:type="gramEnd"/>
      <w:r w:rsidRPr="00C40337">
        <w:rPr>
          <w:sz w:val="24"/>
          <w:lang w:val="cs-CZ"/>
        </w:rPr>
        <w:t>. L</w:t>
      </w:r>
      <w:r w:rsidR="003F0EDC">
        <w:rPr>
          <w:sz w:val="24"/>
          <w:lang w:val="cs-CZ"/>
        </w:rPr>
        <w:t xml:space="preserve"> 435, </w:t>
      </w:r>
      <w:proofErr w:type="gramStart"/>
      <w:r w:rsidR="003F0EDC">
        <w:rPr>
          <w:sz w:val="24"/>
          <w:lang w:val="cs-CZ"/>
        </w:rPr>
        <w:t>6.12.2021</w:t>
      </w:r>
      <w:proofErr w:type="gramEnd"/>
      <w:r w:rsidR="003F0EDC">
        <w:rPr>
          <w:sz w:val="24"/>
          <w:lang w:val="cs-CZ"/>
        </w:rPr>
        <w:t>, s. 1.</w:t>
      </w:r>
    </w:p>
  </w:footnote>
  <w:footnote w:id="2">
    <w:p w:rsidR="00CA698A" w:rsidRPr="003F0EDC" w:rsidRDefault="00CA698A" w:rsidP="003F0EDC">
      <w:pPr>
        <w:pStyle w:val="FootnoteText"/>
        <w:ind w:left="567" w:hanging="567"/>
        <w:rPr>
          <w:sz w:val="24"/>
          <w:lang w:val="cs-CZ"/>
        </w:rPr>
      </w:pPr>
      <w:r w:rsidRPr="00C40337">
        <w:rPr>
          <w:rStyle w:val="FootnoteReference"/>
          <w:sz w:val="24"/>
          <w:lang w:val="cs-CZ"/>
        </w:rPr>
        <w:footnoteRef/>
      </w:r>
      <w:r w:rsidR="00C40337" w:rsidRPr="00C40337">
        <w:rPr>
          <w:sz w:val="24"/>
          <w:lang w:val="cs-CZ"/>
        </w:rPr>
        <w:t xml:space="preserve"> </w:t>
      </w:r>
      <w:r w:rsidR="00C40337" w:rsidRPr="00C40337">
        <w:rPr>
          <w:sz w:val="24"/>
          <w:lang w:val="cs-CZ"/>
        </w:rPr>
        <w:tab/>
      </w:r>
      <w:r w:rsidRPr="00C40337">
        <w:rPr>
          <w:sz w:val="24"/>
          <w:lang w:val="cs-CZ"/>
        </w:rPr>
        <w:t>Nařízení Komise v přenesené pravomoci (EU) 2022/126 ze dne 7. prosince 2021, kterým se doplňuje nařízení Evropského parlamentu a Rady (EU) 2021/2115 o dodatečné požadavky na některé typy intervencí stanovené členskými státy v jejich strategických plánech SZP na období 2023 až 2027 podle uvedeného nařízení, jakož i pravidla týkající se poměru pro standard dobrého zemědělského a environmentálního stavu (DZES) 1 (</w:t>
      </w:r>
      <w:proofErr w:type="spellStart"/>
      <w:r w:rsidRPr="00C40337">
        <w:rPr>
          <w:sz w:val="24"/>
          <w:lang w:val="cs-CZ"/>
        </w:rPr>
        <w:t>Úř</w:t>
      </w:r>
      <w:proofErr w:type="spellEnd"/>
      <w:r w:rsidRPr="00C40337">
        <w:rPr>
          <w:sz w:val="24"/>
          <w:lang w:val="cs-CZ"/>
        </w:rPr>
        <w:t>. </w:t>
      </w:r>
      <w:proofErr w:type="spellStart"/>
      <w:proofErr w:type="gramStart"/>
      <w:r w:rsidRPr="00C40337">
        <w:rPr>
          <w:sz w:val="24"/>
          <w:lang w:val="cs-CZ"/>
        </w:rPr>
        <w:t>věst</w:t>
      </w:r>
      <w:proofErr w:type="spellEnd"/>
      <w:proofErr w:type="gramEnd"/>
      <w:r w:rsidRPr="00C40337">
        <w:rPr>
          <w:sz w:val="24"/>
          <w:lang w:val="cs-CZ"/>
        </w:rPr>
        <w:t xml:space="preserve">. L 20, </w:t>
      </w:r>
      <w:proofErr w:type="gramStart"/>
      <w:r w:rsidRPr="00C40337">
        <w:rPr>
          <w:sz w:val="24"/>
          <w:lang w:val="cs-CZ"/>
        </w:rPr>
        <w:t>31.1.2022</w:t>
      </w:r>
      <w:proofErr w:type="gramEnd"/>
      <w:r w:rsidRPr="00C40337">
        <w:rPr>
          <w:sz w:val="24"/>
          <w:lang w:val="cs-CZ"/>
        </w:rPr>
        <w:t>, s. 52).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4033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4033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4033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99/2024"/>
    <w:docVar w:name="dvlangue" w:val="CS"/>
    <w:docVar w:name="dvnumam" w:val="0"/>
    <w:docVar w:name="dvpe" w:val="759.936"/>
    <w:docVar w:name="dvtitre" w:val="Usnesení Evropského parlamentu ze dne.... 2024 nevyslovit námitku vůči nařízení Komise v přenesené pravomoci ze dne 12. března 2024, kterým se mění nařízení Komise v přenesené pravomoci (EU) 2022/126, kterým se doplňuje nařízení Evropského parlamentu a Rady (EU) 2021/2115, pokud jde o pravidla týkající se poměru pro normu dobrého zemědělského a environmentálního stavu (DZES) 1(C(2024)01488 – 2024/2663(DEA))"/>
  </w:docVars>
  <w:rsids>
    <w:rsidRoot w:val="009D664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D5F05"/>
    <w:rsid w:val="003E15D4"/>
    <w:rsid w:val="003F0EDC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D6649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40337"/>
    <w:rsid w:val="00C61C0C"/>
    <w:rsid w:val="00C941CB"/>
    <w:rsid w:val="00CA698A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3F3B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F05FD1"/>
  <w15:chartTrackingRefBased/>
  <w15:docId w15:val="{C400098E-F87B-4A9E-8E8F-B5E1E43B1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A698A"/>
    <w:pPr>
      <w:spacing w:before="480" w:after="240"/>
    </w:pPr>
  </w:style>
  <w:style w:type="paragraph" w:customStyle="1" w:styleId="NormalHanging12a">
    <w:name w:val="NormalHanging12a"/>
    <w:basedOn w:val="Normal"/>
    <w:rsid w:val="00CA698A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EC3F3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C3F3B"/>
    <w:rPr>
      <w:rFonts w:ascii="Segoe U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E5AE49-FF19-40C8-A67C-191233F5B6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597</Words>
  <Characters>3444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2024-04-23T11:00:00Z</dcterms:created>
  <dcterms:modified xsi:type="dcterms:W3CDTF">2024-04-23T11:00:00Z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B9-0199/2024</vt:lpwstr>
  </property>
  <property fmtid="{D5CDD505-2E9C-101B-9397-08002B2CF9AE}" pid="4" name="&lt;Type&gt;">
    <vt:lpwstr>RR</vt:lpwstr>
  </property>
</Properties>
</file>