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2C1F" w14:paraId="05E6C231" w14:textId="77777777" w:rsidTr="0010095E">
        <w:trPr>
          <w:trHeight w:hRule="exact" w:val="1418"/>
        </w:trPr>
        <w:tc>
          <w:tcPr>
            <w:tcW w:w="6804" w:type="dxa"/>
            <w:shd w:val="clear" w:color="auto" w:fill="auto"/>
            <w:vAlign w:val="center"/>
          </w:tcPr>
          <w:p w14:paraId="799345F1" w14:textId="77777777" w:rsidR="00751A4A" w:rsidRPr="00C02C1F" w:rsidRDefault="0075102D" w:rsidP="0010095E">
            <w:pPr>
              <w:pStyle w:val="EPName"/>
            </w:pPr>
            <w:r w:rsidRPr="00C02C1F">
              <w:t>Europa-Parlamentet</w:t>
            </w:r>
          </w:p>
          <w:p w14:paraId="21EF2F81" w14:textId="77777777" w:rsidR="00751A4A" w:rsidRPr="00C02C1F" w:rsidRDefault="00817416" w:rsidP="00756632">
            <w:pPr>
              <w:pStyle w:val="EPTerm"/>
              <w:rPr>
                <w:rStyle w:val="HideTWBExt"/>
                <w:noProof w:val="0"/>
                <w:vanish w:val="0"/>
                <w:color w:val="auto"/>
              </w:rPr>
            </w:pPr>
            <w:r w:rsidRPr="00C02C1F">
              <w:t>2019-2024</w:t>
            </w:r>
          </w:p>
        </w:tc>
        <w:tc>
          <w:tcPr>
            <w:tcW w:w="2268" w:type="dxa"/>
            <w:shd w:val="clear" w:color="auto" w:fill="auto"/>
          </w:tcPr>
          <w:p w14:paraId="6FFE3290" w14:textId="77777777" w:rsidR="00751A4A" w:rsidRPr="00C02C1F" w:rsidRDefault="00187494" w:rsidP="0010095E">
            <w:pPr>
              <w:pStyle w:val="EPLogo"/>
            </w:pPr>
            <w:r w:rsidRPr="00C02C1F">
              <w:rPr>
                <w:noProof/>
                <w:lang w:eastAsia="da-DK"/>
              </w:rPr>
              <w:drawing>
                <wp:inline distT="0" distB="0" distL="0" distR="0" wp14:anchorId="3FBD2B3F" wp14:editId="5730E1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B4794B" w14:textId="77777777" w:rsidR="00D058B8" w:rsidRPr="00C02C1F" w:rsidRDefault="00D058B8" w:rsidP="004C5D52">
      <w:pPr>
        <w:pStyle w:val="LineTop"/>
      </w:pPr>
    </w:p>
    <w:p w14:paraId="269DDB29" w14:textId="77777777" w:rsidR="00680577" w:rsidRPr="00C02C1F" w:rsidRDefault="0075102D" w:rsidP="00680577">
      <w:pPr>
        <w:pStyle w:val="EPBodyTA1"/>
      </w:pPr>
      <w:r w:rsidRPr="00C02C1F">
        <w:t>VEDTAGNE TEKSTER</w:t>
      </w:r>
    </w:p>
    <w:p w14:paraId="10ED6E1E" w14:textId="77777777" w:rsidR="00D058B8" w:rsidRPr="00C02C1F" w:rsidRDefault="00D058B8" w:rsidP="00D058B8">
      <w:pPr>
        <w:pStyle w:val="LineBottom"/>
      </w:pPr>
    </w:p>
    <w:p w14:paraId="7FA6390B" w14:textId="06B3FF76" w:rsidR="0075102D" w:rsidRPr="00C02C1F" w:rsidRDefault="0075102D" w:rsidP="0075102D">
      <w:pPr>
        <w:pStyle w:val="ATHeading1"/>
      </w:pPr>
      <w:bookmarkStart w:id="0" w:name="TANumber"/>
      <w:r w:rsidRPr="00C02C1F">
        <w:t>P9_TA(2024)0</w:t>
      </w:r>
      <w:bookmarkEnd w:id="0"/>
      <w:r w:rsidR="004C31F2">
        <w:t>290</w:t>
      </w:r>
    </w:p>
    <w:p w14:paraId="26E74FC6" w14:textId="77777777" w:rsidR="0075102D" w:rsidRPr="00C02C1F" w:rsidRDefault="009C78D1" w:rsidP="0075102D">
      <w:pPr>
        <w:pStyle w:val="ATHeading2"/>
      </w:pPr>
      <w:r w:rsidRPr="001F6BA2">
        <w:rPr>
          <w:szCs w:val="22"/>
          <w:lang w:eastAsia="da-DK" w:bidi="da-DK"/>
        </w:rPr>
        <w:t>Afgørelse om ikke at gøre indsigelse mod en delegeret retsakt:</w:t>
      </w:r>
      <w:r>
        <w:rPr>
          <w:szCs w:val="22"/>
          <w:lang w:eastAsia="da-DK" w:bidi="da-DK"/>
        </w:rPr>
        <w:t xml:space="preserve"> </w:t>
      </w:r>
      <w:r w:rsidRPr="00C02C1F">
        <w:t xml:space="preserve">reglerne om andelen </w:t>
      </w:r>
      <w:r>
        <w:t xml:space="preserve">for </w:t>
      </w:r>
      <w:r w:rsidRPr="00C02C1F">
        <w:t xml:space="preserve">GLM-norm 1 </w:t>
      </w:r>
    </w:p>
    <w:p w14:paraId="12EC2909" w14:textId="77777777" w:rsidR="0075102D" w:rsidRPr="00C02C1F" w:rsidRDefault="0075102D" w:rsidP="0075102D">
      <w:pPr>
        <w:rPr>
          <w:i/>
          <w:vanish/>
        </w:rPr>
      </w:pPr>
      <w:r w:rsidRPr="00C02C1F">
        <w:rPr>
          <w:i/>
        </w:rPr>
        <w:fldChar w:fldCharType="begin"/>
      </w:r>
      <w:r w:rsidRPr="00C02C1F">
        <w:rPr>
          <w:i/>
        </w:rPr>
        <w:instrText xml:space="preserve"> TC"(</w:instrText>
      </w:r>
      <w:bookmarkStart w:id="1" w:name="DocNumber"/>
      <w:r w:rsidRPr="00C02C1F">
        <w:rPr>
          <w:i/>
        </w:rPr>
        <w:instrText>B9-0199/2024</w:instrText>
      </w:r>
      <w:bookmarkEnd w:id="1"/>
      <w:r w:rsidRPr="00C02C1F">
        <w:rPr>
          <w:i/>
        </w:rPr>
        <w:instrText xml:space="preserve">)"\l3 \n&gt; \* MERGEFORMAT </w:instrText>
      </w:r>
      <w:r w:rsidRPr="00C02C1F">
        <w:rPr>
          <w:i/>
        </w:rPr>
        <w:fldChar w:fldCharType="end"/>
      </w:r>
    </w:p>
    <w:p w14:paraId="08EF0A66" w14:textId="77777777" w:rsidR="0075102D" w:rsidRPr="00C02C1F" w:rsidRDefault="0075102D" w:rsidP="0075102D">
      <w:pPr>
        <w:rPr>
          <w:vanish/>
        </w:rPr>
      </w:pPr>
      <w:bookmarkStart w:id="2" w:name="PE"/>
      <w:r w:rsidRPr="00C02C1F">
        <w:rPr>
          <w:vanish/>
        </w:rPr>
        <w:t>PE759.936</w:t>
      </w:r>
      <w:bookmarkEnd w:id="2"/>
    </w:p>
    <w:p w14:paraId="556EB382" w14:textId="5F992EE3" w:rsidR="0075102D" w:rsidRPr="00C02C1F" w:rsidRDefault="0075102D" w:rsidP="0075102D">
      <w:pPr>
        <w:pStyle w:val="ATHeading3"/>
      </w:pPr>
      <w:bookmarkStart w:id="3" w:name="Sujet"/>
      <w:r w:rsidRPr="00C02C1F">
        <w:t xml:space="preserve">Europa-Parlamentets afgørelse af </w:t>
      </w:r>
      <w:r w:rsidR="00836293">
        <w:t>23. april</w:t>
      </w:r>
      <w:r w:rsidRPr="00C02C1F">
        <w:t xml:space="preserve"> 2024 om ikke at gøre indsigelse mod Kommissionens delegerede forordning af 12. marts 2024 om ændring af Kommissionens delegerede forordning (EU) 2022/126 om supplering af Europa-Parlamentets og Rådets forordning (EU) 2021/2115 for så vidt angår reglerne om andelen af permanente græsarealer med henblik på normen for god landbrugs- og miljømæssig stand (GLM-norm 1)</w:t>
      </w:r>
      <w:bookmarkEnd w:id="3"/>
      <w:r w:rsidRPr="00C02C1F">
        <w:t xml:space="preserve"> </w:t>
      </w:r>
      <w:bookmarkStart w:id="4" w:name="References"/>
      <w:r w:rsidRPr="00C02C1F">
        <w:t>(C(2024)01488 – 2024/2663(DEA))</w:t>
      </w:r>
      <w:bookmarkEnd w:id="4"/>
    </w:p>
    <w:p w14:paraId="12E974DF" w14:textId="77777777" w:rsidR="0075102D" w:rsidRPr="00C02C1F" w:rsidRDefault="0075102D" w:rsidP="0075102D"/>
    <w:p w14:paraId="21353F0B" w14:textId="77777777" w:rsidR="007908F3" w:rsidRPr="00C02C1F" w:rsidRDefault="007908F3" w:rsidP="007908F3">
      <w:pPr>
        <w:pStyle w:val="NormalHanging12a"/>
        <w:rPr>
          <w:i/>
        </w:rPr>
      </w:pPr>
      <w:bookmarkStart w:id="5" w:name="TextBodyBegin"/>
      <w:bookmarkEnd w:id="5"/>
      <w:r w:rsidRPr="00C02C1F">
        <w:rPr>
          <w:i/>
        </w:rPr>
        <w:t>Europa-Parlamentet,</w:t>
      </w:r>
    </w:p>
    <w:p w14:paraId="12C04D09" w14:textId="77777777" w:rsidR="007908F3" w:rsidRPr="00C02C1F" w:rsidRDefault="007908F3" w:rsidP="007908F3">
      <w:pPr>
        <w:pStyle w:val="NormalHanging12a"/>
      </w:pPr>
      <w:r w:rsidRPr="00C02C1F">
        <w:t>–</w:t>
      </w:r>
      <w:r w:rsidRPr="00C02C1F">
        <w:tab/>
        <w:t>der henviser til Kommissionens delegerede forordning (C(2024)01488),</w:t>
      </w:r>
    </w:p>
    <w:p w14:paraId="7658030B" w14:textId="77777777" w:rsidR="007908F3" w:rsidRPr="00C02C1F" w:rsidRDefault="007908F3" w:rsidP="007908F3">
      <w:pPr>
        <w:pStyle w:val="NormalHanging12a"/>
      </w:pPr>
      <w:r w:rsidRPr="00C02C1F">
        <w:t>–</w:t>
      </w:r>
      <w:r w:rsidRPr="00C02C1F">
        <w:tab/>
        <w:t>der henviser til Kommissionens skrivelse af 12. marts 2024, hvori den anmoder Parlamentet om at erklære, at det ikke vil gøre indsigelse mod den delegerede forordning,</w:t>
      </w:r>
    </w:p>
    <w:p w14:paraId="2979C6B7" w14:textId="77777777" w:rsidR="007908F3" w:rsidRPr="00C02C1F" w:rsidRDefault="007908F3" w:rsidP="007908F3">
      <w:pPr>
        <w:pStyle w:val="NormalHanging12a"/>
      </w:pPr>
      <w:r w:rsidRPr="00C02C1F">
        <w:t>–</w:t>
      </w:r>
      <w:r w:rsidRPr="00C02C1F">
        <w:tab/>
        <w:t>der henviser til skrivelse af 19. marts 2024 fra Udvalget om Landbrug og Udvikling af Landdistrikter til Udvalgsformandskonferencens formand,</w:t>
      </w:r>
    </w:p>
    <w:p w14:paraId="3FC92EED" w14:textId="77777777" w:rsidR="007908F3" w:rsidRPr="00C02C1F" w:rsidRDefault="007908F3" w:rsidP="007908F3">
      <w:pPr>
        <w:pStyle w:val="NormalHanging12a"/>
      </w:pPr>
      <w:r w:rsidRPr="00C02C1F">
        <w:t>–</w:t>
      </w:r>
      <w:r w:rsidRPr="00C02C1F">
        <w:tab/>
        <w:t>der henviser til artikel 290 i traktaten om Den Europæiske Unions funktionsmåde,</w:t>
      </w:r>
    </w:p>
    <w:p w14:paraId="241A08C6" w14:textId="77777777" w:rsidR="007908F3" w:rsidRPr="00C02C1F" w:rsidRDefault="007908F3" w:rsidP="007908F3">
      <w:pPr>
        <w:pStyle w:val="NormalHanging12a"/>
      </w:pPr>
      <w:r w:rsidRPr="00C02C1F">
        <w:t>–</w:t>
      </w:r>
      <w:r w:rsidRPr="00C02C1F">
        <w:tab/>
        <w:t>der henviser til 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w:t>
      </w:r>
      <w:r w:rsidRPr="00C02C1F">
        <w:rPr>
          <w:rStyle w:val="FootnoteReference"/>
          <w:color w:val="000000"/>
        </w:rPr>
        <w:footnoteReference w:id="1"/>
      </w:r>
      <w:r w:rsidRPr="00C02C1F">
        <w:t>, særlig artikel 13, stk. 3, og artikel 152, stk. 6,</w:t>
      </w:r>
    </w:p>
    <w:p w14:paraId="15CF6322" w14:textId="77777777" w:rsidR="007908F3" w:rsidRPr="00C02C1F" w:rsidRDefault="007908F3" w:rsidP="007908F3">
      <w:pPr>
        <w:pStyle w:val="NormalHanging12a"/>
      </w:pPr>
      <w:r w:rsidRPr="00C02C1F">
        <w:t>–</w:t>
      </w:r>
      <w:r w:rsidRPr="00C02C1F">
        <w:tab/>
        <w:t>der henviser til forretningsordenens artikel 111, stk. 6,</w:t>
      </w:r>
    </w:p>
    <w:p w14:paraId="501AC29A" w14:textId="77777777" w:rsidR="007908F3" w:rsidRDefault="007908F3" w:rsidP="007908F3">
      <w:pPr>
        <w:pStyle w:val="NormalHanging12a"/>
      </w:pPr>
      <w:r w:rsidRPr="00C02C1F">
        <w:t>–</w:t>
      </w:r>
      <w:r w:rsidRPr="00C02C1F">
        <w:tab/>
        <w:t>der henviser til henstilling til afgørelse fra Udvalget om Landbrug og Udvikling af Landdistrikter,</w:t>
      </w:r>
    </w:p>
    <w:p w14:paraId="2DA87114" w14:textId="77777777" w:rsidR="009C78D1" w:rsidRPr="00C02C1F" w:rsidRDefault="009C78D1" w:rsidP="007908F3">
      <w:pPr>
        <w:pStyle w:val="NormalHanging12a"/>
      </w:pPr>
    </w:p>
    <w:p w14:paraId="3206CBA8" w14:textId="77777777" w:rsidR="007908F3" w:rsidRPr="00C02C1F" w:rsidRDefault="007908F3" w:rsidP="007908F3">
      <w:pPr>
        <w:pStyle w:val="NormalHanging12a"/>
      </w:pPr>
      <w:r w:rsidRPr="00C02C1F">
        <w:t>A</w:t>
      </w:r>
      <w:bookmarkStart w:id="6" w:name="_GoBack"/>
      <w:bookmarkEnd w:id="6"/>
      <w:r w:rsidRPr="00C02C1F">
        <w:t>.</w:t>
      </w:r>
      <w:r w:rsidRPr="00C02C1F">
        <w:tab/>
        <w:t>der henviser til, at medlemsstaterne siden den 1. januar 2023 har gennemført deres strategiske planer under den fælles landbrugspolitik, herunder den forpligtelse til at opretholde en bestemt andel med permanente græsarealer i forhold til landbrugsarealet, der er fastsat som en del af normen for god landbrugs- og miljømæssig stand for jord ("GLM-norm 1") i bilag III til forordning (EU) 2021/2115;</w:t>
      </w:r>
    </w:p>
    <w:p w14:paraId="49BFB922" w14:textId="77777777" w:rsidR="007908F3" w:rsidRPr="00C02C1F" w:rsidRDefault="007908F3" w:rsidP="007908F3">
      <w:pPr>
        <w:pStyle w:val="NormalHanging12a"/>
      </w:pPr>
      <w:r w:rsidRPr="00C02C1F">
        <w:t>B.</w:t>
      </w:r>
      <w:r w:rsidRPr="00C02C1F">
        <w:tab/>
        <w:t>der henviser til, at de erfaringer, der er gjort, siden man begyndte at gennemføre GLM-norm 1, viser, at det er nødvendigt at ændre disse regler for at undgå, at landbrugerne pålægges en uforholdsmæssig stor byrde i tilfælde, hvor strukturelle ændringer af medlemsstaternes landbrugssystemer som følge af omlægning af markedet, som f.eks. et skift fra husdyropdræt til agerbrug og en reduktion af husdyropdrættet, i væsentlig grad påvirker landbrugernes evne til at etablere permanente græsarealer og samtidig forblive levedygtige;</w:t>
      </w:r>
    </w:p>
    <w:p w14:paraId="5B2E23AB" w14:textId="77777777" w:rsidR="007908F3" w:rsidRPr="00C02C1F" w:rsidRDefault="007908F3" w:rsidP="007908F3">
      <w:pPr>
        <w:pStyle w:val="NormalHanging12a"/>
      </w:pPr>
      <w:r w:rsidRPr="00C02C1F">
        <w:t>C.</w:t>
      </w:r>
      <w:r w:rsidRPr="00C02C1F">
        <w:tab/>
        <w:t>der henviser til, at medlemsstaterne i visse situationer kan være nødt til at pålægge støttemodtagerne forpligtelser til at genomlægge arealer til permanente græsarealer eller etablere permanente græsarealer, selv om reduktionen af den årlige andel skyldes udsving i de anmeldte arealer;</w:t>
      </w:r>
    </w:p>
    <w:p w14:paraId="141B3A8E" w14:textId="77777777" w:rsidR="007908F3" w:rsidRPr="00C02C1F" w:rsidRDefault="007908F3" w:rsidP="007908F3">
      <w:pPr>
        <w:pStyle w:val="NormalHanging12a"/>
      </w:pPr>
      <w:r w:rsidRPr="00C02C1F">
        <w:t>D.</w:t>
      </w:r>
      <w:r w:rsidRPr="00C02C1F">
        <w:tab/>
        <w:t>der henviser til, at det under visse omstændigheder kan ske, at permanente græsarealer registreres i systemet til identifikation af landbrugsparceller, men ikke anmeldes af landbrugerne i et givet år med henblik på direkte betalinger, eller at det samlede landbrugsareal vokser som følge af yderligere anmeldelser fra landbrugerne;</w:t>
      </w:r>
    </w:p>
    <w:p w14:paraId="73A20E7C" w14:textId="77777777" w:rsidR="007908F3" w:rsidRPr="00C02C1F" w:rsidRDefault="007908F3" w:rsidP="007908F3">
      <w:pPr>
        <w:pStyle w:val="NormalHanging12a"/>
      </w:pPr>
      <w:r w:rsidRPr="00C02C1F">
        <w:t>E.</w:t>
      </w:r>
      <w:r w:rsidRPr="00C02C1F">
        <w:tab/>
        <w:t>der henviser til, at det i sådanne situationer, hvor reduktionen af den årlige andel ud over den tærskel på 5 %, der er fastsat i bilag III til forordning (EU) 2021/2115, ikke skyldes omlægning af permanente græsarealer til andre landbrugsmæssige anvendelsesformål, kan være urimeligt at pålægge landbrugerne forpligtelser til at etablere yderligere permanente græsarealer;</w:t>
      </w:r>
    </w:p>
    <w:p w14:paraId="2B128E07" w14:textId="77777777" w:rsidR="007908F3" w:rsidRPr="00C02C1F" w:rsidRDefault="007908F3" w:rsidP="007908F3">
      <w:pPr>
        <w:pStyle w:val="NormalHanging12a"/>
      </w:pPr>
      <w:r w:rsidRPr="00C02C1F">
        <w:t>F.</w:t>
      </w:r>
      <w:r w:rsidRPr="00C02C1F">
        <w:tab/>
        <w:t>der henviser til, at det derfor er hensigtsmæssigt at give mulighed for en vis grad af fleksibilitet, samtidig med at det sikres, at hovedformålet med GLM-norm 1 overholdes, nemlig at have en "almindelig bestemmelse til beskyttelse mod omstilling til andre landbrugsmæssige anvendelsesformål for at bevare kulstoflagrene", og at den maksimale reduktion af andelen af permanente græsarealer, der er fastsat i bilag III til forordning (EU) 2021/2115, overholdes;</w:t>
      </w:r>
    </w:p>
    <w:p w14:paraId="01DF7A70" w14:textId="77777777" w:rsidR="007908F3" w:rsidRPr="00C02C1F" w:rsidRDefault="007908F3" w:rsidP="007908F3">
      <w:pPr>
        <w:pStyle w:val="NormalHanging12a"/>
      </w:pPr>
      <w:r w:rsidRPr="00C02C1F">
        <w:t>G.</w:t>
      </w:r>
      <w:r w:rsidRPr="00C02C1F">
        <w:tab/>
        <w:t>der henviser til, at Kommissionens delegerede forordning (EU) 2022/126</w:t>
      </w:r>
      <w:r w:rsidRPr="00C02C1F">
        <w:rPr>
          <w:rStyle w:val="FootnoteReference"/>
          <w:color w:val="000000"/>
        </w:rPr>
        <w:footnoteReference w:id="2"/>
      </w:r>
      <w:r w:rsidRPr="00C02C1F">
        <w:t>, hvori der er fastsat regler om andelen af permanente græsarealer med henblik på GLM-norm 1, derfor bør ændres;</w:t>
      </w:r>
    </w:p>
    <w:p w14:paraId="7568D0A2" w14:textId="77777777" w:rsidR="007908F3" w:rsidRPr="00C02C1F" w:rsidRDefault="007908F3" w:rsidP="007908F3">
      <w:pPr>
        <w:pStyle w:val="NormalHanging12a"/>
      </w:pPr>
      <w:r w:rsidRPr="00C02C1F">
        <w:lastRenderedPageBreak/>
        <w:t>1.</w:t>
      </w:r>
      <w:r w:rsidRPr="00C02C1F">
        <w:tab/>
        <w:t>erklærer, at det ikke gør indsigelse mod den delegerede forordning;</w:t>
      </w:r>
    </w:p>
    <w:p w14:paraId="5118CEAA" w14:textId="77777777" w:rsidR="00E365E1" w:rsidRPr="00C02C1F" w:rsidRDefault="007908F3" w:rsidP="00D06EC5">
      <w:pPr>
        <w:pStyle w:val="NormalHanging12a"/>
      </w:pPr>
      <w:r w:rsidRPr="00C02C1F">
        <w:t>2.</w:t>
      </w:r>
      <w:r w:rsidRPr="00C02C1F">
        <w:tab/>
        <w:t xml:space="preserve">pålægger sin formand at sende denne afgørelse til Rådet </w:t>
      </w:r>
      <w:r w:rsidR="00C02C1F" w:rsidRPr="00C02C1F">
        <w:t>og Kommissionen.</w:t>
      </w:r>
      <w:bookmarkStart w:id="7" w:name="TextBodyEnd"/>
      <w:bookmarkEnd w:id="7"/>
    </w:p>
    <w:sectPr w:rsidR="00E365E1" w:rsidRPr="00C02C1F" w:rsidSect="00C02C1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34BD33" w14:textId="77777777" w:rsidR="0075102D" w:rsidRPr="00C02C1F" w:rsidRDefault="0075102D">
      <w:r w:rsidRPr="00C02C1F">
        <w:separator/>
      </w:r>
    </w:p>
  </w:endnote>
  <w:endnote w:type="continuationSeparator" w:id="0">
    <w:p w14:paraId="2224E40A" w14:textId="77777777" w:rsidR="0075102D" w:rsidRPr="00C02C1F" w:rsidRDefault="0075102D">
      <w:r w:rsidRPr="00C02C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C3668" w14:textId="77777777" w:rsidR="00064002" w:rsidRPr="00C02C1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8C317" w14:textId="77777777" w:rsidR="00064002" w:rsidRPr="00C02C1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7E4F0" w14:textId="77777777" w:rsidR="00064002" w:rsidRPr="00C02C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0B47C0" w14:textId="77777777" w:rsidR="0075102D" w:rsidRPr="00C02C1F" w:rsidRDefault="0075102D">
      <w:r w:rsidRPr="00C02C1F">
        <w:separator/>
      </w:r>
    </w:p>
  </w:footnote>
  <w:footnote w:type="continuationSeparator" w:id="0">
    <w:p w14:paraId="5280FBC5" w14:textId="77777777" w:rsidR="0075102D" w:rsidRPr="00C02C1F" w:rsidRDefault="0075102D">
      <w:r w:rsidRPr="00C02C1F">
        <w:continuationSeparator/>
      </w:r>
    </w:p>
  </w:footnote>
  <w:footnote w:id="1">
    <w:p w14:paraId="773E1781" w14:textId="77777777" w:rsidR="007908F3" w:rsidRPr="00C02C1F" w:rsidRDefault="007908F3" w:rsidP="00C02C1F">
      <w:pPr>
        <w:pStyle w:val="FootnoteText"/>
        <w:ind w:left="567" w:hanging="567"/>
        <w:rPr>
          <w:sz w:val="24"/>
          <w:lang w:val="da-DK"/>
        </w:rPr>
      </w:pPr>
      <w:r w:rsidRPr="00C02C1F">
        <w:rPr>
          <w:rStyle w:val="FootnoteReference"/>
          <w:sz w:val="24"/>
          <w:lang w:val="da-DK"/>
        </w:rPr>
        <w:footnoteRef/>
      </w:r>
      <w:r w:rsidR="00C02C1F" w:rsidRPr="00C02C1F">
        <w:rPr>
          <w:sz w:val="24"/>
          <w:lang w:val="da-DK"/>
        </w:rPr>
        <w:t xml:space="preserve"> </w:t>
      </w:r>
      <w:r w:rsidR="00C02C1F" w:rsidRPr="00C02C1F">
        <w:rPr>
          <w:sz w:val="24"/>
          <w:lang w:val="da-DK"/>
        </w:rPr>
        <w:tab/>
      </w:r>
      <w:r w:rsidRPr="00C02C1F">
        <w:rPr>
          <w:sz w:val="24"/>
          <w:lang w:val="da-DK"/>
        </w:rPr>
        <w:t>EUT L 435 af 6.12.2021, s. 1.</w:t>
      </w:r>
    </w:p>
  </w:footnote>
  <w:footnote w:id="2">
    <w:p w14:paraId="2418B4B7" w14:textId="77777777" w:rsidR="007908F3" w:rsidRPr="00C02C1F" w:rsidRDefault="007908F3" w:rsidP="00C02C1F">
      <w:pPr>
        <w:pStyle w:val="FootnoteText"/>
        <w:ind w:left="567" w:hanging="567"/>
        <w:rPr>
          <w:sz w:val="24"/>
          <w:lang w:val="da-DK"/>
        </w:rPr>
      </w:pPr>
      <w:r w:rsidRPr="00C02C1F">
        <w:rPr>
          <w:rStyle w:val="FootnoteReference"/>
          <w:sz w:val="24"/>
          <w:lang w:val="da-DK"/>
        </w:rPr>
        <w:footnoteRef/>
      </w:r>
      <w:r w:rsidR="00C02C1F" w:rsidRPr="00C02C1F">
        <w:rPr>
          <w:sz w:val="24"/>
          <w:lang w:val="da-DK"/>
        </w:rPr>
        <w:t xml:space="preserve"> </w:t>
      </w:r>
      <w:r w:rsidR="00C02C1F" w:rsidRPr="00C02C1F">
        <w:rPr>
          <w:sz w:val="24"/>
          <w:lang w:val="da-DK"/>
        </w:rPr>
        <w:tab/>
      </w:r>
      <w:r w:rsidRPr="00C02C1F">
        <w:rPr>
          <w:sz w:val="24"/>
          <w:lang w:val="da-DK"/>
        </w:rPr>
        <w:t>Kommissionens delegerede forordning (EU) 2022/126 af 7. december 2021 om supplering af Europa-Parlamentets og Rådets forordning (EU) 2021/2115 med yderligere krav vedrørende visse interventionstyper, som medlemsstaterne skal fastsætte bestemmelser om i deres strategiske planer for perioden 2023-2027 i henhold til nævnte forordning, samt regler om andelen af permanente græsarealer med henblik på normen for god landbrugs- og miljømæssig stand (GLM-norm 1) (EUT L 20 af 31.1.2022, s. 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BB11A" w14:textId="77777777" w:rsidR="00064002" w:rsidRPr="00C02C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04DC9" w14:textId="77777777" w:rsidR="00064002" w:rsidRPr="00C02C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A6C75" w14:textId="77777777" w:rsidR="00064002" w:rsidRPr="00C02C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DA"/>
    <w:docVar w:name="dvnumam" w:val="0"/>
    <w:docVar w:name="dvpe" w:val="759.936"/>
    <w:docVar w:name="dvtitre" w:val="Europa-Parlamentets afgørelse af xx.xx 2024 om ikke at gøre indsigelse mod Kommissionens delegerede forordning af 12. marts 2024 om ændring af Kommissionens delegerede forordning (EU) 2022/126 om supplering af Europa-Parlamentets og Rådets forordning (EU) 2021/2115 for så vidt angår reglerne om andelen af permanente græsarealer med henblik på normen for god landbrugs- og miljømæssig stand (GLM-norm 1)(C(2024)01488 – 2024/2663(DEA))"/>
  </w:docVars>
  <w:rsids>
    <w:rsidRoot w:val="0075102D"/>
    <w:rsid w:val="00002272"/>
    <w:rsid w:val="00064002"/>
    <w:rsid w:val="000677B9"/>
    <w:rsid w:val="000831BA"/>
    <w:rsid w:val="000A42CC"/>
    <w:rsid w:val="000E7DD9"/>
    <w:rsid w:val="0010095E"/>
    <w:rsid w:val="00125B37"/>
    <w:rsid w:val="00187494"/>
    <w:rsid w:val="001E305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31F2"/>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02D"/>
    <w:rsid w:val="00751A4A"/>
    <w:rsid w:val="00756632"/>
    <w:rsid w:val="00762C74"/>
    <w:rsid w:val="00786EC0"/>
    <w:rsid w:val="007908F3"/>
    <w:rsid w:val="007D1690"/>
    <w:rsid w:val="007E22AD"/>
    <w:rsid w:val="00817416"/>
    <w:rsid w:val="00836293"/>
    <w:rsid w:val="00842779"/>
    <w:rsid w:val="00865F67"/>
    <w:rsid w:val="00881A7B"/>
    <w:rsid w:val="008840E5"/>
    <w:rsid w:val="00887B3E"/>
    <w:rsid w:val="008C2AC6"/>
    <w:rsid w:val="00930C23"/>
    <w:rsid w:val="0093193B"/>
    <w:rsid w:val="009509D8"/>
    <w:rsid w:val="00950B64"/>
    <w:rsid w:val="00981893"/>
    <w:rsid w:val="009C78D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2C1F"/>
    <w:rsid w:val="00C05BFE"/>
    <w:rsid w:val="00C23CD4"/>
    <w:rsid w:val="00C61C0C"/>
    <w:rsid w:val="00C941CB"/>
    <w:rsid w:val="00CC2357"/>
    <w:rsid w:val="00CF071A"/>
    <w:rsid w:val="00D058B8"/>
    <w:rsid w:val="00D06EC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9531F"/>
  <w15:chartTrackingRefBased/>
  <w15:docId w15:val="{D5CA6EF3-FC1F-4238-A850-0D9A3AF04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908F3"/>
    <w:pPr>
      <w:spacing w:after="240"/>
      <w:ind w:left="567" w:hanging="567"/>
    </w:pPr>
  </w:style>
  <w:style w:type="character" w:styleId="CommentReference">
    <w:name w:val="annotation reference"/>
    <w:basedOn w:val="DefaultParagraphFont"/>
    <w:rsid w:val="00836293"/>
    <w:rPr>
      <w:sz w:val="16"/>
      <w:szCs w:val="16"/>
    </w:rPr>
  </w:style>
  <w:style w:type="paragraph" w:styleId="CommentText">
    <w:name w:val="annotation text"/>
    <w:basedOn w:val="Normal"/>
    <w:link w:val="CommentTextChar"/>
    <w:rsid w:val="00836293"/>
    <w:rPr>
      <w:sz w:val="20"/>
    </w:rPr>
  </w:style>
  <w:style w:type="character" w:customStyle="1" w:styleId="CommentTextChar">
    <w:name w:val="Comment Text Char"/>
    <w:basedOn w:val="DefaultParagraphFont"/>
    <w:link w:val="CommentText"/>
    <w:rsid w:val="00836293"/>
    <w:rPr>
      <w:lang w:val="da-DK"/>
    </w:rPr>
  </w:style>
  <w:style w:type="paragraph" w:styleId="CommentSubject">
    <w:name w:val="annotation subject"/>
    <w:basedOn w:val="CommentText"/>
    <w:next w:val="CommentText"/>
    <w:link w:val="CommentSubjectChar"/>
    <w:rsid w:val="00836293"/>
    <w:rPr>
      <w:b/>
      <w:bCs/>
    </w:rPr>
  </w:style>
  <w:style w:type="character" w:customStyle="1" w:styleId="CommentSubjectChar">
    <w:name w:val="Comment Subject Char"/>
    <w:basedOn w:val="CommentTextChar"/>
    <w:link w:val="CommentSubject"/>
    <w:rsid w:val="00836293"/>
    <w:rPr>
      <w:b/>
      <w:bCs/>
      <w:lang w:val="da-DK"/>
    </w:rPr>
  </w:style>
  <w:style w:type="paragraph" w:styleId="BalloonText">
    <w:name w:val="Balloon Text"/>
    <w:basedOn w:val="Normal"/>
    <w:link w:val="BalloonTextChar"/>
    <w:rsid w:val="00836293"/>
    <w:rPr>
      <w:rFonts w:ascii="Segoe UI" w:hAnsi="Segoe UI" w:cs="Segoe UI"/>
      <w:sz w:val="18"/>
      <w:szCs w:val="18"/>
    </w:rPr>
  </w:style>
  <w:style w:type="character" w:customStyle="1" w:styleId="BalloonTextChar">
    <w:name w:val="Balloon Text Char"/>
    <w:basedOn w:val="DefaultParagraphFont"/>
    <w:link w:val="BalloonText"/>
    <w:rsid w:val="00836293"/>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1D191-5B59-4A71-8E9F-7ADEFE088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640</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2024-04-23T10:58:00Z</dcterms:created>
  <dcterms:modified xsi:type="dcterms:W3CDTF">2024-04-23T10:58:00Z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B9-0199/2024</vt:lpwstr>
  </property>
  <property fmtid="{D5CDD505-2E9C-101B-9397-08002B2CF9AE}" pid="4" name="&lt;Type&gt;">
    <vt:lpwstr>RR</vt:lpwstr>
  </property>
</Properties>
</file>