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D08" w:rsidTr="0010095E">
        <w:trPr>
          <w:trHeight w:hRule="exact" w:val="1418"/>
        </w:trPr>
        <w:tc>
          <w:tcPr>
            <w:tcW w:w="6804" w:type="dxa"/>
            <w:shd w:val="clear" w:color="auto" w:fill="auto"/>
            <w:vAlign w:val="center"/>
          </w:tcPr>
          <w:p w:rsidR="00751A4A" w:rsidRPr="006C6D08" w:rsidRDefault="00BC43AF" w:rsidP="0010095E">
            <w:pPr>
              <w:pStyle w:val="EPName"/>
            </w:pPr>
            <w:r w:rsidRPr="006C6D08">
              <w:t>Ευρωπαϊκό Κοινοβούλιο</w:t>
            </w:r>
          </w:p>
          <w:p w:rsidR="00751A4A" w:rsidRPr="006C6D08" w:rsidRDefault="00817416" w:rsidP="00756632">
            <w:pPr>
              <w:pStyle w:val="EPTerm"/>
              <w:rPr>
                <w:rStyle w:val="HideTWBExt"/>
                <w:noProof w:val="0"/>
                <w:vanish w:val="0"/>
                <w:color w:val="auto"/>
              </w:rPr>
            </w:pPr>
            <w:r w:rsidRPr="006C6D08">
              <w:t>2019-2024</w:t>
            </w:r>
          </w:p>
        </w:tc>
        <w:tc>
          <w:tcPr>
            <w:tcW w:w="2268" w:type="dxa"/>
            <w:shd w:val="clear" w:color="auto" w:fill="auto"/>
          </w:tcPr>
          <w:p w:rsidR="00751A4A" w:rsidRPr="006C6D08" w:rsidRDefault="00187494" w:rsidP="0010095E">
            <w:pPr>
              <w:pStyle w:val="EPLogo"/>
            </w:pPr>
            <w:r w:rsidRPr="006C6D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6D08" w:rsidRDefault="00D058B8" w:rsidP="004C5D52">
      <w:pPr>
        <w:pStyle w:val="LineTop"/>
      </w:pPr>
    </w:p>
    <w:p w:rsidR="00680577" w:rsidRPr="006C6D08" w:rsidRDefault="00BC43AF" w:rsidP="00680577">
      <w:pPr>
        <w:pStyle w:val="EPBodyTA1"/>
      </w:pPr>
      <w:r w:rsidRPr="006C6D08">
        <w:t>ΚΕΙΜΕΝΑ ΠΟΥ ΕΓΚΡΙΘΗΚΑΝ</w:t>
      </w:r>
    </w:p>
    <w:p w:rsidR="00D058B8" w:rsidRPr="006C6D08" w:rsidRDefault="00D058B8" w:rsidP="00D058B8">
      <w:pPr>
        <w:pStyle w:val="LineBottom"/>
      </w:pPr>
    </w:p>
    <w:p w:rsidR="00BC43AF" w:rsidRPr="00DF4A7C" w:rsidRDefault="00BC43AF" w:rsidP="00BC43AF">
      <w:pPr>
        <w:pStyle w:val="ATHeading1"/>
      </w:pPr>
      <w:bookmarkStart w:id="0" w:name="TANumber"/>
      <w:r w:rsidRPr="006C6D08">
        <w:t>P9_TA(2024)</w:t>
      </w:r>
      <w:bookmarkEnd w:id="0"/>
      <w:r w:rsidR="00DF4A7C" w:rsidRPr="006C6D08">
        <w:t>0</w:t>
      </w:r>
      <w:r w:rsidR="00DF4A7C" w:rsidRPr="00DF4A7C">
        <w:t>290</w:t>
      </w:r>
    </w:p>
    <w:p w:rsidR="00BC43AF" w:rsidRPr="006E3191" w:rsidRDefault="006E3191" w:rsidP="00BC43AF">
      <w:pPr>
        <w:pStyle w:val="ATHeading2"/>
      </w:pPr>
      <w:bookmarkStart w:id="1" w:name="title"/>
      <w:r w:rsidRPr="006E3191">
        <w:t>Απόφαση περί μη διατύπωσης αντίρρησης σε κατ’ εξουσιοδότηση πράξη:</w:t>
      </w:r>
      <w:bookmarkEnd w:id="1"/>
      <w:r w:rsidRPr="00DF4A7C">
        <w:t xml:space="preserve"> </w:t>
      </w:r>
      <w:r w:rsidRPr="006C6D08">
        <w:t>κανόνες σχετικά με την αναλογία για το πρότυπο 1</w:t>
      </w:r>
      <w:r w:rsidRPr="00DF4A7C">
        <w:t xml:space="preserve"> </w:t>
      </w:r>
      <w:r>
        <w:t>της ΚΓΠΚ</w:t>
      </w:r>
    </w:p>
    <w:p w:rsidR="00BC43AF" w:rsidRPr="006C6D08" w:rsidRDefault="00BC43AF" w:rsidP="00BC43AF">
      <w:pPr>
        <w:rPr>
          <w:i/>
          <w:vanish/>
        </w:rPr>
      </w:pPr>
      <w:r w:rsidRPr="006C6D08">
        <w:rPr>
          <w:i/>
        </w:rPr>
        <w:fldChar w:fldCharType="begin"/>
      </w:r>
      <w:r w:rsidRPr="006C6D08">
        <w:rPr>
          <w:i/>
        </w:rPr>
        <w:instrText xml:space="preserve"> TC"(</w:instrText>
      </w:r>
      <w:bookmarkStart w:id="2" w:name="DocNumber"/>
      <w:r w:rsidRPr="006C6D08">
        <w:rPr>
          <w:i/>
        </w:rPr>
        <w:instrText>B9-0199/2024</w:instrText>
      </w:r>
      <w:bookmarkEnd w:id="2"/>
      <w:r w:rsidRPr="006C6D08">
        <w:rPr>
          <w:i/>
        </w:rPr>
        <w:instrText xml:space="preserve">)"\l3 \n&gt; \* MERGEFORMAT </w:instrText>
      </w:r>
      <w:r w:rsidRPr="006C6D08">
        <w:rPr>
          <w:i/>
        </w:rPr>
        <w:fldChar w:fldCharType="end"/>
      </w:r>
    </w:p>
    <w:p w:rsidR="00BC43AF" w:rsidRPr="006C6D08" w:rsidRDefault="00BC43AF" w:rsidP="00BC43AF">
      <w:pPr>
        <w:rPr>
          <w:vanish/>
        </w:rPr>
      </w:pPr>
      <w:bookmarkStart w:id="3" w:name="PE"/>
      <w:r w:rsidRPr="006C6D08">
        <w:rPr>
          <w:vanish/>
        </w:rPr>
        <w:t>PE759.936</w:t>
      </w:r>
      <w:bookmarkEnd w:id="3"/>
    </w:p>
    <w:p w:rsidR="00BC43AF" w:rsidRPr="006C6D08" w:rsidRDefault="00BC43AF" w:rsidP="00BC43AF">
      <w:pPr>
        <w:pStyle w:val="ATHeading3"/>
      </w:pPr>
      <w:bookmarkStart w:id="4" w:name="Sujet"/>
      <w:r w:rsidRPr="006C6D08">
        <w:t>Απόφαση του Ευρωπαϊκού Κοινοβουλίου</w:t>
      </w:r>
      <w:r w:rsidR="0014788C">
        <w:t xml:space="preserve"> της 23ης Απριλίου 2024</w:t>
      </w:r>
      <w:r w:rsidRPr="006C6D08">
        <w:t xml:space="preserve"> περί μη διατύπωσης αντίρρησης στον κατ’ εξουσιοδότηση κανονισμό της Επιτροπής, της 12ης Μαρτίου 2024, που τροποποιεί τον κατ’ εξουσιοδότηση κανονισμό (ΕΕ) 2022/126 της Επιτροπής για τη συμπλήρωση του κανονισμού (ΕΕ) 2021/2115 του Ευρωπαϊκού Κοινοβουλίου και του Συμβουλίου όσον αφορά τους κανόνες σχετικά με την αναλογία για το πρότυπο 1 της καλής γεωργικής και περιβαλλοντικής κατάστασης των εκτάσεων (ΚΓΠΚ)</w:t>
      </w:r>
      <w:bookmarkEnd w:id="4"/>
      <w:r w:rsidRPr="006C6D08">
        <w:t xml:space="preserve"> </w:t>
      </w:r>
      <w:bookmarkStart w:id="5" w:name="References"/>
      <w:r w:rsidRPr="006C6D08">
        <w:t>(C(2024)01488 – 2024/2663(DEA))</w:t>
      </w:r>
      <w:bookmarkEnd w:id="5"/>
    </w:p>
    <w:p w:rsidR="00BC43AF" w:rsidRPr="006C6D08" w:rsidRDefault="00BC43AF" w:rsidP="00BC43AF"/>
    <w:p w:rsidR="00856574" w:rsidRPr="006C6D08" w:rsidRDefault="00856574" w:rsidP="00856574">
      <w:pPr>
        <w:pStyle w:val="NormalHanging12a"/>
        <w:rPr>
          <w:i/>
        </w:rPr>
      </w:pPr>
      <w:bookmarkStart w:id="6" w:name="TextBodyBegin"/>
      <w:bookmarkEnd w:id="6"/>
      <w:r w:rsidRPr="006C6D08">
        <w:rPr>
          <w:i/>
        </w:rPr>
        <w:t>Το Ευρωπαϊκό Κοινοβούλιο,</w:t>
      </w:r>
    </w:p>
    <w:p w:rsidR="00856574" w:rsidRPr="006C6D08" w:rsidRDefault="00856574" w:rsidP="00856574">
      <w:pPr>
        <w:pStyle w:val="NormalHanging12a"/>
      </w:pPr>
      <w:r w:rsidRPr="006C6D08">
        <w:t>–</w:t>
      </w:r>
      <w:r w:rsidRPr="006C6D08">
        <w:tab/>
        <w:t>έχοντας υπόψη τον κατ’ εξουσιοδότηση κανονισμό της Επιτροπής (C(2024)01488),</w:t>
      </w:r>
    </w:p>
    <w:p w:rsidR="00856574" w:rsidRPr="006C6D08" w:rsidRDefault="00856574" w:rsidP="00856574">
      <w:pPr>
        <w:pStyle w:val="NormalHanging12a"/>
      </w:pPr>
      <w:r w:rsidRPr="006C6D08">
        <w:t>–</w:t>
      </w:r>
      <w:r w:rsidRPr="006C6D08">
        <w:tab/>
        <w:t>έχοντας υπόψη την με ημερομηνία 12 Μαρτίου 2024 επιστολή της Επιτροπής διά της οποίας του ζητείται να δηλώσει ότι δεν θα διατυπώσει αντίρρηση στον κατ’ εξουσιοδότηση κανονισμό,</w:t>
      </w:r>
    </w:p>
    <w:p w:rsidR="00856574" w:rsidRPr="006C6D08" w:rsidRDefault="00856574" w:rsidP="00856574">
      <w:pPr>
        <w:pStyle w:val="NormalHanging12a"/>
      </w:pPr>
      <w:r w:rsidRPr="006C6D08">
        <w:t>–</w:t>
      </w:r>
      <w:r w:rsidRPr="006C6D08">
        <w:tab/>
        <w:t>έχοντας υπόψη την με ημερομηνία 19 Μαρτίου 2024 επιστολή της Επιτροπής Γεωργίας και Ανάπτυξης της Υπαίθρου προς τον πρόεδρο της Διάσκεψης των Προέδρων των Επιτροπών,</w:t>
      </w:r>
    </w:p>
    <w:p w:rsidR="00856574" w:rsidRPr="006C6D08" w:rsidRDefault="00856574" w:rsidP="00856574">
      <w:pPr>
        <w:pStyle w:val="NormalHanging12a"/>
      </w:pPr>
      <w:r w:rsidRPr="006C6D08">
        <w:t>–</w:t>
      </w:r>
      <w:r w:rsidRPr="006C6D08">
        <w:tab/>
        <w:t>έχοντας υπόψη το άρθρο 290 της Συνθήκης για τη λειτουργία της Ευρωπαϊκής Ένωσης,</w:t>
      </w:r>
    </w:p>
    <w:p w:rsidR="00856574" w:rsidRPr="006C6D08" w:rsidRDefault="00856574" w:rsidP="00856574">
      <w:pPr>
        <w:pStyle w:val="NormalHanging12a"/>
      </w:pPr>
      <w:r w:rsidRPr="006C6D08">
        <w:t>–</w:t>
      </w:r>
      <w:r w:rsidRPr="006C6D08">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6C6D08">
        <w:rPr>
          <w:rStyle w:val="FootnoteReference"/>
          <w:color w:val="000000"/>
        </w:rPr>
        <w:footnoteReference w:id="1"/>
      </w:r>
      <w:r w:rsidRPr="006C6D08">
        <w:t>, και ιδίως το άρθρο 13 παράγραφος 3 και το άρθρο 152 παράγραφος 6,</w:t>
      </w:r>
    </w:p>
    <w:p w:rsidR="00856574" w:rsidRPr="006C6D08" w:rsidRDefault="00856574" w:rsidP="00856574">
      <w:pPr>
        <w:pStyle w:val="NormalHanging12a"/>
      </w:pPr>
      <w:r w:rsidRPr="006C6D08">
        <w:t>–</w:t>
      </w:r>
      <w:r w:rsidRPr="006C6D08">
        <w:tab/>
        <w:t>έχοντας υπόψη το άρθρο 111 παράγραφος 6 του Κανονισμού του,</w:t>
      </w:r>
    </w:p>
    <w:p w:rsidR="006E3191" w:rsidRPr="006C6D08" w:rsidRDefault="00856574" w:rsidP="00856574">
      <w:pPr>
        <w:pStyle w:val="NormalHanging12a"/>
      </w:pPr>
      <w:r w:rsidRPr="006C6D08">
        <w:lastRenderedPageBreak/>
        <w:t>–</w:t>
      </w:r>
      <w:r w:rsidRPr="006C6D08">
        <w:tab/>
        <w:t>έχοντας υπόψη τη σύσταση απόφασης της Επιτροπής Γεωργίας και Ανάπτυξης της Υπαίθρου,</w:t>
      </w:r>
    </w:p>
    <w:p w:rsidR="00856574" w:rsidRPr="006C6D08" w:rsidRDefault="00856574" w:rsidP="00856574">
      <w:pPr>
        <w:pStyle w:val="NormalHanging12a"/>
      </w:pPr>
      <w:r w:rsidRPr="006C6D08">
        <w:t>Α.</w:t>
      </w:r>
      <w:r w:rsidRPr="006C6D08">
        <w:tab/>
        <w:t>λαμβάνοντας υπόψη ότι από την 1η Ιανουαρίου 2023, τα κράτη μέλη εφαρμόζουν τα στρατηγικά τους σχέδια για την ΚΓΠ, τα οποία περιλαμβάνουν την υποχρέωση διατήρησης της αναλογίας των μόνιμων λειμώνων σε σχέση με τη γεωργική έκταση, όπως ορίζεται στο πλαίσιο του προτύπου 1 της καλής γεωργικής και περιβαλλοντικής κατάστασης των εκτάσεων (ΚΓΠΚ) (εφεξής: ΚΓΠΚ 1) στο παράρτημα III του κανονισμού (ΕΕ) 2021/2115·</w:t>
      </w:r>
    </w:p>
    <w:p w:rsidR="00856574" w:rsidRPr="006C6D08" w:rsidRDefault="00856574" w:rsidP="00856574">
      <w:pPr>
        <w:pStyle w:val="NormalHanging12a"/>
      </w:pPr>
      <w:r w:rsidRPr="006C6D08">
        <w:t>Β.</w:t>
      </w:r>
      <w:r w:rsidRPr="006C6D08">
        <w:tab/>
        <w:t>λαμβάνοντας υπόψη ότι η εμπειρία από την έναρξη της εφαρμογής του ΚΓΠΚ 1 δείχνει ότι οι εν λόγω κανόνες πρέπει να τροποποιηθούν ώστε να αποφευχθεί η δυσανάλογη επιβάρυνση των γεωργών όταν διαρθρωτικές αλλαγές στα γεωργικά συστήματα των κρατών μελών, οι οποίες προκαλούνται από αναπροσανατολισμό της αγοράς, όπως η στροφή από τη ζωική παραγωγή στις αρόσιμες καλλιέργειες και η μείωση της ζωικής παραγωγής, επηρεάζουν σημαντικά την ικανότητα των γεωργών να δημιουργήσουν μόνιμους λειμώνες διατηρώντας παράλληλα τη βιωσιμότητά τους·</w:t>
      </w:r>
    </w:p>
    <w:p w:rsidR="00856574" w:rsidRPr="006C6D08" w:rsidRDefault="00856574" w:rsidP="00856574">
      <w:pPr>
        <w:pStyle w:val="NormalHanging12a"/>
      </w:pPr>
      <w:r w:rsidRPr="006C6D08">
        <w:t>Γ.</w:t>
      </w:r>
      <w:r w:rsidRPr="006C6D08">
        <w:tab/>
        <w:t>λαμβάνοντας υπόψη ότι, σε ορισμένες περιπτώσεις, τα κράτη μέλη ενδέχεται να χρειαστεί να επιβάλουν σε δικαιούχους υποχρεώσεις σχετικά με την εκ νέου μετατροπή εκτάσεων σε μόνιμους λειμώνες ή τη δημιουργία εκτάσεων μόνιμων λειμώνων, ακόμη και αν οι μειώσεις στην ετήσια αναλογία είναι αποτέλεσμα διακυμάνσεων στις δηλωθείσες εκτάσεις·</w:t>
      </w:r>
    </w:p>
    <w:p w:rsidR="00856574" w:rsidRPr="006C6D08" w:rsidRDefault="00856574" w:rsidP="00856574">
      <w:pPr>
        <w:pStyle w:val="NormalHanging12a"/>
      </w:pPr>
      <w:r w:rsidRPr="006C6D08">
        <w:t>Δ.</w:t>
      </w:r>
      <w:r w:rsidRPr="006C6D08">
        <w:tab/>
        <w:t>λαμβάνοντας υπόψη ότι, σε ορισμένες περιπτώσεις, κάποιες εκτάσεις μόνιμων λειμώνων μπορεί να έχουν καταχωριστεί στο σύστημα αναγνώρισης αγροτεμαχίων, αλλά να μην έχουν δηλωθεί από τους γεωργούς στο πλαίσιο των άμεσων ενισχύσεων για ένα δεδομένο έτος, ή να έχει αυξηθεί η συνολική γεωργική έκταση λόγω πρόσθετων δηλώσεων των γεωργών·</w:t>
      </w:r>
    </w:p>
    <w:p w:rsidR="00856574" w:rsidRPr="006C6D08" w:rsidRDefault="00856574" w:rsidP="00856574">
      <w:pPr>
        <w:pStyle w:val="NormalHanging12a"/>
      </w:pPr>
      <w:r w:rsidRPr="006C6D08">
        <w:t>Ε.</w:t>
      </w:r>
      <w:r w:rsidRPr="006C6D08">
        <w:tab/>
        <w:t>λαμβάνοντας υπόψη ότι στις περιπτώσεις αυτές, κατά τις οποίες η μείωση της ετήσιας αναλογίας πέραν του ορίου του 5 % που ορίζεται στο παράρτημα III του κανονισμού (ΕΕ) 2021/2115 δεν προκύπτει από τη μετατροπή εκτάσεων μόνιμων λειμώνων σε εκτάσεις για άλλες γεωργικές χρήσεις, θα ήταν δυσανάλογο να επιβληθούν στους γεωργούς υποχρεώσεις για τη δημιουργία πρόσθετων εκτάσεων μόνιμων λειμώνων·</w:t>
      </w:r>
    </w:p>
    <w:p w:rsidR="00856574" w:rsidRPr="006C6D08" w:rsidRDefault="00856574" w:rsidP="00856574">
      <w:pPr>
        <w:pStyle w:val="NormalHanging12a"/>
      </w:pPr>
      <w:r w:rsidRPr="006C6D08">
        <w:t>ΣΤ.</w:t>
      </w:r>
      <w:r w:rsidRPr="006C6D08">
        <w:tab/>
        <w:t>λαμβάνοντας υπόψη ότι είναι σκόπιμο να προβλεφθεί κάποιος βαθμός ευελιξίας, αλλά παράλληλα να διασφαλισθεί η συμμόρφωση με τον κύριο στόχο του ΚΓΠΚ 1 να υπάρχει ένα γενικό μέτρο διασφάλισης κατά της μετατροπής σε εκτάσεις για άλλες γεωργικές χρήσεις για τη διατήρηση των αποθεμάτων άνθρακα και με τη μέγιστη μείωση της αναλογίας που ορίζεται στο παράρτημα III του κανονισμού (ΕΕ) 2021/2115·</w:t>
      </w:r>
    </w:p>
    <w:p w:rsidR="00856574" w:rsidRPr="006C6D08" w:rsidRDefault="00856574" w:rsidP="00856574">
      <w:pPr>
        <w:pStyle w:val="NormalHanging12a"/>
      </w:pPr>
      <w:r w:rsidRPr="006C6D08">
        <w:t>Ζ.</w:t>
      </w:r>
      <w:r w:rsidRPr="006C6D08">
        <w:tab/>
        <w:t>λαμβάνοντας υπόψη ότι ο κατ’ εξουσιοδότηση κανονισμός (ΕΕ) 2022/126 της Επιτροπής</w:t>
      </w:r>
      <w:r w:rsidRPr="006C6D08">
        <w:rPr>
          <w:rStyle w:val="FootnoteReference"/>
          <w:color w:val="000000"/>
        </w:rPr>
        <w:footnoteReference w:id="2"/>
      </w:r>
      <w:r w:rsidRPr="006C6D08">
        <w:t>, ο οποίος θεσπίζει κανόνες σχετικά με την αναλογία για το ΚΓΠΚ 1, θα πρέπει συνεπώς να τροποποιηθεί·</w:t>
      </w:r>
    </w:p>
    <w:p w:rsidR="00856574" w:rsidRPr="006C6D08" w:rsidRDefault="00856574" w:rsidP="00856574">
      <w:pPr>
        <w:pStyle w:val="NormalHanging12a"/>
      </w:pPr>
      <w:r w:rsidRPr="006C6D08">
        <w:t>1.</w:t>
      </w:r>
      <w:r w:rsidRPr="006C6D08">
        <w:tab/>
        <w:t>δηλώνει ότι δεν διατυπώνει αντίρρηση στον κατ’ εξουσιοδότηση κανονισμό·</w:t>
      </w:r>
    </w:p>
    <w:p w:rsidR="00856574" w:rsidRPr="006C6D08" w:rsidRDefault="00856574" w:rsidP="00856574">
      <w:pPr>
        <w:pStyle w:val="NormalHanging12a"/>
      </w:pPr>
      <w:r w:rsidRPr="006C6D08">
        <w:t>2.</w:t>
      </w:r>
      <w:r w:rsidRPr="006C6D08">
        <w:tab/>
        <w:t xml:space="preserve">αναθέτει στην Πρόεδρό του να διαβιβάσει την παρούσα απόφαση στο </w:t>
      </w:r>
      <w:r w:rsidR="006C6D08" w:rsidRPr="006C6D08">
        <w:t>Συμβούλιο και στην Επιτροπή.</w:t>
      </w:r>
    </w:p>
    <w:p w:rsidR="00E365E1" w:rsidRPr="006C6D08" w:rsidRDefault="00E365E1" w:rsidP="00BC43AF">
      <w:bookmarkStart w:id="7" w:name="TextBodyEnd"/>
      <w:bookmarkStart w:id="8" w:name="_GoBack"/>
      <w:bookmarkEnd w:id="7"/>
      <w:bookmarkEnd w:id="8"/>
    </w:p>
    <w:sectPr w:rsidR="00E365E1" w:rsidRPr="006C6D08" w:rsidSect="006C6D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3AF" w:rsidRPr="006C6D08" w:rsidRDefault="00BC43AF">
      <w:r w:rsidRPr="006C6D08">
        <w:separator/>
      </w:r>
    </w:p>
  </w:endnote>
  <w:endnote w:type="continuationSeparator" w:id="0">
    <w:p w:rsidR="00BC43AF" w:rsidRPr="006C6D08" w:rsidRDefault="00BC43AF">
      <w:r w:rsidRPr="006C6D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D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D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D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3AF" w:rsidRPr="006C6D08" w:rsidRDefault="00BC43AF">
      <w:r w:rsidRPr="006C6D08">
        <w:separator/>
      </w:r>
    </w:p>
  </w:footnote>
  <w:footnote w:type="continuationSeparator" w:id="0">
    <w:p w:rsidR="00BC43AF" w:rsidRPr="006C6D08" w:rsidRDefault="00BC43AF">
      <w:r w:rsidRPr="006C6D08">
        <w:continuationSeparator/>
      </w:r>
    </w:p>
  </w:footnote>
  <w:footnote w:id="1">
    <w:p w:rsidR="00856574" w:rsidRPr="006C6D08" w:rsidRDefault="00856574" w:rsidP="006C6D08">
      <w:pPr>
        <w:pStyle w:val="FootnoteText"/>
        <w:ind w:left="567" w:hanging="567"/>
        <w:rPr>
          <w:sz w:val="24"/>
          <w:lang w:val="el-GR"/>
        </w:rPr>
      </w:pPr>
      <w:r w:rsidRPr="006C6D08">
        <w:rPr>
          <w:rStyle w:val="FootnoteReference"/>
          <w:sz w:val="24"/>
          <w:lang w:val="el-GR"/>
        </w:rPr>
        <w:footnoteRef/>
      </w:r>
      <w:r w:rsidR="006C6D08" w:rsidRPr="006C6D08">
        <w:rPr>
          <w:sz w:val="24"/>
          <w:lang w:val="el-GR"/>
        </w:rPr>
        <w:t xml:space="preserve"> </w:t>
      </w:r>
      <w:r w:rsidR="006C6D08" w:rsidRPr="006C6D08">
        <w:rPr>
          <w:sz w:val="24"/>
          <w:lang w:val="el-GR"/>
        </w:rPr>
        <w:tab/>
      </w:r>
      <w:r w:rsidRPr="006C6D08">
        <w:rPr>
          <w:sz w:val="24"/>
          <w:lang w:val="el-GR"/>
        </w:rPr>
        <w:t>ΕΕ L 435 της 6.12.2021, σ. 1.</w:t>
      </w:r>
      <w:r w:rsidRPr="006C6D08">
        <w:rPr>
          <w:sz w:val="24"/>
          <w:lang w:val="el-GR"/>
        </w:rPr>
        <w:tab/>
      </w:r>
    </w:p>
  </w:footnote>
  <w:footnote w:id="2">
    <w:p w:rsidR="00856574" w:rsidRPr="006C6D08" w:rsidRDefault="00856574" w:rsidP="006C6D08">
      <w:pPr>
        <w:pStyle w:val="FootnoteText"/>
        <w:ind w:left="567" w:hanging="567"/>
        <w:rPr>
          <w:sz w:val="24"/>
          <w:vertAlign w:val="superscript"/>
          <w:lang w:val="el-GR"/>
        </w:rPr>
      </w:pPr>
      <w:r w:rsidRPr="006C6D08">
        <w:rPr>
          <w:rStyle w:val="FootnoteReference"/>
          <w:sz w:val="24"/>
          <w:lang w:val="el-GR"/>
        </w:rPr>
        <w:footnoteRef/>
      </w:r>
      <w:r w:rsidR="006C6D08" w:rsidRPr="006C6D08">
        <w:rPr>
          <w:sz w:val="24"/>
          <w:lang w:val="el-GR"/>
        </w:rPr>
        <w:t xml:space="preserve"> </w:t>
      </w:r>
      <w:r w:rsidR="006C6D08" w:rsidRPr="006C6D08">
        <w:rPr>
          <w:sz w:val="24"/>
          <w:lang w:val="el-GR"/>
        </w:rPr>
        <w:tab/>
      </w:r>
      <w:r w:rsidRPr="006C6D08">
        <w:rPr>
          <w:sz w:val="24"/>
          <w:lang w:val="el-GR"/>
        </w:rPr>
        <w:t>Κατ’ εξουσιοδότηση κανονισμός (ΕΕ) 2022/126 της Επιτροπής, της 7ης Δεκεμβρίου 2021, για τη συμπλήρωση του κανονισμού (ΕΕ) 2021/2115 του Ευρωπαϊκού Κοινοβουλίου και του Συμβουλίου με πρόσθετες απαιτήσεις για ορισμένους τύπους παρέμβασης που καθορίζονται από τα κράτη μέλη στα στρατηγικά τους σχέδια για την ΚΓΠ για την περίοδο 2023 έως 2027 δυνάμει του εν λόγω κανονισμού, καθώς και με κανόνες σχετικά με την αναλογία για το πρότυπο 1 της καλής γεωργικής και περιβαλλοντικής κατάστασης των εκτάσεων (ΚΓΠΚ) (ΕΕ L 20 της 31.1.2022, σ. 52).</w:t>
      </w:r>
    </w:p>
    <w:p w:rsidR="00856574" w:rsidRPr="006C6D08" w:rsidRDefault="006C6D08" w:rsidP="006C6D08">
      <w:pPr>
        <w:pStyle w:val="FootnoteText"/>
        <w:ind w:left="567" w:hanging="567"/>
        <w:rPr>
          <w:sz w:val="24"/>
          <w:lang w:val="el-GR"/>
        </w:rPr>
      </w:pPr>
      <w:r w:rsidRPr="006C6D08">
        <w:rPr>
          <w:sz w:val="24"/>
          <w:lang w:val="el-GR"/>
        </w:rPr>
        <w:t xml:space="preserve"> </w:t>
      </w:r>
      <w:r w:rsidRPr="006C6D08">
        <w:rPr>
          <w:sz w:val="24"/>
          <w:lang w:val="el-GR"/>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D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D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D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EL"/>
    <w:docVar w:name="dvnumam" w:val="0"/>
    <w:docVar w:name="dvpe" w:val="759.936"/>
    <w:docVar w:name="dvtitre" w:val="Απόφαση του Ευρωπαϊκού Κοινοβουλίου περί μη διατύπωσης αντίρρησης στον κατ’ εξουσιοδότηση κανονισμό της Επιτροπής, της 12ης Μαρτίου 2024, που τροποποιεί τον κατ’ εξουσιοδότηση κανονισμό (ΕΕ) 2022/126 της Επιτροπής για τη συμπλήρωση του κανονισμού (ΕΕ) 2021/2115 του Ευρωπαϊκού Κοινοβουλίου και του Συμβουλίου όσον αφορά τους κανόνες σχετικά με την αναλογία για το πρότυπο 1 της καλής γεωργικής και περιβαλλοντικής κατάστασης των εκτάσεων (ΚΓΠΚ)(C(2024)01488 – 2024/2663(DEA))"/>
  </w:docVars>
  <w:rsids>
    <w:rsidRoot w:val="00BC43AF"/>
    <w:rsid w:val="00002272"/>
    <w:rsid w:val="00064002"/>
    <w:rsid w:val="000677B9"/>
    <w:rsid w:val="000831BA"/>
    <w:rsid w:val="000A42CC"/>
    <w:rsid w:val="000E7DD9"/>
    <w:rsid w:val="0010095E"/>
    <w:rsid w:val="00125B37"/>
    <w:rsid w:val="001304F0"/>
    <w:rsid w:val="0014788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D08"/>
    <w:rsid w:val="006E3191"/>
    <w:rsid w:val="006F74FA"/>
    <w:rsid w:val="00731ADD"/>
    <w:rsid w:val="00734777"/>
    <w:rsid w:val="00747932"/>
    <w:rsid w:val="00751A4A"/>
    <w:rsid w:val="00756632"/>
    <w:rsid w:val="00762C74"/>
    <w:rsid w:val="00786EC0"/>
    <w:rsid w:val="007D1690"/>
    <w:rsid w:val="007E22AD"/>
    <w:rsid w:val="00817416"/>
    <w:rsid w:val="00842779"/>
    <w:rsid w:val="0085657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3A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A7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87D13"/>
  <w15:chartTrackingRefBased/>
  <w15:docId w15:val="{A3CABC7D-CF0B-4916-B6DF-B3A949F2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6574"/>
    <w:pPr>
      <w:spacing w:after="240"/>
      <w:ind w:left="567" w:hanging="567"/>
    </w:pPr>
  </w:style>
  <w:style w:type="paragraph" w:styleId="BalloonText">
    <w:name w:val="Balloon Text"/>
    <w:basedOn w:val="Normal"/>
    <w:link w:val="BalloonTextChar"/>
    <w:rsid w:val="006E3191"/>
    <w:rPr>
      <w:rFonts w:ascii="Segoe UI" w:hAnsi="Segoe UI" w:cs="Segoe UI"/>
      <w:sz w:val="18"/>
      <w:szCs w:val="18"/>
    </w:rPr>
  </w:style>
  <w:style w:type="character" w:customStyle="1" w:styleId="BalloonTextChar">
    <w:name w:val="Balloon Text Char"/>
    <w:basedOn w:val="DefaultParagraphFont"/>
    <w:link w:val="BalloonText"/>
    <w:rsid w:val="006E319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6AF70-4850-439C-A0C0-037740FEA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697</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2024-04-23T10:51:00Z</dcterms:created>
  <dcterms:modified xsi:type="dcterms:W3CDTF">2024-04-23T10:51:00Z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B9-0199/2024</vt:lpwstr>
  </property>
  <property fmtid="{D5CDD505-2E9C-101B-9397-08002B2CF9AE}" pid="4" name="&lt;Type&gt;">
    <vt:lpwstr>RR</vt:lpwstr>
  </property>
</Properties>
</file>