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5472" w14:paraId="4D6DACD1" w14:textId="77777777" w:rsidTr="0010095E">
        <w:trPr>
          <w:trHeight w:hRule="exact" w:val="1418"/>
        </w:trPr>
        <w:tc>
          <w:tcPr>
            <w:tcW w:w="6804" w:type="dxa"/>
            <w:shd w:val="clear" w:color="auto" w:fill="auto"/>
            <w:vAlign w:val="center"/>
          </w:tcPr>
          <w:p w14:paraId="4049E8DA" w14:textId="77777777" w:rsidR="00751A4A" w:rsidRPr="003D5472" w:rsidRDefault="00697280" w:rsidP="0010095E">
            <w:pPr>
              <w:pStyle w:val="EPName"/>
            </w:pPr>
            <w:r w:rsidRPr="003D5472">
              <w:t>Euroopa Parlament</w:t>
            </w:r>
          </w:p>
          <w:p w14:paraId="6E76D772" w14:textId="77777777" w:rsidR="00751A4A" w:rsidRPr="003D5472" w:rsidRDefault="00817416" w:rsidP="00756632">
            <w:pPr>
              <w:pStyle w:val="EPTerm"/>
              <w:rPr>
                <w:rStyle w:val="HideTWBExt"/>
                <w:noProof w:val="0"/>
                <w:vanish w:val="0"/>
                <w:color w:val="auto"/>
              </w:rPr>
            </w:pPr>
            <w:r w:rsidRPr="003D5472">
              <w:t>2019-2024</w:t>
            </w:r>
          </w:p>
        </w:tc>
        <w:tc>
          <w:tcPr>
            <w:tcW w:w="2268" w:type="dxa"/>
            <w:shd w:val="clear" w:color="auto" w:fill="auto"/>
          </w:tcPr>
          <w:p w14:paraId="603431F7" w14:textId="77777777" w:rsidR="00751A4A" w:rsidRPr="003D5472" w:rsidRDefault="00187494" w:rsidP="0010095E">
            <w:pPr>
              <w:pStyle w:val="EPLogo"/>
            </w:pPr>
            <w:r w:rsidRPr="003D5472">
              <w:rPr>
                <w:noProof/>
                <w:lang w:val="en-GB"/>
              </w:rPr>
              <w:drawing>
                <wp:inline distT="0" distB="0" distL="0" distR="0" wp14:anchorId="431418B0" wp14:editId="7503F3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8BB0D6" w14:textId="77777777" w:rsidR="00D058B8" w:rsidRPr="003D5472" w:rsidRDefault="00D058B8" w:rsidP="004C5D52">
      <w:pPr>
        <w:pStyle w:val="LineTop"/>
      </w:pPr>
    </w:p>
    <w:p w14:paraId="210BAC3B" w14:textId="77777777" w:rsidR="00680577" w:rsidRPr="003D5472" w:rsidRDefault="00697280" w:rsidP="00680577">
      <w:pPr>
        <w:pStyle w:val="EPBodyTA1"/>
      </w:pPr>
      <w:r w:rsidRPr="003D5472">
        <w:t>VASTUVÕETUD TEKSTID</w:t>
      </w:r>
    </w:p>
    <w:p w14:paraId="57DB0689" w14:textId="77777777" w:rsidR="00D058B8" w:rsidRPr="003D5472" w:rsidRDefault="00D058B8" w:rsidP="00D058B8">
      <w:pPr>
        <w:pStyle w:val="LineBottom"/>
      </w:pPr>
    </w:p>
    <w:p w14:paraId="08968AF7" w14:textId="2D602958" w:rsidR="00697280" w:rsidRPr="003D5472" w:rsidRDefault="00697280" w:rsidP="00697280">
      <w:pPr>
        <w:pStyle w:val="ATHeading1"/>
      </w:pPr>
      <w:bookmarkStart w:id="0" w:name="TANumber"/>
      <w:r w:rsidRPr="003D5472">
        <w:t>P9_TA(2024)0</w:t>
      </w:r>
      <w:r w:rsidR="001B049E" w:rsidRPr="003D5472">
        <w:t>290</w:t>
      </w:r>
      <w:bookmarkEnd w:id="0"/>
    </w:p>
    <w:p w14:paraId="125DED5D" w14:textId="6A278D84" w:rsidR="00697280" w:rsidRPr="003D5472" w:rsidRDefault="000609F9" w:rsidP="00697280">
      <w:pPr>
        <w:pStyle w:val="ATHeading2"/>
      </w:pPr>
      <w:bookmarkStart w:id="1" w:name="title"/>
      <w:r w:rsidRPr="003D5472">
        <w:t xml:space="preserve">Vastuväidete puudumine </w:t>
      </w:r>
      <w:r w:rsidR="00697280" w:rsidRPr="003D5472">
        <w:t>delegeeritud õigusaktile</w:t>
      </w:r>
      <w:r w:rsidR="00641C04">
        <w:t>: HPK 1. </w:t>
      </w:r>
      <w:r w:rsidR="00697280" w:rsidRPr="003D5472">
        <w:t>standardi kohane suhtarv</w:t>
      </w:r>
      <w:bookmarkEnd w:id="1"/>
    </w:p>
    <w:p w14:paraId="3867D523" w14:textId="77777777" w:rsidR="00697280" w:rsidRPr="003D5472" w:rsidRDefault="00697280" w:rsidP="00697280">
      <w:pPr>
        <w:rPr>
          <w:i/>
          <w:vanish/>
        </w:rPr>
      </w:pPr>
      <w:r w:rsidRPr="003D5472">
        <w:rPr>
          <w:i/>
        </w:rPr>
        <w:fldChar w:fldCharType="begin"/>
      </w:r>
      <w:r w:rsidRPr="003D5472">
        <w:rPr>
          <w:i/>
        </w:rPr>
        <w:instrText xml:space="preserve"> TC"(</w:instrText>
      </w:r>
      <w:bookmarkStart w:id="2" w:name="DocNumber"/>
      <w:r w:rsidRPr="003D5472">
        <w:rPr>
          <w:i/>
        </w:rPr>
        <w:instrText>B9-0199/2024</w:instrText>
      </w:r>
      <w:bookmarkEnd w:id="2"/>
      <w:r w:rsidRPr="003D5472">
        <w:rPr>
          <w:i/>
        </w:rPr>
        <w:instrText xml:space="preserve">)"\l3 \n&gt; \* MERGEFORMAT </w:instrText>
      </w:r>
      <w:r w:rsidRPr="003D5472">
        <w:rPr>
          <w:i/>
        </w:rPr>
        <w:fldChar w:fldCharType="end"/>
      </w:r>
    </w:p>
    <w:p w14:paraId="02687D14" w14:textId="77777777" w:rsidR="00697280" w:rsidRPr="003D5472" w:rsidRDefault="00697280" w:rsidP="00697280">
      <w:pPr>
        <w:rPr>
          <w:vanish/>
        </w:rPr>
      </w:pPr>
      <w:bookmarkStart w:id="3" w:name="PE"/>
      <w:r w:rsidRPr="003D5472">
        <w:rPr>
          <w:vanish/>
        </w:rPr>
        <w:t>PE759.936</w:t>
      </w:r>
      <w:bookmarkEnd w:id="3"/>
    </w:p>
    <w:p w14:paraId="7D93282D" w14:textId="1FA092C9" w:rsidR="00697280" w:rsidRPr="003D5472" w:rsidRDefault="00697280" w:rsidP="00697280">
      <w:pPr>
        <w:pStyle w:val="ATHeading3"/>
      </w:pPr>
      <w:bookmarkStart w:id="4" w:name="Sujet"/>
      <w:r w:rsidRPr="003D5472">
        <w:t xml:space="preserve">Euroopa Parlamendi </w:t>
      </w:r>
      <w:r w:rsidR="000609F9" w:rsidRPr="003D5472">
        <w:t>23</w:t>
      </w:r>
      <w:r w:rsidRPr="003D5472">
        <w:t>.</w:t>
      </w:r>
      <w:r w:rsidR="000609F9" w:rsidRPr="003D5472">
        <w:t> aprilli 2024. </w:t>
      </w:r>
      <w:r w:rsidRPr="003D5472">
        <w:t>aasta otsus mitte esi</w:t>
      </w:r>
      <w:r w:rsidR="000609F9" w:rsidRPr="003D5472">
        <w:t>tada vastuväiteid komisjoni 12. märtsi 2024. </w:t>
      </w:r>
      <w:r w:rsidRPr="003D5472">
        <w:t>aasta delegeeritud määrusele, millega muudetakse komi</w:t>
      </w:r>
      <w:r w:rsidR="000609F9" w:rsidRPr="003D5472">
        <w:t>sjoni delegeeritud määrust (EL) </w:t>
      </w:r>
      <w:r w:rsidRPr="003D5472">
        <w:t>2022/126, millega täiendatakse Euroopa Par</w:t>
      </w:r>
      <w:r w:rsidR="000609F9" w:rsidRPr="003D5472">
        <w:t>lamendi ja nõukogu määrust (EL) </w:t>
      </w:r>
      <w:r w:rsidRPr="003D5472">
        <w:t>2021/2115 seoses eeskirjadega, milles käsitletakse maa heas põllumajandus- ja keskk</w:t>
      </w:r>
      <w:r w:rsidR="00641C04">
        <w:t>onnaseisundis hoidmise (HPK) 1. </w:t>
      </w:r>
      <w:r w:rsidRPr="003D5472">
        <w:t>standardi kohast suhtarvu</w:t>
      </w:r>
      <w:bookmarkEnd w:id="4"/>
      <w:r w:rsidRPr="003D5472">
        <w:t xml:space="preserve"> </w:t>
      </w:r>
      <w:bookmarkStart w:id="5" w:name="References"/>
      <w:r w:rsidRPr="003D5472">
        <w:t>(C(2024)</w:t>
      </w:r>
      <w:r w:rsidR="0060002E">
        <w:rPr>
          <w:lang w:val="fr-FR"/>
        </w:rPr>
        <w:t>0</w:t>
      </w:r>
      <w:r w:rsidRPr="003D5472">
        <w:t>1488 – 2024/266</w:t>
      </w:r>
      <w:bookmarkStart w:id="6" w:name="_GoBack"/>
      <w:bookmarkEnd w:id="6"/>
      <w:r w:rsidRPr="003D5472">
        <w:t>3(DEA))</w:t>
      </w:r>
      <w:bookmarkEnd w:id="5"/>
    </w:p>
    <w:p w14:paraId="1179443C" w14:textId="77777777" w:rsidR="0095676D" w:rsidRPr="003D5472" w:rsidRDefault="0095676D" w:rsidP="000609F9">
      <w:pPr>
        <w:pStyle w:val="NormalHanging12a"/>
        <w:spacing w:before="480"/>
        <w:rPr>
          <w:i/>
        </w:rPr>
      </w:pPr>
      <w:bookmarkStart w:id="7" w:name="TextBodyBegin"/>
      <w:bookmarkEnd w:id="7"/>
      <w:r w:rsidRPr="003D5472">
        <w:rPr>
          <w:i/>
        </w:rPr>
        <w:t>Euroopa Parlament,</w:t>
      </w:r>
    </w:p>
    <w:p w14:paraId="743B5BFB" w14:textId="6E2BE93B" w:rsidR="0095676D" w:rsidRPr="003D5472" w:rsidRDefault="0095676D" w:rsidP="0095676D">
      <w:pPr>
        <w:pStyle w:val="NormalHanging12a"/>
      </w:pPr>
      <w:r w:rsidRPr="003D5472">
        <w:t>–</w:t>
      </w:r>
      <w:r w:rsidRPr="003D5472">
        <w:tab/>
        <w:t>võttes arvesse komisjoni delegeeritud määrust (C(2024)</w:t>
      </w:r>
      <w:r w:rsidR="0060002E">
        <w:t>0</w:t>
      </w:r>
      <w:r w:rsidRPr="003D5472">
        <w:t>1488),</w:t>
      </w:r>
    </w:p>
    <w:p w14:paraId="24449024" w14:textId="77777777" w:rsidR="0095676D" w:rsidRPr="003D5472" w:rsidRDefault="000609F9" w:rsidP="0095676D">
      <w:pPr>
        <w:pStyle w:val="NormalHanging12a"/>
      </w:pPr>
      <w:r w:rsidRPr="003D5472">
        <w:t>–</w:t>
      </w:r>
      <w:r w:rsidRPr="003D5472">
        <w:tab/>
        <w:t>võttes arvesse komisjoni 12. märtsi 2024. </w:t>
      </w:r>
      <w:r w:rsidR="0095676D" w:rsidRPr="003D5472">
        <w:t>aasta kirja, milles komisjon palub Euroopa Parlamendil teatada, et ta ei esita delegeeritud määrusele vastuväiteid,</w:t>
      </w:r>
    </w:p>
    <w:p w14:paraId="755A748A" w14:textId="77777777" w:rsidR="0095676D" w:rsidRPr="003D5472" w:rsidRDefault="0095676D" w:rsidP="0095676D">
      <w:pPr>
        <w:pStyle w:val="NormalHanging12a"/>
      </w:pPr>
      <w:r w:rsidRPr="003D5472">
        <w:t>–</w:t>
      </w:r>
      <w:r w:rsidRPr="003D5472">
        <w:tab/>
        <w:t>võttes arvesse põllumajanduse</w:t>
      </w:r>
      <w:r w:rsidR="000609F9" w:rsidRPr="003D5472">
        <w:t xml:space="preserve"> ja maaelu arengu komisjoni 19. </w:t>
      </w:r>
      <w:r w:rsidRPr="003D5472">
        <w:t>märtsi 20</w:t>
      </w:r>
      <w:r w:rsidR="000609F9" w:rsidRPr="003D5472">
        <w:t>24. </w:t>
      </w:r>
      <w:r w:rsidRPr="003D5472">
        <w:t>aasta kirja komisjonide esimeeste konverentsi esimehele,</w:t>
      </w:r>
    </w:p>
    <w:p w14:paraId="2A35CC91" w14:textId="77777777" w:rsidR="0095676D" w:rsidRPr="003D5472" w:rsidRDefault="0095676D" w:rsidP="0095676D">
      <w:pPr>
        <w:pStyle w:val="NormalHanging12a"/>
      </w:pPr>
      <w:r w:rsidRPr="003D5472">
        <w:t>–</w:t>
      </w:r>
      <w:r w:rsidRPr="003D5472">
        <w:tab/>
        <w:t>võttes arvesse Euroopa L</w:t>
      </w:r>
      <w:r w:rsidR="000609F9" w:rsidRPr="003D5472">
        <w:t>iidu toimimise lepingu artiklit </w:t>
      </w:r>
      <w:r w:rsidRPr="003D5472">
        <w:t>290,</w:t>
      </w:r>
    </w:p>
    <w:p w14:paraId="6CF5A905" w14:textId="77777777" w:rsidR="0095676D" w:rsidRPr="003D5472" w:rsidRDefault="0095676D" w:rsidP="0095676D">
      <w:pPr>
        <w:pStyle w:val="NormalHanging12a"/>
      </w:pPr>
      <w:r w:rsidRPr="003D5472">
        <w:t>–</w:t>
      </w:r>
      <w:r w:rsidRPr="003D5472">
        <w:tab/>
        <w:t>võttes arvesse Euroopa Parlamendi ja nõukogu 2. det</w:t>
      </w:r>
      <w:r w:rsidR="000609F9" w:rsidRPr="003D5472">
        <w:t>sembri 2021. aasta määrust (EL) </w:t>
      </w:r>
      <w:r w:rsidRPr="003D5472">
        <w:t>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w:t>
      </w:r>
      <w:r w:rsidRPr="003D5472">
        <w:rPr>
          <w:rStyle w:val="FootnoteReference"/>
          <w:color w:val="000000"/>
        </w:rPr>
        <w:footnoteReference w:id="1"/>
      </w:r>
      <w:r w:rsidR="000609F9" w:rsidRPr="003D5472">
        <w:t>, eriti selle artikli 13 lõiget </w:t>
      </w:r>
      <w:r w:rsidRPr="003D5472">
        <w:t>3ja artikli 152 lõiget 6,</w:t>
      </w:r>
    </w:p>
    <w:p w14:paraId="2762168F" w14:textId="77777777" w:rsidR="0095676D" w:rsidRPr="003D5472" w:rsidRDefault="0095676D" w:rsidP="0095676D">
      <w:pPr>
        <w:pStyle w:val="NormalHanging12a"/>
      </w:pPr>
      <w:r w:rsidRPr="003D5472">
        <w:t>–</w:t>
      </w:r>
      <w:r w:rsidRPr="003D5472">
        <w:tab/>
        <w:t>v</w:t>
      </w:r>
      <w:r w:rsidR="000609F9" w:rsidRPr="003D5472">
        <w:t>õttes arvesse kodukorra artikli 111 lõiget </w:t>
      </w:r>
      <w:r w:rsidRPr="003D5472">
        <w:t>6,</w:t>
      </w:r>
    </w:p>
    <w:p w14:paraId="79083B98" w14:textId="77777777" w:rsidR="0095676D" w:rsidRPr="003D5472" w:rsidRDefault="0095676D" w:rsidP="0095676D">
      <w:pPr>
        <w:pStyle w:val="NormalHanging12a"/>
      </w:pPr>
      <w:r w:rsidRPr="003D5472">
        <w:t>–</w:t>
      </w:r>
      <w:r w:rsidRPr="003D5472">
        <w:tab/>
        <w:t>võttes arvesse põllumajanduse ja maaelu arengu komisjoni soovitust võtta vastu otsus,</w:t>
      </w:r>
    </w:p>
    <w:p w14:paraId="4BE339A5" w14:textId="77777777" w:rsidR="0095676D" w:rsidRPr="003D5472" w:rsidRDefault="0095676D" w:rsidP="0095676D">
      <w:pPr>
        <w:pStyle w:val="NormalHanging12a"/>
      </w:pPr>
      <w:r w:rsidRPr="003D5472">
        <w:t>A.</w:t>
      </w:r>
      <w:r w:rsidRPr="003D5472">
        <w:tab/>
        <w:t>arvestades, et alates 1.</w:t>
      </w:r>
      <w:r w:rsidR="000609F9" w:rsidRPr="003D5472">
        <w:t> jaanuarist </w:t>
      </w:r>
      <w:r w:rsidRPr="003D5472">
        <w:t xml:space="preserve">2023 rakendavad liikmesriigid oma ÜPP strateegiakavasid, sealhulgas kohustust säilitada püsirohumaa suhe põllumajandusmaaga, </w:t>
      </w:r>
      <w:r w:rsidR="000609F9" w:rsidRPr="003D5472">
        <w:t>nagu on sätestatud määruse (EL) 2021/2115 III </w:t>
      </w:r>
      <w:r w:rsidRPr="003D5472">
        <w:t xml:space="preserve">lisas maa hea </w:t>
      </w:r>
      <w:r w:rsidRPr="003D5472">
        <w:lastRenderedPageBreak/>
        <w:t>põlluma</w:t>
      </w:r>
      <w:r w:rsidR="000609F9" w:rsidRPr="003D5472">
        <w:t>jandus- ja keskkonnaseisundi 1. </w:t>
      </w:r>
      <w:r w:rsidRPr="003D5472">
        <w:t>standardi (edaspidi „HPK 1. standardi“) osana;</w:t>
      </w:r>
    </w:p>
    <w:p w14:paraId="6727397E" w14:textId="77777777" w:rsidR="0095676D" w:rsidRPr="003D5472" w:rsidRDefault="0095676D" w:rsidP="0095676D">
      <w:pPr>
        <w:pStyle w:val="NormalHanging12a"/>
      </w:pPr>
      <w:r w:rsidRPr="003D5472">
        <w:t>B.</w:t>
      </w:r>
      <w:r w:rsidRPr="003D5472">
        <w:tab/>
        <w:t>arvestades, et alates HPK 1. standardi rakendamise algusest saadud kogemused näitavad, et neid reegleid tuleb muuta, et vältida ebaproportsionaalse koormuse tekitamist põllumajandustootjatele, kui turu ümberkorraldamisest tingitud struktuurimuutused liikmesriikide põllumajandussüsteemis, nagu üleminek loomakasvatuselt põlluharimisele ja loomakasvatuse vähendamine, mõjutavad oluliselt põllumajandustootjate võimet rajada püsirohumaid, säilitades samal ajal nende elujõulisuse.</w:t>
      </w:r>
    </w:p>
    <w:p w14:paraId="66D58CB5" w14:textId="77777777" w:rsidR="0095676D" w:rsidRPr="003D5472" w:rsidRDefault="0095676D" w:rsidP="0095676D">
      <w:pPr>
        <w:pStyle w:val="NormalHanging12a"/>
      </w:pPr>
      <w:r w:rsidRPr="003D5472">
        <w:t>C.</w:t>
      </w:r>
      <w:r w:rsidRPr="003D5472">
        <w:tab/>
        <w:t>arvestades, et teatavates olukordades peavad liikmesriigid kehtestama toetusesaajatele kohustuse muuta alad püsirohumaaks või rajada püsirohumaad, kuigi aastase suhtarvu vähenemine on tingitud deklareeritud aladega seotud kõikumistest.</w:t>
      </w:r>
    </w:p>
    <w:p w14:paraId="2983F836" w14:textId="77777777" w:rsidR="0095676D" w:rsidRPr="003D5472" w:rsidRDefault="0095676D" w:rsidP="0095676D">
      <w:pPr>
        <w:pStyle w:val="NormalHanging12a"/>
      </w:pPr>
      <w:r w:rsidRPr="003D5472">
        <w:t>D.</w:t>
      </w:r>
      <w:r w:rsidRPr="003D5472">
        <w:tab/>
        <w:t>arvestades, et mõnikord võib juhtuda, et püsirohumaad registreeritakse maatükkide identifitseerimise süsteemis, kuid põllumajandustootjad ei deklareeri neid asjaomasel aastal otsetoetuste saamiseks või et kogu põllumajandusmaa on suurenenud põllumajandustootjate lisadeklaratsioonide tõttu.</w:t>
      </w:r>
    </w:p>
    <w:p w14:paraId="46D5FE24" w14:textId="77777777" w:rsidR="0095676D" w:rsidRPr="003D5472" w:rsidRDefault="0095676D" w:rsidP="0095676D">
      <w:pPr>
        <w:pStyle w:val="NormalHanging12a"/>
      </w:pPr>
      <w:r w:rsidRPr="003D5472">
        <w:t>E.</w:t>
      </w:r>
      <w:r w:rsidRPr="003D5472">
        <w:tab/>
        <w:t>arvestades, et sellises olukorras, kus aastase suhta</w:t>
      </w:r>
      <w:r w:rsidR="000609F9" w:rsidRPr="003D5472">
        <w:t>rvu vähenemine üle määruse (EL) 2021/2115 III </w:t>
      </w:r>
      <w:r w:rsidRPr="003D5472">
        <w:t>lisas sätestatud 5 % künnise ei tulene püsirohumaa muutmisest muuks põllumajanduslikuks kasutuseks ette nähtud maaks, võib täiendavate püsirohumaade loomise kohustus olla põllumajandustootjate suhtes ebaproportsionaalne.</w:t>
      </w:r>
    </w:p>
    <w:p w14:paraId="1A8392B5" w14:textId="77777777" w:rsidR="0095676D" w:rsidRPr="003D5472" w:rsidRDefault="0095676D" w:rsidP="0095676D">
      <w:pPr>
        <w:pStyle w:val="NormalHanging12a"/>
      </w:pPr>
      <w:r w:rsidRPr="003D5472">
        <w:t>F.</w:t>
      </w:r>
      <w:r w:rsidRPr="003D5472">
        <w:tab/>
        <w:t>arvestades, et seepärast on vaja võimaldada teatavat paindlikkust, tagades samal ajal vastavuse HPK 1. standardi peamisele eesmärgile, milleks on põllumajandusliku otstarbe muutmise vastaste üldiste kaitsemeetmete võtmine süsinikuvaru säilitam</w:t>
      </w:r>
      <w:r w:rsidR="000609F9" w:rsidRPr="003D5472">
        <w:t>iseks, ja järgides määruse (EL) 2021/2115 III </w:t>
      </w:r>
      <w:r w:rsidRPr="003D5472">
        <w:t>lisas sätestatud suhtarvu vähendamise maksimaalset künnist.</w:t>
      </w:r>
    </w:p>
    <w:p w14:paraId="449FE53F" w14:textId="77777777" w:rsidR="0095676D" w:rsidRPr="003D5472" w:rsidRDefault="0095676D" w:rsidP="0095676D">
      <w:pPr>
        <w:pStyle w:val="NormalHanging12a"/>
      </w:pPr>
      <w:r w:rsidRPr="003D5472">
        <w:t>G.</w:t>
      </w:r>
      <w:r w:rsidRPr="003D5472">
        <w:tab/>
        <w:t>arvestades, et seepärast tuleks muuta komisjoni delegeeritud määrust (EL)</w:t>
      </w:r>
      <w:r w:rsidR="000609F9" w:rsidRPr="003D5472">
        <w:t> </w:t>
      </w:r>
      <w:r w:rsidRPr="003D5472">
        <w:t>2022/126</w:t>
      </w:r>
      <w:r w:rsidRPr="003D5472">
        <w:rPr>
          <w:rStyle w:val="FootnoteReference"/>
          <w:color w:val="000000"/>
        </w:rPr>
        <w:footnoteReference w:id="2"/>
      </w:r>
      <w:r w:rsidRPr="003D5472">
        <w:t>, milles on sätestatud HPK 1 suhtarvu eeskirjad;</w:t>
      </w:r>
    </w:p>
    <w:p w14:paraId="452A8444" w14:textId="77777777" w:rsidR="0095676D" w:rsidRPr="003D5472" w:rsidRDefault="0095676D" w:rsidP="0095676D">
      <w:pPr>
        <w:pStyle w:val="NormalHanging12a"/>
      </w:pPr>
      <w:r w:rsidRPr="003D5472">
        <w:t>1.</w:t>
      </w:r>
      <w:r w:rsidRPr="003D5472">
        <w:tab/>
        <w:t>teatab, et Euroopa Parlamendil ei ole delegeeritud määrusele vastuväiteid;</w:t>
      </w:r>
    </w:p>
    <w:p w14:paraId="0B211181" w14:textId="77777777" w:rsidR="0095676D" w:rsidRPr="003D5472" w:rsidRDefault="0095676D" w:rsidP="0095676D">
      <w:pPr>
        <w:pStyle w:val="NormalHanging12a"/>
        <w:rPr>
          <w:szCs w:val="24"/>
        </w:rPr>
      </w:pPr>
      <w:r w:rsidRPr="003D5472">
        <w:t>2.</w:t>
      </w:r>
      <w:r w:rsidRPr="003D5472">
        <w:tab/>
        <w:t>teeb presidendile ülesandeks edastada käesolev otsus nõukogule ja komisjonile.</w:t>
      </w:r>
    </w:p>
    <w:p w14:paraId="0EA92B74" w14:textId="77777777" w:rsidR="0095676D" w:rsidRPr="003D5472" w:rsidRDefault="0095676D" w:rsidP="0095676D"/>
    <w:p w14:paraId="0AF4AD5A" w14:textId="77777777" w:rsidR="00E365E1" w:rsidRPr="003D5472" w:rsidRDefault="00E365E1" w:rsidP="00697280">
      <w:bookmarkStart w:id="8" w:name="TextBodyEnd"/>
      <w:bookmarkEnd w:id="8"/>
    </w:p>
    <w:sectPr w:rsidR="00E365E1" w:rsidRPr="003D5472" w:rsidSect="002837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2E37F1" w14:textId="77777777" w:rsidR="00697280" w:rsidRPr="002837B2" w:rsidRDefault="00697280">
      <w:r w:rsidRPr="002837B2">
        <w:separator/>
      </w:r>
    </w:p>
  </w:endnote>
  <w:endnote w:type="continuationSeparator" w:id="0">
    <w:p w14:paraId="227C0098" w14:textId="77777777" w:rsidR="00697280" w:rsidRPr="002837B2" w:rsidRDefault="00697280">
      <w:r w:rsidRPr="002837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A2EB1" w14:textId="77777777" w:rsidR="00064002" w:rsidRPr="002837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7A18D" w14:textId="77777777" w:rsidR="00064002" w:rsidRPr="002837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BEB0" w14:textId="77777777" w:rsidR="00064002" w:rsidRPr="002837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78106" w14:textId="77777777" w:rsidR="00697280" w:rsidRPr="002837B2" w:rsidRDefault="00697280">
      <w:r w:rsidRPr="002837B2">
        <w:separator/>
      </w:r>
    </w:p>
  </w:footnote>
  <w:footnote w:type="continuationSeparator" w:id="0">
    <w:p w14:paraId="784F4148" w14:textId="77777777" w:rsidR="00697280" w:rsidRPr="002837B2" w:rsidRDefault="00697280">
      <w:r w:rsidRPr="002837B2">
        <w:continuationSeparator/>
      </w:r>
    </w:p>
  </w:footnote>
  <w:footnote w:id="1">
    <w:p w14:paraId="55D73637" w14:textId="28050F75" w:rsidR="0095676D" w:rsidRPr="002837B2" w:rsidRDefault="0095676D" w:rsidP="002837B2">
      <w:pPr>
        <w:pStyle w:val="FootnoteText"/>
        <w:ind w:left="567" w:hanging="567"/>
        <w:rPr>
          <w:sz w:val="24"/>
          <w:lang w:val="et-EE"/>
        </w:rPr>
      </w:pPr>
      <w:r w:rsidRPr="002837B2">
        <w:rPr>
          <w:rStyle w:val="FootnoteReference"/>
          <w:sz w:val="24"/>
          <w:lang w:val="et-EE"/>
        </w:rPr>
        <w:footnoteRef/>
      </w:r>
      <w:r w:rsidR="002837B2" w:rsidRPr="002837B2">
        <w:rPr>
          <w:sz w:val="24"/>
          <w:lang w:val="et-EE"/>
        </w:rPr>
        <w:t xml:space="preserve"> </w:t>
      </w:r>
      <w:r w:rsidR="002837B2" w:rsidRPr="002837B2">
        <w:rPr>
          <w:sz w:val="24"/>
          <w:lang w:val="et-EE"/>
        </w:rPr>
        <w:tab/>
      </w:r>
      <w:r w:rsidR="000609F9">
        <w:rPr>
          <w:sz w:val="24"/>
          <w:lang w:val="et-EE"/>
        </w:rPr>
        <w:t>ELT L 435, 6.12.2021, lk </w:t>
      </w:r>
      <w:r w:rsidRPr="002837B2">
        <w:rPr>
          <w:sz w:val="24"/>
          <w:lang w:val="et-EE"/>
        </w:rPr>
        <w:t>1.</w:t>
      </w:r>
    </w:p>
  </w:footnote>
  <w:footnote w:id="2">
    <w:p w14:paraId="3C47BE36" w14:textId="77777777" w:rsidR="0095676D" w:rsidRPr="002837B2" w:rsidRDefault="0095676D" w:rsidP="002837B2">
      <w:pPr>
        <w:pStyle w:val="FootnoteText"/>
        <w:ind w:left="567" w:hanging="567"/>
        <w:rPr>
          <w:sz w:val="24"/>
          <w:lang w:val="et-EE"/>
        </w:rPr>
      </w:pPr>
      <w:r w:rsidRPr="002837B2">
        <w:rPr>
          <w:rStyle w:val="FootnoteReference"/>
          <w:sz w:val="24"/>
          <w:lang w:val="et-EE"/>
        </w:rPr>
        <w:footnoteRef/>
      </w:r>
      <w:r w:rsidR="002837B2" w:rsidRPr="002837B2">
        <w:rPr>
          <w:sz w:val="24"/>
          <w:lang w:val="et-EE"/>
        </w:rPr>
        <w:t xml:space="preserve"> </w:t>
      </w:r>
      <w:r w:rsidR="002837B2" w:rsidRPr="002837B2">
        <w:rPr>
          <w:sz w:val="24"/>
          <w:lang w:val="et-EE"/>
        </w:rPr>
        <w:tab/>
      </w:r>
      <w:r w:rsidRPr="002837B2">
        <w:rPr>
          <w:sz w:val="24"/>
          <w:lang w:val="et-EE"/>
        </w:rPr>
        <w:t>Komisjoni 7. detsembri 2021.</w:t>
      </w:r>
      <w:r w:rsidR="000609F9">
        <w:rPr>
          <w:sz w:val="24"/>
          <w:lang w:val="et-EE"/>
        </w:rPr>
        <w:t> aasta delegeeritud määrus (EL) </w:t>
      </w:r>
      <w:r w:rsidRPr="002837B2">
        <w:rPr>
          <w:sz w:val="24"/>
          <w:lang w:val="et-EE"/>
        </w:rPr>
        <w:t>2022/126, millega täiendatakse Euroopa Par</w:t>
      </w:r>
      <w:r w:rsidR="000609F9">
        <w:rPr>
          <w:sz w:val="24"/>
          <w:lang w:val="et-EE"/>
        </w:rPr>
        <w:t>lamendi ja nõukogu määrust (EL) </w:t>
      </w:r>
      <w:r w:rsidRPr="002837B2">
        <w:rPr>
          <w:sz w:val="24"/>
          <w:lang w:val="et-EE"/>
        </w:rPr>
        <w:t>2021/2115 täiendavate nõuetega teatavatele sekkumisviisidele, mille liikmesriigid määravad kindlaks kõnealuse määruse kohastes ajavahemikuks 2023–2027 ette nähtud ÜPP strateegiakavades, ning eeskirjadega, milles käsitletakse maa heas põllumajandus- ja keskkonnaseisundis hoidmise (HPK) 1. standardi kohast suhtarvu (ELT L 20, 31.1.2022, lk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4CC41" w14:textId="77777777" w:rsidR="00064002" w:rsidRPr="002837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719A6" w14:textId="77777777" w:rsidR="00064002" w:rsidRPr="002837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BA62C" w14:textId="77777777" w:rsidR="00064002" w:rsidRPr="002837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ET"/>
    <w:docVar w:name="dvnumam" w:val="0"/>
    <w:docVar w:name="dvpe" w:val="759.936"/>
    <w:docVar w:name="dvtitre" w:val="Euroopa Parlamendi .... 2024. aasta otsus mitte esitada vastuväiteid komisjoni 12. märtsi 2024. aasta delegeeritud määrusele, millega muudetakse komisjoni delegeeritud määrust (EL) 2022/126, millega täiendatakse Euroopa Parlamendi ja nõukogu määrust (EL) 2021/2115 seoses eeskirjadega, milles käsitletakse maa heas põllumajandus- ja keskkonnaseisundis hoidmise (HPK) 1. standardi kohast suhtarvu(C(2024)01488 – 2024/2663(DEA))"/>
  </w:docVars>
  <w:rsids>
    <w:rsidRoot w:val="00697280"/>
    <w:rsid w:val="00002272"/>
    <w:rsid w:val="000609F9"/>
    <w:rsid w:val="00064002"/>
    <w:rsid w:val="000677B9"/>
    <w:rsid w:val="000831BA"/>
    <w:rsid w:val="000A42CC"/>
    <w:rsid w:val="000E7DD9"/>
    <w:rsid w:val="0010095E"/>
    <w:rsid w:val="00125B37"/>
    <w:rsid w:val="00187494"/>
    <w:rsid w:val="001B049E"/>
    <w:rsid w:val="001F32AE"/>
    <w:rsid w:val="002767FF"/>
    <w:rsid w:val="002837B2"/>
    <w:rsid w:val="002B18FE"/>
    <w:rsid w:val="002B5493"/>
    <w:rsid w:val="00343214"/>
    <w:rsid w:val="00361C00"/>
    <w:rsid w:val="00395FA1"/>
    <w:rsid w:val="003D547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002E"/>
    <w:rsid w:val="006037C0"/>
    <w:rsid w:val="00641C04"/>
    <w:rsid w:val="006631B6"/>
    <w:rsid w:val="00680577"/>
    <w:rsid w:val="0069728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76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755F0"/>
  <w15:chartTrackingRefBased/>
  <w15:docId w15:val="{73FD91DA-A77C-4AA2-A9BD-D55AE447D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5676D"/>
    <w:pPr>
      <w:spacing w:after="240"/>
      <w:ind w:left="567" w:hanging="567"/>
    </w:pPr>
  </w:style>
  <w:style w:type="paragraph" w:styleId="BalloonText">
    <w:name w:val="Balloon Text"/>
    <w:basedOn w:val="Normal"/>
    <w:link w:val="BalloonTextChar"/>
    <w:rsid w:val="000609F9"/>
    <w:rPr>
      <w:rFonts w:ascii="Segoe UI" w:hAnsi="Segoe UI" w:cs="Segoe UI"/>
      <w:sz w:val="18"/>
      <w:szCs w:val="18"/>
    </w:rPr>
  </w:style>
  <w:style w:type="character" w:customStyle="1" w:styleId="BalloonTextChar">
    <w:name w:val="Balloon Text Char"/>
    <w:basedOn w:val="DefaultParagraphFont"/>
    <w:link w:val="BalloonText"/>
    <w:rsid w:val="000609F9"/>
    <w:rPr>
      <w:rFonts w:ascii="Segoe UI" w:hAnsi="Segoe UI" w:cs="Segoe UI"/>
      <w:sz w:val="18"/>
      <w:szCs w:val="18"/>
      <w:lang w:val="et-EE"/>
    </w:rPr>
  </w:style>
  <w:style w:type="character" w:styleId="CommentReference">
    <w:name w:val="annotation reference"/>
    <w:basedOn w:val="DefaultParagraphFont"/>
    <w:rsid w:val="000609F9"/>
    <w:rPr>
      <w:sz w:val="16"/>
      <w:szCs w:val="16"/>
    </w:rPr>
  </w:style>
  <w:style w:type="paragraph" w:styleId="CommentText">
    <w:name w:val="annotation text"/>
    <w:basedOn w:val="Normal"/>
    <w:link w:val="CommentTextChar"/>
    <w:rsid w:val="000609F9"/>
    <w:rPr>
      <w:sz w:val="20"/>
    </w:rPr>
  </w:style>
  <w:style w:type="character" w:customStyle="1" w:styleId="CommentTextChar">
    <w:name w:val="Comment Text Char"/>
    <w:basedOn w:val="DefaultParagraphFont"/>
    <w:link w:val="CommentText"/>
    <w:rsid w:val="000609F9"/>
    <w:rPr>
      <w:lang w:val="et-EE"/>
    </w:rPr>
  </w:style>
  <w:style w:type="paragraph" w:styleId="CommentSubject">
    <w:name w:val="annotation subject"/>
    <w:basedOn w:val="CommentText"/>
    <w:next w:val="CommentText"/>
    <w:link w:val="CommentSubjectChar"/>
    <w:rsid w:val="000609F9"/>
    <w:rPr>
      <w:b/>
      <w:bCs/>
    </w:rPr>
  </w:style>
  <w:style w:type="character" w:customStyle="1" w:styleId="CommentSubjectChar">
    <w:name w:val="Comment Subject Char"/>
    <w:basedOn w:val="CommentTextChar"/>
    <w:link w:val="CommentSubject"/>
    <w:rsid w:val="000609F9"/>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AF46D-C895-4BD3-846C-A54BC3DFB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3539</Characters>
  <Application>Microsoft Office Word</Application>
  <DocSecurity>0</DocSecurity>
  <Lines>50</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2024-06-11T14:59:00Z</dcterms:created>
  <dcterms:modified xsi:type="dcterms:W3CDTF">2024-06-11T14:59:00Z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B9-0199/2024</vt:lpwstr>
  </property>
  <property fmtid="{D5CDD505-2E9C-101B-9397-08002B2CF9AE}" pid="4" name="&lt;Type&gt;">
    <vt:lpwstr>RR</vt:lpwstr>
  </property>
</Properties>
</file>