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01C5" w:rsidTr="0010095E">
        <w:trPr>
          <w:trHeight w:hRule="exact" w:val="1418"/>
        </w:trPr>
        <w:tc>
          <w:tcPr>
            <w:tcW w:w="6804" w:type="dxa"/>
            <w:shd w:val="clear" w:color="auto" w:fill="auto"/>
            <w:vAlign w:val="center"/>
          </w:tcPr>
          <w:p w:rsidR="00751A4A" w:rsidRPr="00AF01C5" w:rsidRDefault="000F4A99" w:rsidP="0010095E">
            <w:pPr>
              <w:pStyle w:val="EPName"/>
            </w:pPr>
            <w:r w:rsidRPr="00AF01C5">
              <w:t>Europski parlament</w:t>
            </w:r>
          </w:p>
          <w:p w:rsidR="00751A4A" w:rsidRPr="00AF01C5" w:rsidRDefault="00817416" w:rsidP="00756632">
            <w:pPr>
              <w:pStyle w:val="EPTerm"/>
              <w:rPr>
                <w:rStyle w:val="HideTWBExt"/>
                <w:noProof w:val="0"/>
                <w:vanish w:val="0"/>
                <w:color w:val="auto"/>
              </w:rPr>
            </w:pPr>
            <w:r w:rsidRPr="00AF01C5">
              <w:t>2019-2024</w:t>
            </w:r>
          </w:p>
        </w:tc>
        <w:tc>
          <w:tcPr>
            <w:tcW w:w="2268" w:type="dxa"/>
            <w:shd w:val="clear" w:color="auto" w:fill="auto"/>
          </w:tcPr>
          <w:p w:rsidR="00751A4A" w:rsidRPr="00AF01C5" w:rsidRDefault="00187494" w:rsidP="0010095E">
            <w:pPr>
              <w:pStyle w:val="EPLogo"/>
            </w:pPr>
            <w:r w:rsidRPr="00AF01C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01C5" w:rsidRDefault="00D058B8" w:rsidP="004C5D52">
      <w:pPr>
        <w:pStyle w:val="LineTop"/>
      </w:pPr>
    </w:p>
    <w:p w:rsidR="00680577" w:rsidRPr="00AF01C5" w:rsidRDefault="000F4A99" w:rsidP="00680577">
      <w:pPr>
        <w:pStyle w:val="EPBodyTA1"/>
      </w:pPr>
      <w:r w:rsidRPr="00AF01C5">
        <w:t>USVOJENI TEKSTOVI</w:t>
      </w:r>
    </w:p>
    <w:p w:rsidR="00D058B8" w:rsidRPr="00AF01C5" w:rsidRDefault="00D058B8" w:rsidP="00D058B8">
      <w:pPr>
        <w:pStyle w:val="LineBottom"/>
      </w:pPr>
    </w:p>
    <w:p w:rsidR="000F4A99" w:rsidRPr="00AF01C5" w:rsidRDefault="000F4A99" w:rsidP="000F4A99">
      <w:pPr>
        <w:pStyle w:val="ATHeading1"/>
      </w:pPr>
      <w:bookmarkStart w:id="0" w:name="TANumber"/>
      <w:r w:rsidRPr="00AF01C5">
        <w:t>P9_TA(2024)0</w:t>
      </w:r>
      <w:r w:rsidR="00AA4F64">
        <w:t>290</w:t>
      </w:r>
      <w:bookmarkStart w:id="1" w:name="_GoBack"/>
      <w:bookmarkEnd w:id="0"/>
      <w:bookmarkEnd w:id="1"/>
    </w:p>
    <w:p w:rsidR="000F4A99" w:rsidRPr="00AF01C5" w:rsidRDefault="00A463F6" w:rsidP="000F4A99">
      <w:pPr>
        <w:pStyle w:val="ATHeading2"/>
      </w:pPr>
      <w:bookmarkStart w:id="2" w:name="title"/>
      <w:r w:rsidRPr="003C2FCE">
        <w:rPr>
          <w:szCs w:val="28"/>
        </w:rPr>
        <w:t xml:space="preserve">Neulaganje prigovora na delegirani akt: </w:t>
      </w:r>
      <w:r w:rsidRPr="00AA4F64">
        <w:rPr>
          <w:bCs/>
          <w:szCs w:val="28"/>
          <w:shd w:val="clear" w:color="auto" w:fill="FFFFFF"/>
        </w:rPr>
        <w:t>pravila o omjeru za standard 1 GAEC-a</w:t>
      </w:r>
      <w:bookmarkEnd w:id="2"/>
    </w:p>
    <w:p w:rsidR="000F4A99" w:rsidRPr="00AF01C5" w:rsidRDefault="000F4A99" w:rsidP="000F4A99">
      <w:pPr>
        <w:rPr>
          <w:i/>
          <w:vanish/>
        </w:rPr>
      </w:pPr>
      <w:r w:rsidRPr="00AF01C5">
        <w:rPr>
          <w:i/>
        </w:rPr>
        <w:fldChar w:fldCharType="begin"/>
      </w:r>
      <w:r w:rsidRPr="00AF01C5">
        <w:rPr>
          <w:i/>
        </w:rPr>
        <w:instrText xml:space="preserve"> TC"(</w:instrText>
      </w:r>
      <w:bookmarkStart w:id="3" w:name="DocNumber"/>
      <w:r w:rsidRPr="00AF01C5">
        <w:rPr>
          <w:i/>
        </w:rPr>
        <w:instrText>B9-0199/2024</w:instrText>
      </w:r>
      <w:bookmarkEnd w:id="3"/>
      <w:r w:rsidRPr="00AF01C5">
        <w:rPr>
          <w:i/>
        </w:rPr>
        <w:instrText xml:space="preserve">)"\l3 \n&gt; \* MERGEFORMAT </w:instrText>
      </w:r>
      <w:r w:rsidRPr="00AF01C5">
        <w:rPr>
          <w:i/>
        </w:rPr>
        <w:fldChar w:fldCharType="end"/>
      </w:r>
    </w:p>
    <w:p w:rsidR="000F4A99" w:rsidRPr="00AF01C5" w:rsidRDefault="000F4A99" w:rsidP="000F4A99">
      <w:pPr>
        <w:rPr>
          <w:vanish/>
        </w:rPr>
      </w:pPr>
      <w:bookmarkStart w:id="4" w:name="PE"/>
      <w:r w:rsidRPr="00AF01C5">
        <w:rPr>
          <w:vanish/>
        </w:rPr>
        <w:t>PE759.936</w:t>
      </w:r>
      <w:bookmarkEnd w:id="4"/>
    </w:p>
    <w:p w:rsidR="000F4A99" w:rsidRPr="00AF01C5" w:rsidRDefault="000F4A99" w:rsidP="000F4A99">
      <w:pPr>
        <w:pStyle w:val="ATHeading3"/>
      </w:pPr>
      <w:bookmarkStart w:id="5" w:name="Sujet"/>
      <w:r w:rsidRPr="00AF01C5">
        <w:t>Od</w:t>
      </w:r>
      <w:r w:rsidR="00AF01C5">
        <w:t xml:space="preserve">luka Europskog </w:t>
      </w:r>
      <w:r w:rsidR="00AF01C5" w:rsidRPr="00A463F6">
        <w:t xml:space="preserve">parlamenta </w:t>
      </w:r>
      <w:r w:rsidR="00AF01C5" w:rsidRPr="00AA4F64">
        <w:t xml:space="preserve">od </w:t>
      </w:r>
      <w:r w:rsidR="00A7575F" w:rsidRPr="00AA4F64">
        <w:t>23</w:t>
      </w:r>
      <w:r w:rsidRPr="00AA4F64">
        <w:t xml:space="preserve">. </w:t>
      </w:r>
      <w:r w:rsidR="00AF01C5" w:rsidRPr="00AA4F64">
        <w:t xml:space="preserve">travnja </w:t>
      </w:r>
      <w:r w:rsidRPr="00AA4F64">
        <w:t>2024</w:t>
      </w:r>
      <w:r w:rsidRPr="00A463F6">
        <w:t>.</w:t>
      </w:r>
      <w:r w:rsidRPr="00AF01C5">
        <w:t xml:space="preserve"> o neulaganju prigovora na Delegiranu uredbu Komisije od 12. ožujka 2024. o izmjeni Delegirane uredbe Komisije (EU) 2022/126 o dopuni Uredbe (EU) 2021/2115 Europskog parlamenta i Vijeća u pogledu pravila o omjeru za standard 1 za dobre poljoprivredne i okolišne uvjete (GAEC)</w:t>
      </w:r>
      <w:bookmarkEnd w:id="5"/>
      <w:r w:rsidRPr="00AF01C5">
        <w:t xml:space="preserve"> </w:t>
      </w:r>
      <w:bookmarkStart w:id="6" w:name="References"/>
      <w:r w:rsidRPr="00AF01C5">
        <w:t>(C(2024)01488 – 2024/2663(DEA))</w:t>
      </w:r>
      <w:bookmarkEnd w:id="6"/>
    </w:p>
    <w:p w:rsidR="0089409B" w:rsidRPr="00AF01C5" w:rsidRDefault="0089409B" w:rsidP="00AF01C5">
      <w:pPr>
        <w:pStyle w:val="NormalHanging12a"/>
        <w:spacing w:before="480"/>
        <w:rPr>
          <w:i/>
        </w:rPr>
      </w:pPr>
      <w:bookmarkStart w:id="7" w:name="TextBodyBegin"/>
      <w:bookmarkEnd w:id="7"/>
      <w:r w:rsidRPr="00AF01C5">
        <w:rPr>
          <w:i/>
        </w:rPr>
        <w:t>Europski parlament,</w:t>
      </w:r>
    </w:p>
    <w:p w:rsidR="0089409B" w:rsidRPr="00AF01C5" w:rsidRDefault="0089409B" w:rsidP="0089409B">
      <w:pPr>
        <w:pStyle w:val="NormalHanging12a"/>
      </w:pPr>
      <w:r w:rsidRPr="00AF01C5">
        <w:t>–</w:t>
      </w:r>
      <w:r w:rsidRPr="00AF01C5">
        <w:tab/>
        <w:t>uzimajući u obzir Delegiranu uredbu Komisije (C(2024)01488),</w:t>
      </w:r>
    </w:p>
    <w:p w:rsidR="0089409B" w:rsidRPr="00AF01C5" w:rsidRDefault="0089409B" w:rsidP="0089409B">
      <w:pPr>
        <w:pStyle w:val="NormalHanging12a"/>
      </w:pPr>
      <w:r w:rsidRPr="00AF01C5">
        <w:t>–</w:t>
      </w:r>
      <w:r w:rsidRPr="00AF01C5">
        <w:tab/>
        <w:t>uzimajući u obzir pismo Komisije od 12. ožujka 2024. kojim od Parlamenta traži da izjavi kako neće ulagati prigovor na Delegiranu uredbu,</w:t>
      </w:r>
    </w:p>
    <w:p w:rsidR="0089409B" w:rsidRPr="00AF01C5" w:rsidRDefault="0089409B" w:rsidP="0089409B">
      <w:pPr>
        <w:pStyle w:val="NormalHanging12a"/>
      </w:pPr>
      <w:r w:rsidRPr="00AF01C5">
        <w:t>–</w:t>
      </w:r>
      <w:r w:rsidRPr="00AF01C5">
        <w:tab/>
        <w:t>uzimajući u obzir pismo Odbora za poljoprivredu i ruralni razvoj predsjedniku Konferencije predsjednika odbora od 19. ožujka 2024.,</w:t>
      </w:r>
    </w:p>
    <w:p w:rsidR="0089409B" w:rsidRPr="00AF01C5" w:rsidRDefault="0089409B" w:rsidP="0089409B">
      <w:pPr>
        <w:pStyle w:val="NormalHanging12a"/>
      </w:pPr>
      <w:r w:rsidRPr="00AF01C5">
        <w:t>–</w:t>
      </w:r>
      <w:r w:rsidRPr="00AF01C5">
        <w:tab/>
        <w:t>uzimajući u obzir članak 290. Ugovora o funkcioniranju Europske unije,</w:t>
      </w:r>
    </w:p>
    <w:p w:rsidR="0089409B" w:rsidRPr="00AF01C5" w:rsidRDefault="0089409B" w:rsidP="0089409B">
      <w:pPr>
        <w:pStyle w:val="NormalHanging12a"/>
      </w:pPr>
      <w:r w:rsidRPr="00AF01C5">
        <w:t>–</w:t>
      </w:r>
      <w:r w:rsidRPr="00AF01C5">
        <w:tab/>
        <w:t>uzimajući u obzir Uredbu (EU) 2021/2115 Europskog parlamenta i Vijeća od 2. prosinca 2021. o utvrđivanju pravila o potpori za strateške planove koje izrađuju države članice u okviru zajedničke poljoprivredne politike (strateški planovi u okviru ZPP-a) i koji se financiraju iz Europskog fonda za jamstva u poljoprivredi (EFJP) i Europskog poljoprivrednog fonda za ruralni razvoj (EPFRR) te o stavljanju izvan snage uredbi (EU) br. 1305/2013 i (EU) br. 1307/2013</w:t>
      </w:r>
      <w:r w:rsidRPr="00AF01C5">
        <w:rPr>
          <w:rStyle w:val="FootnoteReference"/>
          <w:color w:val="000000"/>
        </w:rPr>
        <w:footnoteReference w:id="1"/>
      </w:r>
      <w:r w:rsidRPr="00AF01C5">
        <w:t>, a posebno njezin članak 13. stavak 3. i članak 152. stavak 6.,</w:t>
      </w:r>
    </w:p>
    <w:p w:rsidR="0089409B" w:rsidRPr="00AF01C5" w:rsidRDefault="0089409B" w:rsidP="0089409B">
      <w:pPr>
        <w:pStyle w:val="NormalHanging12a"/>
      </w:pPr>
      <w:r w:rsidRPr="00AF01C5">
        <w:t>–</w:t>
      </w:r>
      <w:r w:rsidRPr="00AF01C5">
        <w:tab/>
        <w:t>uzimajući u obzir članak 111. stavak 6. Poslovnika,</w:t>
      </w:r>
    </w:p>
    <w:p w:rsidR="00BE68D1" w:rsidRPr="00BE68D1" w:rsidRDefault="0089409B" w:rsidP="0089409B">
      <w:pPr>
        <w:pStyle w:val="NormalHanging12a"/>
        <w:rPr>
          <w:szCs w:val="24"/>
        </w:rPr>
      </w:pPr>
      <w:r w:rsidRPr="00AF01C5">
        <w:t>–</w:t>
      </w:r>
      <w:r w:rsidRPr="00AF01C5">
        <w:tab/>
        <w:t>uzimajući u obzir preporuku za donošenje odluke Odbora za poljoprivredu i ruralni razvoj,</w:t>
      </w:r>
    </w:p>
    <w:p w:rsidR="0089409B" w:rsidRPr="00AF01C5" w:rsidRDefault="0089409B" w:rsidP="0089409B">
      <w:pPr>
        <w:pStyle w:val="NormalHanging12a"/>
      </w:pPr>
      <w:r w:rsidRPr="00AF01C5">
        <w:t>A.</w:t>
      </w:r>
      <w:r w:rsidRPr="00AF01C5">
        <w:tab/>
        <w:t xml:space="preserve">budući da od 1. siječnja 2023. države članice provode svoje strateške planove u okviru </w:t>
      </w:r>
      <w:r w:rsidRPr="00AF01C5">
        <w:lastRenderedPageBreak/>
        <w:t>ZPP-a, što uključuje obvezu održavanja omjera trajnih travnjaka u odnosu na poljoprivrednu površinu kako je utvrđeno u okviru standarda 1 za dobre poljoprivredne i okolišne uvjete zemljišta („GAEC 1”) iz Priloga III. Uredbi (EU) 2021/2115;</w:t>
      </w:r>
    </w:p>
    <w:p w:rsidR="0089409B" w:rsidRPr="00AF01C5" w:rsidRDefault="0089409B" w:rsidP="0089409B">
      <w:pPr>
        <w:pStyle w:val="NormalHanging12a"/>
      </w:pPr>
      <w:r w:rsidRPr="00AF01C5">
        <w:t>B.</w:t>
      </w:r>
      <w:r w:rsidRPr="00AF01C5">
        <w:tab/>
        <w:t>budući da iskustvo od početka provedbe standarda GAEC 1 pokazuje da je ova pravila potrebno izmijeniti kako bi se izbjeglo nerazmjerno opterećenje poljoprivrednika ako strukturne promjene poljoprivrednih sustava država članica uzrokovane preusmjeravanjem tržišta (kao što su prelazak sa stočarske proizvodnje na ratarstvo i smanjenje stočarske proizvodnje) znatno utječu na sposobnost poljoprivrednika da uspostave trajne travnjake uz istodobno očuvanje njihove održivosti;</w:t>
      </w:r>
    </w:p>
    <w:p w:rsidR="0089409B" w:rsidRPr="00AF01C5" w:rsidRDefault="0089409B" w:rsidP="0089409B">
      <w:pPr>
        <w:pStyle w:val="NormalHanging12a"/>
      </w:pPr>
      <w:r w:rsidRPr="00AF01C5">
        <w:t>C.</w:t>
      </w:r>
      <w:r w:rsidRPr="00AF01C5">
        <w:tab/>
        <w:t>budući da će u određenim situacijama države članice možda morati obvezati korisnike da prenamijene površine u trajne travnjake ili uspostave površine trajnih travnjaka iako su smanjenja godišnjeg omjera posljedica fluktuacija u prijavljenim površinama;</w:t>
      </w:r>
    </w:p>
    <w:p w:rsidR="0089409B" w:rsidRPr="00AF01C5" w:rsidRDefault="0089409B" w:rsidP="0089409B">
      <w:pPr>
        <w:pStyle w:val="NormalHanging12a"/>
      </w:pPr>
      <w:r w:rsidRPr="00AF01C5">
        <w:t>D.</w:t>
      </w:r>
      <w:r w:rsidRPr="00AF01C5">
        <w:tab/>
        <w:t>budući da u nekim okolnostima površine trajnih travnjaka mogu biti registrirane u sustavu za identifikaciju zemljišnih čestica, ali ih poljoprivrednici u određenoj godini nisu prijavili za izravna plaćanja, ili se ukupna poljoprivredna površina može povećati zbog toga što su poljoprivrednici podnijeli dodatne prijave;</w:t>
      </w:r>
    </w:p>
    <w:p w:rsidR="0089409B" w:rsidRPr="00AF01C5" w:rsidRDefault="0089409B" w:rsidP="0089409B">
      <w:pPr>
        <w:pStyle w:val="NormalHanging12a"/>
      </w:pPr>
      <w:r w:rsidRPr="00AF01C5">
        <w:t>E.</w:t>
      </w:r>
      <w:r w:rsidRPr="00AF01C5">
        <w:tab/>
        <w:t>budući da bi u takvim situacijama u kojima smanjenje godišnjeg omjera veće od praga od 5 % utvrđenog u Prilogu III. Uredbi (EU) 2021/2115 nije rezultat prenamjene površina trajnih travnjaka u zemljišta za druge poljoprivredne namjene moglo biti nerazmjerno nametnuti poljoprivrednicima obveze uspostave dodatnih površina trajnih travnjaka;</w:t>
      </w:r>
    </w:p>
    <w:p w:rsidR="0089409B" w:rsidRPr="00AF01C5" w:rsidRDefault="0089409B" w:rsidP="0089409B">
      <w:pPr>
        <w:pStyle w:val="NormalHanging12a"/>
      </w:pPr>
      <w:r w:rsidRPr="00AF01C5">
        <w:t>F.</w:t>
      </w:r>
      <w:r w:rsidRPr="00AF01C5">
        <w:tab/>
        <w:t>budući da je primjereno dopustiti određeni stupanj fleksibilnosti uz istodobno osiguravanje usklađenosti s glavnim ciljem standarda GAEC 1 (opća zaštita od prenamjene u druge poljoprivredne namjene radi očuvanja zaliha ugljika) i s maksimalnim smanjenjem omjera iz Priloga III. Uredbi (EU) 2021/2115;</w:t>
      </w:r>
    </w:p>
    <w:p w:rsidR="0089409B" w:rsidRPr="00AF01C5" w:rsidRDefault="0089409B" w:rsidP="0089409B">
      <w:pPr>
        <w:pStyle w:val="NormalHanging12a"/>
      </w:pPr>
      <w:r w:rsidRPr="00AF01C5">
        <w:t>G.</w:t>
      </w:r>
      <w:r w:rsidRPr="00AF01C5">
        <w:tab/>
        <w:t>budući da bi Delegiranu uredbu Komisije (EU) 2022/126</w:t>
      </w:r>
      <w:r w:rsidRPr="00AF01C5">
        <w:rPr>
          <w:rStyle w:val="FootnoteReference"/>
          <w:color w:val="000000"/>
        </w:rPr>
        <w:footnoteReference w:id="2"/>
      </w:r>
      <w:r w:rsidRPr="00AF01C5">
        <w:t>, kojom se utvrđuju pravila o omjeru za standard GAEC 1, stoga trebalo izmijeniti;</w:t>
      </w:r>
    </w:p>
    <w:p w:rsidR="0089409B" w:rsidRPr="00AF01C5" w:rsidRDefault="0089409B" w:rsidP="0089409B">
      <w:pPr>
        <w:pStyle w:val="NormalHanging12a"/>
      </w:pPr>
      <w:r w:rsidRPr="00AF01C5">
        <w:t>1.</w:t>
      </w:r>
      <w:r w:rsidRPr="00AF01C5">
        <w:tab/>
        <w:t>izjavljuje da ne ulaže prigovor na Delegiranu uredbu;</w:t>
      </w:r>
    </w:p>
    <w:p w:rsidR="0089409B" w:rsidRPr="00AF01C5" w:rsidRDefault="0089409B" w:rsidP="00AF01C5">
      <w:pPr>
        <w:ind w:left="567" w:hanging="567"/>
      </w:pPr>
      <w:r w:rsidRPr="00AF01C5">
        <w:t>2.</w:t>
      </w:r>
      <w:r w:rsidRPr="00AF01C5">
        <w:tab/>
        <w:t>nalaže svojoj predsjednici da ovu Odluku proslijedi Vijeću i Komisiji.</w:t>
      </w:r>
    </w:p>
    <w:sectPr w:rsidR="0089409B" w:rsidRPr="00AF01C5" w:rsidSect="00C762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A99" w:rsidRPr="00C762FA" w:rsidRDefault="000F4A99">
      <w:r w:rsidRPr="00C762FA">
        <w:separator/>
      </w:r>
    </w:p>
  </w:endnote>
  <w:endnote w:type="continuationSeparator" w:id="0">
    <w:p w:rsidR="000F4A99" w:rsidRPr="00C762FA" w:rsidRDefault="000F4A99">
      <w:r w:rsidRPr="00C762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SimSun"/>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62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62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62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A99" w:rsidRPr="00C762FA" w:rsidRDefault="000F4A99">
      <w:r w:rsidRPr="00C762FA">
        <w:separator/>
      </w:r>
    </w:p>
  </w:footnote>
  <w:footnote w:type="continuationSeparator" w:id="0">
    <w:p w:rsidR="000F4A99" w:rsidRPr="00C762FA" w:rsidRDefault="000F4A99">
      <w:r w:rsidRPr="00C762FA">
        <w:continuationSeparator/>
      </w:r>
    </w:p>
  </w:footnote>
  <w:footnote w:id="1">
    <w:p w:rsidR="0089409B" w:rsidRPr="00C762FA" w:rsidRDefault="0089409B" w:rsidP="00C762FA">
      <w:pPr>
        <w:pStyle w:val="FootnoteText"/>
        <w:ind w:left="567" w:hanging="567"/>
        <w:rPr>
          <w:sz w:val="24"/>
          <w:lang w:val="hr-HR"/>
        </w:rPr>
      </w:pPr>
      <w:r w:rsidRPr="00C762FA">
        <w:rPr>
          <w:rStyle w:val="FootnoteReference"/>
          <w:sz w:val="24"/>
          <w:lang w:val="hr-HR"/>
        </w:rPr>
        <w:footnoteRef/>
      </w:r>
      <w:r w:rsidR="00C762FA" w:rsidRPr="00C762FA">
        <w:rPr>
          <w:sz w:val="24"/>
          <w:lang w:val="hr-HR"/>
        </w:rPr>
        <w:t xml:space="preserve"> </w:t>
      </w:r>
      <w:r w:rsidR="00C762FA" w:rsidRPr="00C762FA">
        <w:rPr>
          <w:sz w:val="24"/>
          <w:lang w:val="hr-HR"/>
        </w:rPr>
        <w:tab/>
      </w:r>
      <w:r w:rsidR="00AF01C5">
        <w:rPr>
          <w:sz w:val="24"/>
          <w:lang w:val="hr-HR"/>
        </w:rPr>
        <w:t>SL L 435, 6.12.2021., str. 1.</w:t>
      </w:r>
    </w:p>
  </w:footnote>
  <w:footnote w:id="2">
    <w:p w:rsidR="0089409B" w:rsidRPr="00C762FA" w:rsidRDefault="0089409B" w:rsidP="00C762FA">
      <w:pPr>
        <w:pStyle w:val="FootnoteText"/>
        <w:ind w:left="567" w:hanging="567"/>
        <w:rPr>
          <w:sz w:val="24"/>
          <w:lang w:val="hr-HR"/>
        </w:rPr>
      </w:pPr>
      <w:r w:rsidRPr="00C762FA">
        <w:rPr>
          <w:rStyle w:val="FootnoteReference"/>
          <w:sz w:val="24"/>
          <w:lang w:val="hr-HR"/>
        </w:rPr>
        <w:footnoteRef/>
      </w:r>
      <w:r w:rsidR="00C762FA" w:rsidRPr="00C762FA">
        <w:rPr>
          <w:sz w:val="24"/>
          <w:lang w:val="hr-HR"/>
        </w:rPr>
        <w:t xml:space="preserve"> </w:t>
      </w:r>
      <w:r w:rsidR="00C762FA" w:rsidRPr="00C762FA">
        <w:rPr>
          <w:sz w:val="24"/>
          <w:lang w:val="hr-HR"/>
        </w:rPr>
        <w:tab/>
      </w:r>
      <w:r w:rsidRPr="00C762FA">
        <w:rPr>
          <w:sz w:val="24"/>
          <w:lang w:val="hr-HR"/>
        </w:rPr>
        <w:t>Delegirana uredba Komisije (EU) 2022/126 od 7. prosinca 2021. o dopuni Uredbe (EU) 2021/2115 Europskog parlamenta i Vijeća dodatnim zahtjevima za određene vrste intervencija koje države članice određuju u svojim strateškim planovima u okviru ZPP-a za razdoblje od 2023. do 2027. na temelju te uredbe i pravilima o omjeru za standard 1 za dobre poljoprivredne i okolišne uvjete (GAEC) (SL L 20, 31.1.2022., str.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62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62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62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HR"/>
    <w:docVar w:name="dvnumam" w:val="0"/>
    <w:docVar w:name="dvpe" w:val="759.936"/>
    <w:docVar w:name="dvtitre" w:val="Odluka Europskog parlamenta od .... 2024. o neulaganju prigovora na Delegiranu uredbu Komisije od 12. ožujka 2024. o izmjeni Delegirane uredbe Komisije (EU) 2022/126 o dopuni Uredbe (EU) 2021/2115 Europskog parlamenta i Vijeća u pogledu pravila o omjeru za standard 1 za dobre poljoprivredne i okolišne uvjete (GAEC)(C(2024)01488 – 2024/2663(DEA))"/>
  </w:docVars>
  <w:rsids>
    <w:rsidRoot w:val="000F4A99"/>
    <w:rsid w:val="00002272"/>
    <w:rsid w:val="00064002"/>
    <w:rsid w:val="000677B9"/>
    <w:rsid w:val="000831BA"/>
    <w:rsid w:val="000A42CC"/>
    <w:rsid w:val="000E7DD9"/>
    <w:rsid w:val="000F4A9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09B"/>
    <w:rsid w:val="008C2AC6"/>
    <w:rsid w:val="00930C23"/>
    <w:rsid w:val="0093193B"/>
    <w:rsid w:val="009509D8"/>
    <w:rsid w:val="00950B64"/>
    <w:rsid w:val="00981893"/>
    <w:rsid w:val="00A1687D"/>
    <w:rsid w:val="00A43E52"/>
    <w:rsid w:val="00A463F6"/>
    <w:rsid w:val="00A4678D"/>
    <w:rsid w:val="00A7575F"/>
    <w:rsid w:val="00A778C7"/>
    <w:rsid w:val="00AA4F64"/>
    <w:rsid w:val="00AB441E"/>
    <w:rsid w:val="00AB6293"/>
    <w:rsid w:val="00AE0928"/>
    <w:rsid w:val="00AF01C5"/>
    <w:rsid w:val="00AF3B82"/>
    <w:rsid w:val="00B12E95"/>
    <w:rsid w:val="00B22876"/>
    <w:rsid w:val="00B558F0"/>
    <w:rsid w:val="00BD48FE"/>
    <w:rsid w:val="00BD7BD8"/>
    <w:rsid w:val="00BE68D1"/>
    <w:rsid w:val="00BE6ADC"/>
    <w:rsid w:val="00C05BFE"/>
    <w:rsid w:val="00C23CD4"/>
    <w:rsid w:val="00C61C0C"/>
    <w:rsid w:val="00C762F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E57284"/>
  <w15:chartTrackingRefBased/>
  <w15:docId w15:val="{C058971A-6A8A-4999-ADB7-A34BE2614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9409B"/>
    <w:pPr>
      <w:spacing w:after="240"/>
      <w:ind w:left="567" w:hanging="567"/>
    </w:pPr>
  </w:style>
  <w:style w:type="paragraph" w:styleId="BalloonText">
    <w:name w:val="Balloon Text"/>
    <w:basedOn w:val="Normal"/>
    <w:link w:val="BalloonTextChar"/>
    <w:rsid w:val="00BE68D1"/>
    <w:rPr>
      <w:rFonts w:ascii="Segoe UI" w:hAnsi="Segoe UI" w:cs="Segoe UI"/>
      <w:sz w:val="18"/>
      <w:szCs w:val="18"/>
    </w:rPr>
  </w:style>
  <w:style w:type="character" w:customStyle="1" w:styleId="BalloonTextChar">
    <w:name w:val="Balloon Text Char"/>
    <w:basedOn w:val="DefaultParagraphFont"/>
    <w:link w:val="BalloonText"/>
    <w:rsid w:val="00BE68D1"/>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489DD-B711-416C-8CCF-335CCF907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3413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2024-04-23T14:24:00Z</dcterms:created>
  <dcterms:modified xsi:type="dcterms:W3CDTF">2024-04-23T14:24:00Z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B9-0199/2024</vt:lpwstr>
  </property>
  <property fmtid="{D5CDD505-2E9C-101B-9397-08002B2CF9AE}" pid="4" name="&lt;Type&gt;">
    <vt:lpwstr>RR</vt:lpwstr>
  </property>
</Properties>
</file>