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61D7F" w14:paraId="1C6C7B1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9B7C4C" w14:textId="77777777" w:rsidR="00751A4A" w:rsidRPr="00761D7F" w:rsidRDefault="00916CBF" w:rsidP="0010095E">
            <w:pPr>
              <w:pStyle w:val="EPName"/>
            </w:pPr>
            <w:r w:rsidRPr="00761D7F">
              <w:t>Európai Parlament</w:t>
            </w:r>
          </w:p>
          <w:p w14:paraId="19FC531E" w14:textId="77777777" w:rsidR="00751A4A" w:rsidRPr="00761D7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61D7F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00D61C5" w14:textId="77777777" w:rsidR="00751A4A" w:rsidRPr="00761D7F" w:rsidRDefault="00187494" w:rsidP="0010095E">
            <w:pPr>
              <w:pStyle w:val="EPLogo"/>
            </w:pPr>
            <w:r w:rsidRPr="00761D7F">
              <w:rPr>
                <w:noProof/>
                <w:lang w:val="en-GB"/>
              </w:rPr>
              <w:drawing>
                <wp:inline distT="0" distB="0" distL="0" distR="0" wp14:anchorId="1CBC58C0" wp14:editId="00A56C0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B9ED02" w14:textId="77777777" w:rsidR="00D058B8" w:rsidRPr="00761D7F" w:rsidRDefault="00D058B8" w:rsidP="004C5D52">
      <w:pPr>
        <w:pStyle w:val="LineTop"/>
      </w:pPr>
    </w:p>
    <w:p w14:paraId="5FC61ED2" w14:textId="77777777" w:rsidR="00680577" w:rsidRPr="00761D7F" w:rsidRDefault="00916CBF" w:rsidP="00680577">
      <w:pPr>
        <w:pStyle w:val="EPBodyTA1"/>
      </w:pPr>
      <w:r w:rsidRPr="00761D7F">
        <w:t>ELFOGADOTT SZÖVEGEK</w:t>
      </w:r>
    </w:p>
    <w:p w14:paraId="4E9947DD" w14:textId="77777777" w:rsidR="00D058B8" w:rsidRPr="00761D7F" w:rsidRDefault="00D058B8" w:rsidP="00D058B8">
      <w:pPr>
        <w:pStyle w:val="LineBottom"/>
      </w:pPr>
    </w:p>
    <w:p w14:paraId="6966C080" w14:textId="1F327A37" w:rsidR="00916CBF" w:rsidRPr="00761D7F" w:rsidRDefault="00916CBF" w:rsidP="00916CBF">
      <w:pPr>
        <w:pStyle w:val="ATHeading1"/>
      </w:pPr>
      <w:bookmarkStart w:id="0" w:name="TANumber"/>
      <w:r w:rsidRPr="00761D7F">
        <w:t>P9_TA(2024)</w:t>
      </w:r>
      <w:bookmarkEnd w:id="0"/>
      <w:r w:rsidR="00761D7F" w:rsidRPr="00761D7F">
        <w:t>0</w:t>
      </w:r>
      <w:r w:rsidR="00761D7F" w:rsidRPr="00761D7F">
        <w:t>290</w:t>
      </w:r>
    </w:p>
    <w:p w14:paraId="25F3D8D3" w14:textId="602B897D" w:rsidR="00916CBF" w:rsidRPr="00761D7F" w:rsidRDefault="00567F5D" w:rsidP="00916CBF">
      <w:pPr>
        <w:pStyle w:val="ATHeading2"/>
      </w:pPr>
      <w:bookmarkStart w:id="1" w:name="title"/>
      <w:r w:rsidRPr="00761D7F">
        <w:t>Felhatalmazáson alapuló jogi aktussal szembeni kifogás mellőzése</w:t>
      </w:r>
      <w:r w:rsidR="00EC7E17" w:rsidRPr="00761D7F">
        <w:t>: az 1. sz. GAEC-szabványra irányadó szabályok</w:t>
      </w:r>
      <w:bookmarkEnd w:id="1"/>
    </w:p>
    <w:p w14:paraId="16D1E6D4" w14:textId="77777777" w:rsidR="00916CBF" w:rsidRPr="00761D7F" w:rsidRDefault="00916CBF" w:rsidP="00916CBF">
      <w:pPr>
        <w:rPr>
          <w:i/>
          <w:vanish/>
        </w:rPr>
      </w:pPr>
      <w:r w:rsidRPr="00761D7F">
        <w:rPr>
          <w:i/>
        </w:rPr>
        <w:fldChar w:fldCharType="begin"/>
      </w:r>
      <w:r w:rsidRPr="00761D7F">
        <w:rPr>
          <w:i/>
        </w:rPr>
        <w:instrText xml:space="preserve"> TC"(</w:instrText>
      </w:r>
      <w:bookmarkStart w:id="2" w:name="DocNumber"/>
      <w:r w:rsidRPr="00761D7F">
        <w:rPr>
          <w:i/>
        </w:rPr>
        <w:instrText>B9-0199/2024</w:instrText>
      </w:r>
      <w:bookmarkEnd w:id="2"/>
      <w:r w:rsidRPr="00761D7F">
        <w:rPr>
          <w:i/>
        </w:rPr>
        <w:instrText xml:space="preserve">)"\l3 \n&gt; \* MERGEFORMAT </w:instrText>
      </w:r>
      <w:r w:rsidRPr="00761D7F">
        <w:rPr>
          <w:i/>
        </w:rPr>
        <w:fldChar w:fldCharType="end"/>
      </w:r>
    </w:p>
    <w:p w14:paraId="0D911422" w14:textId="77777777" w:rsidR="00916CBF" w:rsidRPr="00761D7F" w:rsidRDefault="00916CBF" w:rsidP="00916CBF">
      <w:pPr>
        <w:rPr>
          <w:vanish/>
        </w:rPr>
      </w:pPr>
      <w:bookmarkStart w:id="3" w:name="PE"/>
      <w:r w:rsidRPr="00761D7F">
        <w:rPr>
          <w:vanish/>
        </w:rPr>
        <w:t>PE759.936</w:t>
      </w:r>
      <w:bookmarkStart w:id="4" w:name="_GoBack"/>
      <w:bookmarkEnd w:id="3"/>
      <w:bookmarkEnd w:id="4"/>
    </w:p>
    <w:p w14:paraId="11BE09E9" w14:textId="491203DC" w:rsidR="00916CBF" w:rsidRPr="00761D7F" w:rsidRDefault="00916CBF" w:rsidP="00916CBF">
      <w:pPr>
        <w:pStyle w:val="ATHeading3"/>
      </w:pPr>
      <w:bookmarkStart w:id="5" w:name="Sujet"/>
      <w:r w:rsidRPr="00761D7F">
        <w:t xml:space="preserve">Az Európai Parlament </w:t>
      </w:r>
      <w:r w:rsidR="00577E22" w:rsidRPr="00761D7F">
        <w:t xml:space="preserve">2024. április 23-i </w:t>
      </w:r>
      <w:r w:rsidRPr="00761D7F">
        <w:t>határozata az (EU) 2021/2115 európai parlamenti és tanácsi rendeletnek a jó mezőgazdasági és környezeti állapotra (GAEC) vonatkozó 1. szabványra irányadó szabályokkal történő kiegészítéséről szóló (EU) 2022/126 felhatalmazáson alapuló bizottsági rendelet módosításáról szóló 2024. március 12-i felhatalmazáson alapuló bizottsági rendelettel szembeni kifogás mellőzése</w:t>
      </w:r>
      <w:bookmarkEnd w:id="5"/>
      <w:r w:rsidRPr="00761D7F">
        <w:t xml:space="preserve"> </w:t>
      </w:r>
      <w:bookmarkStart w:id="6" w:name="References"/>
      <w:r w:rsidRPr="00761D7F">
        <w:t>(C(2024)01488 – 2024/2663(DEA))</w:t>
      </w:r>
      <w:bookmarkEnd w:id="6"/>
    </w:p>
    <w:p w14:paraId="428EF3E8" w14:textId="77777777" w:rsidR="00916CBF" w:rsidRPr="00761D7F" w:rsidRDefault="00916CBF" w:rsidP="00916CBF"/>
    <w:p w14:paraId="012FD0F8" w14:textId="77777777" w:rsidR="00BC7AA6" w:rsidRPr="00761D7F" w:rsidRDefault="00BC7AA6" w:rsidP="00BC7AA6">
      <w:pPr>
        <w:pStyle w:val="NormalHanging12a"/>
        <w:rPr>
          <w:i/>
        </w:rPr>
      </w:pPr>
      <w:bookmarkStart w:id="7" w:name="TextBodyBegin"/>
      <w:bookmarkEnd w:id="7"/>
      <w:r w:rsidRPr="00761D7F">
        <w:rPr>
          <w:i/>
        </w:rPr>
        <w:t>Az Európai Parlament,</w:t>
      </w:r>
    </w:p>
    <w:p w14:paraId="22706AB9" w14:textId="77777777" w:rsidR="00BC7AA6" w:rsidRPr="00761D7F" w:rsidRDefault="00BC7AA6" w:rsidP="00040639">
      <w:pPr>
        <w:pStyle w:val="NormalHanging12a"/>
        <w:widowControl/>
      </w:pPr>
      <w:r w:rsidRPr="00761D7F">
        <w:t>–</w:t>
      </w:r>
      <w:r w:rsidRPr="00761D7F">
        <w:tab/>
        <w:t>tekintettel a (C(2024)01488) felhatalmazáson alapuló bizottsági rendeletre,</w:t>
      </w:r>
    </w:p>
    <w:p w14:paraId="4DBB10A0" w14:textId="77777777" w:rsidR="00BC7AA6" w:rsidRPr="00761D7F" w:rsidRDefault="00BC7AA6" w:rsidP="00040639">
      <w:pPr>
        <w:pStyle w:val="NormalHanging12a"/>
        <w:widowControl/>
      </w:pPr>
      <w:r w:rsidRPr="00761D7F">
        <w:t>–</w:t>
      </w:r>
      <w:r w:rsidRPr="00761D7F">
        <w:tab/>
        <w:t>tekintettel a Bizottság 2024. március 12-i levelére, amelyben kéri az Európai Parlamenttől annak kinyilvánítását, hogy nem emel kifogást a felhatalmazáson alapuló bizottsági rendelettel szemben,</w:t>
      </w:r>
    </w:p>
    <w:p w14:paraId="1C79B22A" w14:textId="77777777" w:rsidR="00BC7AA6" w:rsidRPr="00761D7F" w:rsidRDefault="00BC7AA6" w:rsidP="00040639">
      <w:pPr>
        <w:pStyle w:val="NormalHanging12a"/>
        <w:widowControl/>
      </w:pPr>
      <w:r w:rsidRPr="00761D7F">
        <w:t>–</w:t>
      </w:r>
      <w:r w:rsidRPr="00761D7F">
        <w:tab/>
        <w:t>tekintettel a Mezőgazdasági és Vidékfejlesztési Bizottság által a Bizottsági Elnökök Értekezletének elnökéhez intézett 2024. március 19-i levélre,</w:t>
      </w:r>
    </w:p>
    <w:p w14:paraId="03B4C3F0" w14:textId="77777777" w:rsidR="00BC7AA6" w:rsidRPr="00761D7F" w:rsidRDefault="00BC7AA6" w:rsidP="00040639">
      <w:pPr>
        <w:pStyle w:val="NormalHanging12a"/>
        <w:widowControl/>
      </w:pPr>
      <w:r w:rsidRPr="00761D7F">
        <w:t>–</w:t>
      </w:r>
      <w:r w:rsidRPr="00761D7F">
        <w:tab/>
        <w:t>tekintettel az Európai Unió működéséről szóló szerződés 290. cikkére,</w:t>
      </w:r>
    </w:p>
    <w:p w14:paraId="48CD7706" w14:textId="77777777" w:rsidR="00BC7AA6" w:rsidRPr="00761D7F" w:rsidRDefault="00BC7AA6" w:rsidP="00040639">
      <w:pPr>
        <w:pStyle w:val="NormalHanging12a"/>
        <w:widowControl/>
      </w:pPr>
      <w:r w:rsidRPr="00761D7F">
        <w:t>–</w:t>
      </w:r>
      <w:r w:rsidRPr="00761D7F">
        <w:tab/>
        <w:t>tekintettel a közös agrárpolitika keretében a tagállamok által elkészítendő stratégiai tervhez (KAP stratégiai terv) nyújtott, az Európai Mezőgazdasági Garanciaalap (EMGA) és az Európai Mezőgazdasági Vidékfejlesztési Alap (EMVA) által finanszírozott támogatásra vonatkozó szabályok megállapításáról, valamint az 1305/2013/EU és az 1307/2013/EU rendelet hatályon kívül helyezéséről szóló, 2021. december 2-i (EU) 2021/2115 európai parlamenti és tanácsi rendeletre</w:t>
      </w:r>
      <w:r w:rsidRPr="00761D7F">
        <w:rPr>
          <w:rStyle w:val="FootnoteReference"/>
          <w:color w:val="000000"/>
        </w:rPr>
        <w:footnoteReference w:id="1"/>
      </w:r>
      <w:r w:rsidRPr="00761D7F">
        <w:t xml:space="preserve"> és különösen annak 13. cikke (3) bekezdésére és 152. cikkének (6) bekezdésére,</w:t>
      </w:r>
    </w:p>
    <w:p w14:paraId="0D5BFACC" w14:textId="77777777" w:rsidR="00BC7AA6" w:rsidRPr="00761D7F" w:rsidRDefault="00BC7AA6" w:rsidP="00040639">
      <w:pPr>
        <w:pStyle w:val="NormalHanging12a"/>
        <w:widowControl/>
      </w:pPr>
      <w:r w:rsidRPr="00761D7F">
        <w:t>–</w:t>
      </w:r>
      <w:r w:rsidRPr="00761D7F">
        <w:tab/>
        <w:t>tekintettel eljárási szabályzata 111. cikkének (6) bekezdésére,</w:t>
      </w:r>
    </w:p>
    <w:p w14:paraId="1CB120E1" w14:textId="77777777" w:rsidR="00BC7AA6" w:rsidRPr="00761D7F" w:rsidRDefault="00BC7AA6" w:rsidP="00040639">
      <w:pPr>
        <w:pStyle w:val="NormalHanging12a"/>
        <w:widowControl/>
      </w:pPr>
      <w:r w:rsidRPr="00761D7F">
        <w:t>–</w:t>
      </w:r>
      <w:r w:rsidRPr="00761D7F">
        <w:tab/>
        <w:t>tekintettel a Mezőgazdasági és Vidékfejlesztési Bizottság határozatra irányuló ajánlására,</w:t>
      </w:r>
    </w:p>
    <w:p w14:paraId="0C4F1A18" w14:textId="77777777" w:rsidR="00BC7AA6" w:rsidRPr="00761D7F" w:rsidRDefault="00BC7AA6" w:rsidP="00040639">
      <w:pPr>
        <w:pStyle w:val="NormalHanging12a"/>
        <w:widowControl/>
      </w:pPr>
      <w:r w:rsidRPr="00761D7F">
        <w:lastRenderedPageBreak/>
        <w:t>A.</w:t>
      </w:r>
      <w:r w:rsidRPr="00761D7F">
        <w:tab/>
        <w:t>mivel a tagállamok 2023. január 1-jén megkezdték KAP stratégiai terveik végrehajtását, amelynek keretében többek között biztosítaniuk kell az állandó gyepterület mezőgazdasági területhez viszonyított megfelelő arányának fenntartását az (EU) 2021/2115 rendelet III. mellékletében foglalt, a földterület jó mezőgazdasági és környezeti állapotára vonatkozó 1. sz. GAEC-előírás (a továbbiakban: 1. sz. GAEC-előírás) részeként meghatározottak szerint;</w:t>
      </w:r>
    </w:p>
    <w:p w14:paraId="51A8BAAC" w14:textId="77777777" w:rsidR="00BC7AA6" w:rsidRPr="00761D7F" w:rsidRDefault="00BC7AA6" w:rsidP="00040639">
      <w:pPr>
        <w:pStyle w:val="NormalHanging12a"/>
        <w:widowControl/>
      </w:pPr>
      <w:r w:rsidRPr="00761D7F">
        <w:t>B.</w:t>
      </w:r>
      <w:r w:rsidRPr="00761D7F">
        <w:tab/>
        <w:t>mivel az 1. sz. GAEC-előírás végrehajtása során eddig szerzett tapasztalatok azt mutatják, hogy a mezőgazdasági termelőkre háruló aránytalan terhek elkerülése érdekében módosítani kell az említett szabályokat arra az esetre, ha a tagállami gazdálkodási rendszerekben bekövetkezett, piaci irányváltással – például az állattenyésztésről a szántóföldi gazdálkodásra való átállással és az állattenyésztés csökkenésével – magyarázható strukturális változások jelentősen befolyásolják a mezőgazdasági termelők azon képességét, hogy gazdasági életképességük megőrzése mellett állandó gyepterületeket létesítsenek;</w:t>
      </w:r>
    </w:p>
    <w:p w14:paraId="510E3BEA" w14:textId="77777777" w:rsidR="00BC7AA6" w:rsidRPr="00761D7F" w:rsidRDefault="00BC7AA6" w:rsidP="00040639">
      <w:pPr>
        <w:pStyle w:val="NormalHanging12a"/>
        <w:widowControl/>
      </w:pPr>
      <w:r w:rsidRPr="00761D7F">
        <w:t>C.</w:t>
      </w:r>
      <w:r w:rsidRPr="00761D7F">
        <w:tab/>
        <w:t>mivel bizonyos helyzetekben a tagállamok akkor is kötelesek előírni a kedvezményezettek számára a területek állandó gyepterületté való alakítását vagy állandó gyepterület létesítését, ha az éves arány csökkenése a bejelentett területek tekintetében megfigyelhető változásoknak tudható be;</w:t>
      </w:r>
    </w:p>
    <w:p w14:paraId="2A1D5B46" w14:textId="77777777" w:rsidR="00BC7AA6" w:rsidRPr="00761D7F" w:rsidRDefault="00BC7AA6" w:rsidP="00040639">
      <w:pPr>
        <w:pStyle w:val="NormalHanging12a"/>
        <w:widowControl/>
      </w:pPr>
      <w:r w:rsidRPr="00761D7F">
        <w:t>D.</w:t>
      </w:r>
      <w:r w:rsidRPr="00761D7F">
        <w:tab/>
        <w:t>mivel bizonyos körülmények között előfordulhat, hogy a mezőgazdasági parcellaazonosító rendszerben az állandó gyepterületeket regisztrálják, de a mezőgazdasági termelők egy adott évben azokat nem jelentik be közvetlen kifizetésekre, vagy a teljes mezőgazdasági terület a mezőgazdasági termelők által tett kiegészítő bejelentések miatt növekedhet;</w:t>
      </w:r>
    </w:p>
    <w:p w14:paraId="4343490C" w14:textId="77777777" w:rsidR="00BC7AA6" w:rsidRPr="00761D7F" w:rsidRDefault="00BC7AA6" w:rsidP="00040639">
      <w:pPr>
        <w:pStyle w:val="NormalHanging12a"/>
        <w:widowControl/>
      </w:pPr>
      <w:r w:rsidRPr="00761D7F">
        <w:t>E.</w:t>
      </w:r>
      <w:r w:rsidRPr="00761D7F">
        <w:tab/>
        <w:t>mivel ilyen esetben, ha az éves aránynak az (EU) 2021/2115 rendelet III. mellékletében meghatározott 5 %-os küszöbértéket meghaladó csökkenése nem az állandó gyepterületek egyéb mezőgazdasági hasznosítású területekké történő átalakításából ered, aránytalan lehet a mezőgazdasági termelők számára előírni, hogy további állandó gyepterületeket létesítsenek;</w:t>
      </w:r>
    </w:p>
    <w:p w14:paraId="0756292E" w14:textId="77777777" w:rsidR="00BC7AA6" w:rsidRPr="00761D7F" w:rsidRDefault="00BC7AA6" w:rsidP="00040639">
      <w:pPr>
        <w:pStyle w:val="NormalHanging12a"/>
        <w:widowControl/>
      </w:pPr>
      <w:r w:rsidRPr="00761D7F">
        <w:t>F.</w:t>
      </w:r>
      <w:r w:rsidRPr="00761D7F">
        <w:tab/>
        <w:t>mivel helyénvaló lehetővé tenni bizonyos fokú rugalmasság alkalmazását, biztosítva ugyanakkor az 1. sz. GAEC-előírás fő célkitűzésének („általános garancia más mezőgazdasági felhasználásra való átállás ellen a szénkészletek megóvása érdekében”) való megfelelést, valamint azt, hogy a csökkenés mértéke ne léphesse túl az (EU) 2021/2115 rendelet III. mellékletében meghatározott arányt;</w:t>
      </w:r>
    </w:p>
    <w:p w14:paraId="0F7678B2" w14:textId="77777777" w:rsidR="00BC7AA6" w:rsidRPr="00761D7F" w:rsidRDefault="00BC7AA6" w:rsidP="00040639">
      <w:pPr>
        <w:pStyle w:val="NormalHanging12a"/>
        <w:widowControl/>
      </w:pPr>
      <w:r w:rsidRPr="00761D7F">
        <w:t>G.</w:t>
      </w:r>
      <w:r w:rsidRPr="00761D7F">
        <w:tab/>
        <w:t>mivel ezért módosítani kell az (EU) 2022/126 felhatalmazáson alapuló bizottsági rendeletet</w:t>
      </w:r>
      <w:r w:rsidRPr="00761D7F">
        <w:rPr>
          <w:rStyle w:val="FootnoteReference"/>
          <w:color w:val="000000"/>
        </w:rPr>
        <w:footnoteReference w:id="2"/>
      </w:r>
      <w:r w:rsidRPr="00761D7F">
        <w:t>, amely az 1. sz. GAEC-előírást illető arányra vonatkozó szabályokat állapít meg;</w:t>
      </w:r>
    </w:p>
    <w:p w14:paraId="4F00F3DE" w14:textId="77777777" w:rsidR="00BC7AA6" w:rsidRPr="00761D7F" w:rsidRDefault="00BC7AA6" w:rsidP="00040639">
      <w:pPr>
        <w:pStyle w:val="NormalHanging12a"/>
        <w:widowControl/>
      </w:pPr>
      <w:r w:rsidRPr="00761D7F">
        <w:lastRenderedPageBreak/>
        <w:t>1.</w:t>
      </w:r>
      <w:r w:rsidRPr="00761D7F">
        <w:tab/>
        <w:t>kijelenti, hogy a felhatalmazáson alapuló bizottsági rendelettel szemben nem emel kifogást;</w:t>
      </w:r>
    </w:p>
    <w:p w14:paraId="7298761E" w14:textId="77777777" w:rsidR="00BC7AA6" w:rsidRPr="00761D7F" w:rsidRDefault="00BC7AA6" w:rsidP="00040639">
      <w:pPr>
        <w:pStyle w:val="NormalHanging12a"/>
        <w:widowControl/>
      </w:pPr>
      <w:r w:rsidRPr="00761D7F">
        <w:t>2.</w:t>
      </w:r>
      <w:r w:rsidRPr="00761D7F">
        <w:tab/>
        <w:t>utasítja elnökét, hogy továbbítsa ezt a határozatot a Tanácsnak és a Bizottságnak.</w:t>
      </w:r>
    </w:p>
    <w:p w14:paraId="5DF8615F" w14:textId="77777777" w:rsidR="00E365E1" w:rsidRPr="00761D7F" w:rsidRDefault="00E365E1" w:rsidP="00040639">
      <w:pPr>
        <w:widowControl/>
        <w:spacing w:after="240"/>
        <w:ind w:left="567" w:hanging="567"/>
      </w:pPr>
      <w:bookmarkStart w:id="8" w:name="TextBodyEnd"/>
      <w:bookmarkEnd w:id="8"/>
    </w:p>
    <w:sectPr w:rsidR="00E365E1" w:rsidRPr="00761D7F" w:rsidSect="00741C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47C8D3" w14:textId="77777777" w:rsidR="00916CBF" w:rsidRPr="00741CC5" w:rsidRDefault="00916CBF">
      <w:r w:rsidRPr="00741CC5">
        <w:separator/>
      </w:r>
    </w:p>
  </w:endnote>
  <w:endnote w:type="continuationSeparator" w:id="0">
    <w:p w14:paraId="65D90AE8" w14:textId="77777777" w:rsidR="00916CBF" w:rsidRPr="00741CC5" w:rsidRDefault="00916CBF">
      <w:r w:rsidRPr="00741C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44EBD" w14:textId="77777777" w:rsidR="00064002" w:rsidRPr="00741CC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84239E" w14:textId="77777777" w:rsidR="00064002" w:rsidRPr="00741CC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5E01AB" w14:textId="77777777" w:rsidR="00064002" w:rsidRPr="00741CC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9DA06E" w14:textId="77777777" w:rsidR="00916CBF" w:rsidRPr="00741CC5" w:rsidRDefault="00916CBF">
      <w:r w:rsidRPr="00741CC5">
        <w:separator/>
      </w:r>
    </w:p>
  </w:footnote>
  <w:footnote w:type="continuationSeparator" w:id="0">
    <w:p w14:paraId="175A78EE" w14:textId="77777777" w:rsidR="00916CBF" w:rsidRPr="00741CC5" w:rsidRDefault="00916CBF">
      <w:r w:rsidRPr="00741CC5">
        <w:continuationSeparator/>
      </w:r>
    </w:p>
  </w:footnote>
  <w:footnote w:id="1">
    <w:p w14:paraId="0CF4E541" w14:textId="77777777" w:rsidR="00BC7AA6" w:rsidRPr="00741CC5" w:rsidRDefault="00BC7AA6" w:rsidP="00741CC5">
      <w:pPr>
        <w:pStyle w:val="FootnoteText"/>
        <w:ind w:left="567" w:hanging="567"/>
        <w:rPr>
          <w:sz w:val="24"/>
          <w:lang w:val="hu-HU"/>
        </w:rPr>
      </w:pPr>
      <w:r w:rsidRPr="00741CC5">
        <w:rPr>
          <w:rStyle w:val="FootnoteReference"/>
          <w:sz w:val="24"/>
          <w:lang w:val="hu-HU"/>
        </w:rPr>
        <w:footnoteRef/>
      </w:r>
      <w:r w:rsidR="00741CC5" w:rsidRPr="00741CC5">
        <w:rPr>
          <w:sz w:val="24"/>
          <w:lang w:val="hu-HU"/>
        </w:rPr>
        <w:t xml:space="preserve"> </w:t>
      </w:r>
      <w:r w:rsidR="00741CC5" w:rsidRPr="00741CC5">
        <w:rPr>
          <w:sz w:val="24"/>
          <w:lang w:val="hu-HU"/>
        </w:rPr>
        <w:tab/>
      </w:r>
      <w:r w:rsidRPr="00741CC5">
        <w:rPr>
          <w:sz w:val="24"/>
          <w:lang w:val="hu-HU"/>
        </w:rPr>
        <w:t>HL L 435., 2021.12.6., 1. o.</w:t>
      </w:r>
    </w:p>
  </w:footnote>
  <w:footnote w:id="2">
    <w:p w14:paraId="2A0BB5DF" w14:textId="77777777" w:rsidR="00BC7AA6" w:rsidRPr="00741CC5" w:rsidRDefault="00BC7AA6" w:rsidP="00741CC5">
      <w:pPr>
        <w:pStyle w:val="FootnoteText"/>
        <w:ind w:left="567" w:hanging="567"/>
        <w:rPr>
          <w:sz w:val="24"/>
          <w:lang w:val="hu-HU"/>
        </w:rPr>
      </w:pPr>
      <w:r w:rsidRPr="00741CC5">
        <w:rPr>
          <w:rStyle w:val="FootnoteReference"/>
          <w:sz w:val="24"/>
          <w:lang w:val="hu-HU"/>
        </w:rPr>
        <w:footnoteRef/>
      </w:r>
      <w:r w:rsidR="00741CC5" w:rsidRPr="00741CC5">
        <w:rPr>
          <w:sz w:val="24"/>
          <w:lang w:val="hu-HU"/>
        </w:rPr>
        <w:t xml:space="preserve"> </w:t>
      </w:r>
      <w:r w:rsidR="00741CC5" w:rsidRPr="00741CC5">
        <w:rPr>
          <w:sz w:val="24"/>
          <w:lang w:val="hu-HU"/>
        </w:rPr>
        <w:tab/>
      </w:r>
      <w:r w:rsidRPr="00741CC5">
        <w:rPr>
          <w:sz w:val="24"/>
          <w:lang w:val="hu-HU"/>
        </w:rPr>
        <w:t>A Bizottság (EU) 2022/126 felhatalmazáson alapuló rendelete (2021. december 7.) az (EU) 2021/2115 európai parlamenti és tanácsi rendeletnek a tagállamok 2023–2027-es, az említett rendelet szerinti KAP stratégiai tervében kidolgozandó egyes beavatkozástípusokra vonatkozó kiegészítő követelményekkel, valamint a jó mezőgazdasági és környezeti állapotra (GAEC) vonatkozó 1. szabványra irányadó szabályokkal történő kiegészítéséről (HL L 20., 2022.1.31., 52. o.).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C6FB72" w14:textId="77777777" w:rsidR="00064002" w:rsidRPr="00741CC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7D179" w14:textId="77777777" w:rsidR="00064002" w:rsidRPr="00741CC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7A21A8" w14:textId="77777777" w:rsidR="00064002" w:rsidRPr="00741CC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99/2024"/>
    <w:docVar w:name="dvlangue" w:val="HU"/>
    <w:docVar w:name="dvnumam" w:val="0"/>
    <w:docVar w:name="dvpe" w:val="759.936"/>
    <w:docVar w:name="dvtitre" w:val="Az Európai Parlament 2024.  ...-i határozata az (EU) 2021/2115 európai parlamenti és tanácsi rendeletnek a jó mezőgazdasági és környezeti állapotra (GAEC) vonatkozó 1. szabványra irányadó szabályokkal történő kiegészítéséről szóló (EU) 2022/126 felhatalmazáson alapuló bizottsági rendelet módosításáról szóló 2024. március 12-i felhatalmazáson alapuló bizottsági rendelettel szembeni kifogás mellőzése(C(2024)01488 – 2024/2663(DEA))"/>
  </w:docVars>
  <w:rsids>
    <w:rsidRoot w:val="00916CBF"/>
    <w:rsid w:val="00002272"/>
    <w:rsid w:val="00040639"/>
    <w:rsid w:val="00064002"/>
    <w:rsid w:val="000677B9"/>
    <w:rsid w:val="000831BA"/>
    <w:rsid w:val="000A42CC"/>
    <w:rsid w:val="000E7DD9"/>
    <w:rsid w:val="0010095E"/>
    <w:rsid w:val="00101447"/>
    <w:rsid w:val="00125B37"/>
    <w:rsid w:val="00187494"/>
    <w:rsid w:val="001F32AE"/>
    <w:rsid w:val="002767FF"/>
    <w:rsid w:val="002B18FE"/>
    <w:rsid w:val="002B5493"/>
    <w:rsid w:val="002E675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7F5D"/>
    <w:rsid w:val="00577E22"/>
    <w:rsid w:val="005C2568"/>
    <w:rsid w:val="006037C0"/>
    <w:rsid w:val="006631B6"/>
    <w:rsid w:val="00680577"/>
    <w:rsid w:val="006F74FA"/>
    <w:rsid w:val="00731ADD"/>
    <w:rsid w:val="00734777"/>
    <w:rsid w:val="00741CC5"/>
    <w:rsid w:val="00747932"/>
    <w:rsid w:val="00751A4A"/>
    <w:rsid w:val="00756632"/>
    <w:rsid w:val="00761D7F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6CB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7AA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7E17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B11394"/>
  <w15:chartTrackingRefBased/>
  <w15:docId w15:val="{34B9BD02-5D7D-4323-95BB-A56AA0E9C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C7AA6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EC7E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C7E17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rsid w:val="00EC7E17"/>
    <w:rPr>
      <w:sz w:val="16"/>
      <w:szCs w:val="16"/>
    </w:rPr>
  </w:style>
  <w:style w:type="paragraph" w:styleId="CommentText">
    <w:name w:val="annotation text"/>
    <w:basedOn w:val="Normal"/>
    <w:link w:val="CommentTextChar"/>
    <w:rsid w:val="00EC7E1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C7E17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EC7E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C7E17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6B9D9-0D84-4F32-B298-140613922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550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2024-04-23T12:36:00Z</dcterms:created>
  <dcterms:modified xsi:type="dcterms:W3CDTF">2024-04-23T12:36:00Z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B9-0199/2024</vt:lpwstr>
  </property>
  <property fmtid="{D5CDD505-2E9C-101B-9397-08002B2CF9AE}" pid="4" name="&lt;Type&gt;">
    <vt:lpwstr>RR</vt:lpwstr>
  </property>
</Properties>
</file>