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5CE" w:rsidTr="0010095E">
        <w:trPr>
          <w:trHeight w:hRule="exact" w:val="1418"/>
        </w:trPr>
        <w:tc>
          <w:tcPr>
            <w:tcW w:w="6804" w:type="dxa"/>
            <w:shd w:val="clear" w:color="auto" w:fill="auto"/>
            <w:vAlign w:val="center"/>
          </w:tcPr>
          <w:p w:rsidR="00751A4A" w:rsidRPr="00CF35CE" w:rsidRDefault="008E36C0" w:rsidP="0010095E">
            <w:pPr>
              <w:pStyle w:val="EPName"/>
            </w:pPr>
            <w:r w:rsidRPr="00CF35CE">
              <w:t>Europos Parlamentas</w:t>
            </w:r>
          </w:p>
          <w:p w:rsidR="00751A4A" w:rsidRPr="00CF35CE" w:rsidRDefault="00817416" w:rsidP="00756632">
            <w:pPr>
              <w:pStyle w:val="EPTerm"/>
              <w:rPr>
                <w:rStyle w:val="HideTWBExt"/>
                <w:noProof w:val="0"/>
                <w:vanish w:val="0"/>
                <w:color w:val="auto"/>
              </w:rPr>
            </w:pPr>
            <w:r w:rsidRPr="00CF35CE">
              <w:t>2019-2024</w:t>
            </w:r>
          </w:p>
        </w:tc>
        <w:tc>
          <w:tcPr>
            <w:tcW w:w="2268" w:type="dxa"/>
            <w:shd w:val="clear" w:color="auto" w:fill="auto"/>
          </w:tcPr>
          <w:p w:rsidR="00751A4A" w:rsidRPr="00CF35CE" w:rsidRDefault="00187494" w:rsidP="0010095E">
            <w:pPr>
              <w:pStyle w:val="EPLogo"/>
            </w:pPr>
            <w:r w:rsidRPr="00CF35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35CE" w:rsidRDefault="00D058B8" w:rsidP="004C5D52">
      <w:pPr>
        <w:pStyle w:val="LineTop"/>
      </w:pPr>
    </w:p>
    <w:p w:rsidR="00680577" w:rsidRPr="00CF35CE" w:rsidRDefault="008E36C0" w:rsidP="00680577">
      <w:pPr>
        <w:pStyle w:val="EPBodyTA1"/>
      </w:pPr>
      <w:r w:rsidRPr="00CF35CE">
        <w:t>PRIIMTI TEKSTAI</w:t>
      </w:r>
    </w:p>
    <w:p w:rsidR="00D058B8" w:rsidRPr="00CF35CE" w:rsidRDefault="00D058B8" w:rsidP="00D058B8">
      <w:pPr>
        <w:pStyle w:val="LineBottom"/>
      </w:pPr>
    </w:p>
    <w:p w:rsidR="008E36C0" w:rsidRPr="00CF35CE" w:rsidRDefault="008E36C0" w:rsidP="008E36C0">
      <w:pPr>
        <w:pStyle w:val="ATHeading1"/>
      </w:pPr>
      <w:bookmarkStart w:id="0" w:name="TANumber"/>
      <w:r w:rsidRPr="00CF35CE">
        <w:t>P9_TA(2024)0</w:t>
      </w:r>
      <w:r w:rsidR="0045674E">
        <w:t>29</w:t>
      </w:r>
      <w:r w:rsidRPr="00CF35CE">
        <w:t>0</w:t>
      </w:r>
      <w:bookmarkEnd w:id="0"/>
    </w:p>
    <w:p w:rsidR="008E36C0" w:rsidRPr="00CF35CE" w:rsidRDefault="00483AD4" w:rsidP="004F2FD1">
      <w:pPr>
        <w:pStyle w:val="ATHeading2"/>
      </w:pPr>
      <w:bookmarkStart w:id="1" w:name="title"/>
      <w:r w:rsidRPr="00483AD4">
        <w:t xml:space="preserve">Neprieštaravimas deleguotajam aktui: </w:t>
      </w:r>
      <w:r w:rsidR="004F2FD1" w:rsidRPr="009368FB">
        <w:rPr>
          <w:bCs/>
        </w:rPr>
        <w:t>taisyklės dėl santykio, susijusio su</w:t>
      </w:r>
      <w:r w:rsidR="00276EF3">
        <w:rPr>
          <w:bCs/>
        </w:rPr>
        <w:t xml:space="preserve"> </w:t>
      </w:r>
      <w:r w:rsidR="004F2FD1" w:rsidRPr="009368FB">
        <w:rPr>
          <w:bCs/>
        </w:rPr>
        <w:t>1-uoju geros agrarinės ir aplinkosaugos būklės (GAAB) standartu</w:t>
      </w:r>
      <w:bookmarkEnd w:id="1"/>
    </w:p>
    <w:p w:rsidR="008E36C0" w:rsidRPr="00CF35CE" w:rsidRDefault="008E36C0" w:rsidP="008E36C0">
      <w:pPr>
        <w:rPr>
          <w:i/>
          <w:vanish/>
        </w:rPr>
      </w:pPr>
      <w:r w:rsidRPr="00CF35CE">
        <w:rPr>
          <w:i/>
        </w:rPr>
        <w:fldChar w:fldCharType="begin"/>
      </w:r>
      <w:r w:rsidRPr="00CF35CE">
        <w:rPr>
          <w:i/>
        </w:rPr>
        <w:instrText xml:space="preserve"> TC"(</w:instrText>
      </w:r>
      <w:bookmarkStart w:id="2" w:name="DocNumber"/>
      <w:r w:rsidRPr="00CF35CE">
        <w:rPr>
          <w:i/>
        </w:rPr>
        <w:instrText>B9-0199/2024</w:instrText>
      </w:r>
      <w:bookmarkEnd w:id="2"/>
      <w:r w:rsidRPr="00CF35CE">
        <w:rPr>
          <w:i/>
        </w:rPr>
        <w:instrText xml:space="preserve">)"\l3 \n&gt; \* MERGEFORMAT </w:instrText>
      </w:r>
      <w:r w:rsidRPr="00CF35CE">
        <w:rPr>
          <w:i/>
        </w:rPr>
        <w:fldChar w:fldCharType="end"/>
      </w:r>
    </w:p>
    <w:p w:rsidR="008E36C0" w:rsidRPr="00CF35CE" w:rsidRDefault="008E36C0" w:rsidP="008E36C0">
      <w:pPr>
        <w:rPr>
          <w:vanish/>
        </w:rPr>
      </w:pPr>
      <w:bookmarkStart w:id="3" w:name="PE"/>
      <w:r w:rsidRPr="00CF35CE">
        <w:rPr>
          <w:vanish/>
        </w:rPr>
        <w:t>PE759.936</w:t>
      </w:r>
      <w:bookmarkEnd w:id="3"/>
    </w:p>
    <w:p w:rsidR="008E36C0" w:rsidRPr="00CF35CE" w:rsidRDefault="00D0031F" w:rsidP="009368FB">
      <w:pPr>
        <w:pStyle w:val="ATHeading3"/>
        <w:spacing w:after="360"/>
      </w:pPr>
      <w:bookmarkStart w:id="4" w:name="Sujet"/>
      <w:r>
        <w:t xml:space="preserve">2024 m. balandžio </w:t>
      </w:r>
      <w:r w:rsidR="0040615A">
        <w:t xml:space="preserve">23 </w:t>
      </w:r>
      <w:r>
        <w:t>d. E</w:t>
      </w:r>
      <w:r w:rsidR="008E36C0" w:rsidRPr="00CF35CE">
        <w:t xml:space="preserve">uropos Parlamento </w:t>
      </w:r>
      <w:r w:rsidR="00B921EA">
        <w:t>sprendimas</w:t>
      </w:r>
      <w:bookmarkStart w:id="5" w:name="_GoBack"/>
      <w:bookmarkEnd w:id="5"/>
      <w:r w:rsidR="008E36C0" w:rsidRPr="00CF35CE">
        <w:t xml:space="preserve"> neprieštarauti 2024 m. kovo 12 d. Komisijos deleguotajam reglamentui, kuriuo iš dalies keičiamas Komisijos deleguotasis reglamentas (ES) 2022/126, kuriuo Europos Parlamento ir Tarybos reglamentas (ES) 2021/2115 papildomas taisyklėmis dėl 1-ojo geros agrarinės ir aplinkosaugos būklės (GAAB) standarto taisyklių</w:t>
      </w:r>
      <w:bookmarkEnd w:id="4"/>
      <w:r w:rsidR="008E36C0" w:rsidRPr="00CF35CE">
        <w:t xml:space="preserve"> </w:t>
      </w:r>
      <w:bookmarkStart w:id="6" w:name="References"/>
      <w:r w:rsidR="008E36C0" w:rsidRPr="00CF35CE">
        <w:t>(C(2024)01488 – 2024/2663(DEA))</w:t>
      </w:r>
      <w:bookmarkEnd w:id="6"/>
    </w:p>
    <w:p w:rsidR="001871F5" w:rsidRPr="00CF35CE" w:rsidRDefault="001871F5" w:rsidP="00D0031F">
      <w:pPr>
        <w:pStyle w:val="NormalHanging12a"/>
        <w:rPr>
          <w:i/>
        </w:rPr>
      </w:pPr>
      <w:bookmarkStart w:id="7" w:name="TextBodyBegin"/>
      <w:bookmarkEnd w:id="7"/>
      <w:r w:rsidRPr="00CF35CE">
        <w:rPr>
          <w:i/>
        </w:rPr>
        <w:t>Europos Parlamentas,</w:t>
      </w:r>
    </w:p>
    <w:p w:rsidR="001871F5" w:rsidRPr="00CF35CE" w:rsidRDefault="001871F5" w:rsidP="001871F5">
      <w:pPr>
        <w:pStyle w:val="NormalHanging12a"/>
      </w:pPr>
      <w:r w:rsidRPr="00CF35CE">
        <w:t>–</w:t>
      </w:r>
      <w:r w:rsidRPr="00CF35CE">
        <w:tab/>
        <w:t>atsižvelgdamas į Komisijos deleguotąjį reglamentą (C(2024)01488),</w:t>
      </w:r>
    </w:p>
    <w:p w:rsidR="001871F5" w:rsidRPr="00CF35CE" w:rsidRDefault="001871F5" w:rsidP="001871F5">
      <w:pPr>
        <w:pStyle w:val="NormalHanging12a"/>
      </w:pPr>
      <w:r w:rsidRPr="00CF35CE">
        <w:t>–</w:t>
      </w:r>
      <w:r w:rsidRPr="00CF35CE">
        <w:tab/>
        <w:t>atsižvelgdamas į Komisijos 2024 m. kovo 12 d. laišką, kuriame ji prašo Parlamento pareikšti, kad jis neprieštarauja deleguotajam reglamentui,</w:t>
      </w:r>
    </w:p>
    <w:p w:rsidR="001871F5" w:rsidRPr="00CF35CE" w:rsidRDefault="001871F5" w:rsidP="001871F5">
      <w:pPr>
        <w:pStyle w:val="NormalHanging12a"/>
      </w:pPr>
      <w:r w:rsidRPr="00CF35CE">
        <w:t>–</w:t>
      </w:r>
      <w:r w:rsidRPr="00CF35CE">
        <w:tab/>
        <w:t>atsižvelgdamas į Žemės ūkio ir kaimo plėtros komiteto 2024 m. kovo 19 d. laišką Komitetų pirmininkų sueigos pirmininkui,</w:t>
      </w:r>
    </w:p>
    <w:p w:rsidR="001871F5" w:rsidRPr="00CF35CE" w:rsidRDefault="001871F5" w:rsidP="001871F5">
      <w:pPr>
        <w:pStyle w:val="NormalHanging12a"/>
      </w:pPr>
      <w:r w:rsidRPr="00CF35CE">
        <w:t>–</w:t>
      </w:r>
      <w:r w:rsidRPr="00CF35CE">
        <w:tab/>
        <w:t>atsižvelgdamas į Sutarties dėl Europos Sąjungos veikimo 290 straipsnį,</w:t>
      </w:r>
    </w:p>
    <w:p w:rsidR="001871F5" w:rsidRPr="00CF35CE" w:rsidRDefault="001871F5" w:rsidP="001871F5">
      <w:pPr>
        <w:pStyle w:val="NormalHanging12a"/>
      </w:pPr>
      <w:r w:rsidRPr="00CF35CE">
        <w:t>–</w:t>
      </w:r>
      <w:r w:rsidRPr="00CF35CE">
        <w:tab/>
        <w:t>atsižvelgdama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CF35CE">
        <w:rPr>
          <w:rStyle w:val="FootnoteReference"/>
          <w:color w:val="000000"/>
        </w:rPr>
        <w:footnoteReference w:id="1"/>
      </w:r>
      <w:r w:rsidRPr="00CF35CE">
        <w:t>, ypač į jo 13 straipsnio 3 punktą ir 152 straipsnio 6 dalį,</w:t>
      </w:r>
    </w:p>
    <w:p w:rsidR="001871F5" w:rsidRPr="00CF35CE" w:rsidRDefault="001871F5" w:rsidP="001871F5">
      <w:pPr>
        <w:pStyle w:val="NormalHanging12a"/>
      </w:pPr>
      <w:r w:rsidRPr="00CF35CE">
        <w:t>–</w:t>
      </w:r>
      <w:r w:rsidRPr="00CF35CE">
        <w:tab/>
        <w:t>atsižvelgdamas į Darbo tvarkos taisyklių 111 straipsnio 6 dalį,</w:t>
      </w:r>
    </w:p>
    <w:p w:rsidR="00D0031F" w:rsidRPr="00CF35CE" w:rsidRDefault="001871F5" w:rsidP="001871F5">
      <w:pPr>
        <w:pStyle w:val="NormalHanging12a"/>
      </w:pPr>
      <w:r w:rsidRPr="00CF35CE">
        <w:t>–</w:t>
      </w:r>
      <w:r w:rsidRPr="00CF35CE">
        <w:tab/>
        <w:t>atsižvelgdamas į Žemės ūkio ir kaimo plėtros komiteto rekomendaciją dėl sprendimo,</w:t>
      </w:r>
    </w:p>
    <w:p w:rsidR="001871F5" w:rsidRPr="00CF35CE" w:rsidRDefault="001871F5" w:rsidP="001871F5">
      <w:pPr>
        <w:pStyle w:val="NormalHanging12a"/>
      </w:pPr>
      <w:r w:rsidRPr="00CF35CE">
        <w:t>A.</w:t>
      </w:r>
      <w:r w:rsidRPr="00CF35CE">
        <w:tab/>
        <w:t xml:space="preserve">kadangi nuo 2023 m. sausio 1 d. valstybės narės įgyvendina savo BŽŪP strateginius planus, įskaitant įpareigojimą išlaikyti daugiamečių žolynų ir žemės ūkio paskirties žemės santykį, nustatytą Reglamento (ES) 2021/2115 III priede pateiktame 1-ajame </w:t>
      </w:r>
      <w:r w:rsidRPr="00CF35CE">
        <w:lastRenderedPageBreak/>
        <w:t>geros agrarinės ir aplinkosaugos būklės (GAAB) standarte (1 GAAB)</w:t>
      </w:r>
      <w:r w:rsidR="00835FC4">
        <w:t>;</w:t>
      </w:r>
    </w:p>
    <w:p w:rsidR="001871F5" w:rsidRPr="00CF35CE" w:rsidRDefault="001871F5" w:rsidP="001871F5">
      <w:pPr>
        <w:pStyle w:val="NormalHanging12a"/>
      </w:pPr>
      <w:r w:rsidRPr="00CF35CE">
        <w:t>B.</w:t>
      </w:r>
      <w:r w:rsidRPr="00CF35CE">
        <w:tab/>
        <w:t>kadangi GAAB įgyvendinimo pradžios įgyta patirtis rodo, kad šias taisykles reikia iš dalies pakeisti, kad ūkininkams nebūtų užkrauta neproporcinga našta, kai valstybių narių ūkininkavimo sistemų struktūriniai pokyčiai, kuriuos lemia rinkos persiorientavimas (pavyzdžiui, perėjimas nuo gyvulininkystės prie ariamosios žemdirbystės ir gyvulininkystės produkcijos sumažėjimas) daro didelį poveikį ūkininkų gebėjimui skirti tam tikrus plotus daugiamečiams žolynams kartu išlaikant gyvybingumą</w:t>
      </w:r>
      <w:r w:rsidR="00835FC4">
        <w:t>;</w:t>
      </w:r>
    </w:p>
    <w:p w:rsidR="001871F5" w:rsidRPr="00CF35CE" w:rsidRDefault="001871F5" w:rsidP="001871F5">
      <w:pPr>
        <w:pStyle w:val="NormalHanging12a"/>
      </w:pPr>
      <w:r w:rsidRPr="00CF35CE">
        <w:t>C.</w:t>
      </w:r>
      <w:r w:rsidRPr="00CF35CE">
        <w:tab/>
        <w:t>kadangi tam tikrais atvejais valstybėms narėms gali tekti paramos gavėjams nustatyti įpareigojimus pertvarkyti plotus į daugiamečius žolynus arba skirti jiems tam tikrus plotus, nors metinis santykis būna sumažėjęs dėl deklaruotų plotų svyravimų</w:t>
      </w:r>
      <w:r w:rsidR="00835FC4">
        <w:t>;</w:t>
      </w:r>
    </w:p>
    <w:p w:rsidR="001871F5" w:rsidRPr="00CF35CE" w:rsidRDefault="001871F5" w:rsidP="001871F5">
      <w:pPr>
        <w:pStyle w:val="NormalHanging12a"/>
      </w:pPr>
      <w:r w:rsidRPr="00CF35CE">
        <w:t>D.</w:t>
      </w:r>
      <w:r w:rsidRPr="00CF35CE">
        <w:tab/>
        <w:t>kadangi daugiamečių žolynų plotai gali būti įregistruojami Žemės sklypų identifikavimo sistemoje, tačiau konkrečiais metais ūkininkai jų nedeklaruoja tiesioginėms išmokoms gauti, o bendras žemės ūkio paskirties žemės plotas gali padidėti dėl papildomų ūkininkų deklaracijų</w:t>
      </w:r>
      <w:r w:rsidR="00835FC4">
        <w:t>;</w:t>
      </w:r>
    </w:p>
    <w:p w:rsidR="001871F5" w:rsidRPr="00CF35CE" w:rsidRDefault="001871F5" w:rsidP="001871F5">
      <w:pPr>
        <w:pStyle w:val="NormalHanging12a"/>
      </w:pPr>
      <w:r w:rsidRPr="00CF35CE">
        <w:t>E.</w:t>
      </w:r>
      <w:r w:rsidRPr="00CF35CE">
        <w:tab/>
        <w:t>kadangi tais atvejais, kai metinio santykio sumažėjimas viršija Reglamento (ES) 2021/2115 III priede nustatytą 5 % ribą ne dėl to, kad daugiamečių žolynų plotai paverčiami kitiems žemės ūkio tikslams skirta žeme, gali būti neproporcinga nustatyti ūkininkams įpareigojimus skirti daugiamečiams žolynams papildomus plotus</w:t>
      </w:r>
      <w:r w:rsidR="00835FC4">
        <w:t>;</w:t>
      </w:r>
    </w:p>
    <w:p w:rsidR="001871F5" w:rsidRPr="00CF35CE" w:rsidRDefault="001871F5" w:rsidP="001871F5">
      <w:pPr>
        <w:pStyle w:val="NormalHanging12a"/>
      </w:pPr>
      <w:r w:rsidRPr="00CF35CE">
        <w:t>F.</w:t>
      </w:r>
      <w:r w:rsidRPr="00CF35CE">
        <w:tab/>
        <w:t>kadangi yra tinkama suteikti tam tikro lankstumo, kartu užtikrinant, kad būtų pasiektas pagrindinis 1 GAAB tikslas turėti „[a]psaugos nuo žemės naudojimo paskirties keitimo kita naudojimo žemės ūkio reikmėms paskirtimi bendr[ąją] priemon[ę]“ ir kad būtų laikomasi Reglamento (ES) 2021/2115 III priede nustatyto santykio didžiausio sumažėjimo ribos</w:t>
      </w:r>
      <w:r w:rsidR="00835FC4">
        <w:t>;</w:t>
      </w:r>
    </w:p>
    <w:p w:rsidR="001871F5" w:rsidRPr="00CF35CE" w:rsidRDefault="001871F5" w:rsidP="001871F5">
      <w:pPr>
        <w:pStyle w:val="NormalHanging12a"/>
      </w:pPr>
      <w:r w:rsidRPr="00CF35CE">
        <w:t>G.</w:t>
      </w:r>
      <w:r w:rsidRPr="00CF35CE">
        <w:tab/>
        <w:t>kadangi dėl to Komisijos deleguotasis reglamentas (ES) 2022/126</w:t>
      </w:r>
      <w:r w:rsidRPr="00CF35CE">
        <w:rPr>
          <w:rStyle w:val="FootnoteReference"/>
          <w:color w:val="000000"/>
        </w:rPr>
        <w:footnoteReference w:id="2"/>
      </w:r>
      <w:r w:rsidRPr="00CF35CE">
        <w:t>, kuriuo nustatomos taisyklės dėl 1 GAAB santykio, turėtų būti iš dalies pakeistas;</w:t>
      </w:r>
    </w:p>
    <w:p w:rsidR="001871F5" w:rsidRPr="00CF35CE" w:rsidRDefault="001871F5" w:rsidP="001871F5">
      <w:pPr>
        <w:pStyle w:val="NormalHanging12a"/>
      </w:pPr>
      <w:r w:rsidRPr="00CF35CE">
        <w:t>1.</w:t>
      </w:r>
      <w:r w:rsidRPr="00CF35CE">
        <w:tab/>
        <w:t>pareiškia, kad neprieštarauja deleguotajam reglamentui;</w:t>
      </w:r>
    </w:p>
    <w:p w:rsidR="00E365E1" w:rsidRPr="00CF35CE" w:rsidRDefault="001871F5" w:rsidP="009368FB">
      <w:pPr>
        <w:ind w:left="567" w:hanging="567"/>
      </w:pPr>
      <w:r w:rsidRPr="00CF35CE">
        <w:t>2.</w:t>
      </w:r>
      <w:r w:rsidRPr="00CF35CE">
        <w:tab/>
        <w:t xml:space="preserve">paveda Pirmininkei perduoti šį sprendimą </w:t>
      </w:r>
      <w:r w:rsidR="00CF35CE" w:rsidRPr="00CF35CE">
        <w:t>Tarybai ir Komisijai.</w:t>
      </w:r>
      <w:bookmarkStart w:id="8" w:name="TextBodyEnd"/>
      <w:bookmarkEnd w:id="8"/>
    </w:p>
    <w:sectPr w:rsidR="00E365E1" w:rsidRPr="00CF35CE" w:rsidSect="00CF35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6C0" w:rsidRPr="00CF35CE" w:rsidRDefault="008E36C0">
      <w:r w:rsidRPr="00CF35CE">
        <w:separator/>
      </w:r>
    </w:p>
  </w:endnote>
  <w:endnote w:type="continuationSeparator" w:id="0">
    <w:p w:rsidR="008E36C0" w:rsidRPr="00CF35CE" w:rsidRDefault="008E36C0">
      <w:r w:rsidRPr="00CF35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6C0" w:rsidRPr="00CF35CE" w:rsidRDefault="008E36C0">
      <w:r w:rsidRPr="00CF35CE">
        <w:separator/>
      </w:r>
    </w:p>
  </w:footnote>
  <w:footnote w:type="continuationSeparator" w:id="0">
    <w:p w:rsidR="008E36C0" w:rsidRPr="00CF35CE" w:rsidRDefault="008E36C0">
      <w:r w:rsidRPr="00CF35CE">
        <w:continuationSeparator/>
      </w:r>
    </w:p>
  </w:footnote>
  <w:footnote w:id="1">
    <w:p w:rsidR="001871F5" w:rsidRPr="00CF35CE" w:rsidRDefault="001871F5" w:rsidP="00CF35CE">
      <w:pPr>
        <w:pStyle w:val="FootnoteText"/>
        <w:ind w:left="567" w:hanging="567"/>
        <w:rPr>
          <w:sz w:val="24"/>
          <w:lang w:val="lt-LT"/>
        </w:rPr>
      </w:pPr>
      <w:r w:rsidRPr="00CF35CE">
        <w:rPr>
          <w:rStyle w:val="FootnoteReference"/>
          <w:sz w:val="24"/>
          <w:lang w:val="lt-LT"/>
        </w:rPr>
        <w:footnoteRef/>
      </w:r>
      <w:r w:rsidR="00CF35CE" w:rsidRPr="00CF35CE">
        <w:rPr>
          <w:sz w:val="24"/>
          <w:lang w:val="lt-LT"/>
        </w:rPr>
        <w:t xml:space="preserve"> </w:t>
      </w:r>
      <w:r w:rsidR="00CF35CE" w:rsidRPr="00CF35CE">
        <w:rPr>
          <w:sz w:val="24"/>
          <w:lang w:val="lt-LT"/>
        </w:rPr>
        <w:tab/>
      </w:r>
      <w:r w:rsidRPr="00CF35CE">
        <w:rPr>
          <w:sz w:val="24"/>
          <w:lang w:val="lt-LT"/>
        </w:rPr>
        <w:t>OL</w:t>
      </w:r>
      <w:r w:rsidR="0070766C" w:rsidRPr="00CF35CE">
        <w:rPr>
          <w:sz w:val="24"/>
          <w:lang w:val="lt-LT"/>
        </w:rPr>
        <w:t> </w:t>
      </w:r>
      <w:r w:rsidRPr="00CF35CE">
        <w:rPr>
          <w:sz w:val="24"/>
          <w:lang w:val="lt-LT"/>
        </w:rPr>
        <w:t>L 435, 2021 12 6, p. 1.</w:t>
      </w:r>
    </w:p>
  </w:footnote>
  <w:footnote w:id="2">
    <w:p w:rsidR="001871F5" w:rsidRPr="00CF35CE" w:rsidRDefault="001871F5" w:rsidP="00CF35CE">
      <w:pPr>
        <w:pStyle w:val="FootnoteText"/>
        <w:ind w:left="567" w:hanging="567"/>
        <w:rPr>
          <w:sz w:val="24"/>
          <w:lang w:val="lt-LT"/>
        </w:rPr>
      </w:pPr>
      <w:r w:rsidRPr="00CF35CE">
        <w:rPr>
          <w:rStyle w:val="FootnoteReference"/>
          <w:sz w:val="24"/>
          <w:lang w:val="lt-LT"/>
        </w:rPr>
        <w:footnoteRef/>
      </w:r>
      <w:r w:rsidR="00CF35CE" w:rsidRPr="00CF35CE">
        <w:rPr>
          <w:sz w:val="24"/>
          <w:lang w:val="lt-LT"/>
        </w:rPr>
        <w:t xml:space="preserve"> </w:t>
      </w:r>
      <w:r w:rsidR="00CF35CE" w:rsidRPr="00CF35CE">
        <w:rPr>
          <w:sz w:val="24"/>
          <w:lang w:val="lt-LT"/>
        </w:rPr>
        <w:tab/>
      </w:r>
      <w:r w:rsidRPr="00CF35CE">
        <w:rPr>
          <w:sz w:val="24"/>
          <w:lang w:val="lt-LT"/>
        </w:rPr>
        <w:t>2021 m. gruodžio 7 d. Komisijos deleguotasis reglamentas (ES) 2022/126, kuriuo Europos Parlamento ir Tarybos reglamentas (ES) 2021/2115 papildomas tam tikroms intervencinių priemonių rūšims, kurias valstybės narės nurodė pagal tą reglamentą parengtuose 2023–2027 m. BŽŪP strateginiuose planuose, taikomais papildomais reikalavimais ir taisyklėmis dėl santykio, susijusio su 1-uoju geros agrarinės ir aplinkosaugos būklės (GAAB) standartu (OL L 20, 2022 1 31, p.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5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LT"/>
    <w:docVar w:name="dvnumam" w:val="0"/>
    <w:docVar w:name="dvpe" w:val="759.936"/>
    <w:docVar w:name="dvtitre" w:val="Europos Parlamento rezoliucija neprieštarauti 2024 m. kovo 12 d. Komisijos deleguotajam reglamentui, kuriuo iš dalies keičiamas Komisijos deleguotasis reglamentas (ES) 2022/126, kuriuo Europos Parlamento ir Tarybos reglamentas (ES) 2021/2115 papildomas taisyklėmis dėl 1-ojo geros agrarinės ir aplinkosaugos būklės (GAAB) standarto taisyklių(C(2024)01488 – 2024/2663(DEA))"/>
  </w:docVars>
  <w:rsids>
    <w:rsidRoot w:val="008E36C0"/>
    <w:rsid w:val="00002272"/>
    <w:rsid w:val="00064002"/>
    <w:rsid w:val="000677B9"/>
    <w:rsid w:val="000831BA"/>
    <w:rsid w:val="000A42CC"/>
    <w:rsid w:val="000B6098"/>
    <w:rsid w:val="000E7DD9"/>
    <w:rsid w:val="000F1A4E"/>
    <w:rsid w:val="0010095E"/>
    <w:rsid w:val="00125B37"/>
    <w:rsid w:val="001871F5"/>
    <w:rsid w:val="00187494"/>
    <w:rsid w:val="001F32AE"/>
    <w:rsid w:val="002767FF"/>
    <w:rsid w:val="00276EF3"/>
    <w:rsid w:val="002B18FE"/>
    <w:rsid w:val="002B5493"/>
    <w:rsid w:val="00343214"/>
    <w:rsid w:val="00361C00"/>
    <w:rsid w:val="00395FA1"/>
    <w:rsid w:val="003E15D4"/>
    <w:rsid w:val="0040615A"/>
    <w:rsid w:val="00411CCE"/>
    <w:rsid w:val="0041666E"/>
    <w:rsid w:val="00421060"/>
    <w:rsid w:val="0045674E"/>
    <w:rsid w:val="00471C19"/>
    <w:rsid w:val="00483AD4"/>
    <w:rsid w:val="004867E3"/>
    <w:rsid w:val="00494A28"/>
    <w:rsid w:val="004C0004"/>
    <w:rsid w:val="004C5D52"/>
    <w:rsid w:val="004F2FD1"/>
    <w:rsid w:val="0050519A"/>
    <w:rsid w:val="005072A1"/>
    <w:rsid w:val="00514517"/>
    <w:rsid w:val="00530D93"/>
    <w:rsid w:val="00545827"/>
    <w:rsid w:val="00560270"/>
    <w:rsid w:val="005C2568"/>
    <w:rsid w:val="005E076F"/>
    <w:rsid w:val="006037C0"/>
    <w:rsid w:val="006631B6"/>
    <w:rsid w:val="00680577"/>
    <w:rsid w:val="006E2012"/>
    <w:rsid w:val="006F74FA"/>
    <w:rsid w:val="0070766C"/>
    <w:rsid w:val="00731ADD"/>
    <w:rsid w:val="00734777"/>
    <w:rsid w:val="00747932"/>
    <w:rsid w:val="00751A4A"/>
    <w:rsid w:val="00756632"/>
    <w:rsid w:val="00762C74"/>
    <w:rsid w:val="00786EC0"/>
    <w:rsid w:val="007D1690"/>
    <w:rsid w:val="007E22AD"/>
    <w:rsid w:val="00817416"/>
    <w:rsid w:val="00835FC4"/>
    <w:rsid w:val="00842779"/>
    <w:rsid w:val="00865F67"/>
    <w:rsid w:val="00881A7B"/>
    <w:rsid w:val="008840E5"/>
    <w:rsid w:val="00887B3E"/>
    <w:rsid w:val="008C2AC6"/>
    <w:rsid w:val="008E36C0"/>
    <w:rsid w:val="00930C23"/>
    <w:rsid w:val="0093193B"/>
    <w:rsid w:val="009368F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1EA"/>
    <w:rsid w:val="00BD48FE"/>
    <w:rsid w:val="00BD7BD8"/>
    <w:rsid w:val="00BE6ADC"/>
    <w:rsid w:val="00C05BFE"/>
    <w:rsid w:val="00C23CD4"/>
    <w:rsid w:val="00C61C0C"/>
    <w:rsid w:val="00C941CB"/>
    <w:rsid w:val="00CC2357"/>
    <w:rsid w:val="00CF071A"/>
    <w:rsid w:val="00CF35CE"/>
    <w:rsid w:val="00D0031F"/>
    <w:rsid w:val="00D058B8"/>
    <w:rsid w:val="00D56C11"/>
    <w:rsid w:val="00D834A0"/>
    <w:rsid w:val="00D872DF"/>
    <w:rsid w:val="00D91E21"/>
    <w:rsid w:val="00DA7FCD"/>
    <w:rsid w:val="00DD2B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59E5D"/>
  <w15:chartTrackingRefBased/>
  <w15:docId w15:val="{CCE641EA-96ED-450F-BF30-203C9676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871F5"/>
    <w:pPr>
      <w:spacing w:after="240"/>
      <w:ind w:left="567" w:hanging="567"/>
    </w:pPr>
  </w:style>
  <w:style w:type="paragraph" w:styleId="BalloonText">
    <w:name w:val="Balloon Text"/>
    <w:basedOn w:val="Normal"/>
    <w:link w:val="BalloonTextChar"/>
    <w:rsid w:val="00D0031F"/>
    <w:rPr>
      <w:rFonts w:ascii="Segoe UI" w:hAnsi="Segoe UI" w:cs="Segoe UI"/>
      <w:sz w:val="18"/>
      <w:szCs w:val="18"/>
    </w:rPr>
  </w:style>
  <w:style w:type="character" w:customStyle="1" w:styleId="BalloonTextChar">
    <w:name w:val="Balloon Text Char"/>
    <w:basedOn w:val="DefaultParagraphFont"/>
    <w:link w:val="BalloonText"/>
    <w:rsid w:val="00D0031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A8223-B962-472C-B65F-4BDCAA64B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2024-04-24T10:04:00Z</dcterms:created>
  <dcterms:modified xsi:type="dcterms:W3CDTF">2024-04-24T10:04:00Z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B9-0199/2024</vt:lpwstr>
  </property>
  <property fmtid="{D5CDD505-2E9C-101B-9397-08002B2CF9AE}" pid="4" name="&lt;Type&gt;">
    <vt:lpwstr>RR</vt:lpwstr>
  </property>
</Properties>
</file>