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F13" w14:paraId="42FA9D90" w14:textId="77777777" w:rsidTr="0010095E">
        <w:trPr>
          <w:trHeight w:hRule="exact" w:val="1418"/>
        </w:trPr>
        <w:tc>
          <w:tcPr>
            <w:tcW w:w="6804" w:type="dxa"/>
            <w:shd w:val="clear" w:color="auto" w:fill="auto"/>
            <w:vAlign w:val="center"/>
          </w:tcPr>
          <w:p w14:paraId="6C220609" w14:textId="77777777" w:rsidR="00751A4A" w:rsidRPr="004C3F13" w:rsidRDefault="002704E5" w:rsidP="0010095E">
            <w:pPr>
              <w:pStyle w:val="EPName"/>
            </w:pPr>
            <w:r w:rsidRPr="004C3F13">
              <w:t>Eiropas Parlaments</w:t>
            </w:r>
          </w:p>
          <w:p w14:paraId="704E7317" w14:textId="77777777" w:rsidR="00751A4A" w:rsidRPr="004C3F13" w:rsidRDefault="00817416" w:rsidP="00756632">
            <w:pPr>
              <w:pStyle w:val="EPTerm"/>
              <w:rPr>
                <w:rStyle w:val="HideTWBExt"/>
                <w:noProof w:val="0"/>
                <w:vanish w:val="0"/>
                <w:color w:val="auto"/>
              </w:rPr>
            </w:pPr>
            <w:r w:rsidRPr="004C3F13">
              <w:t>2019-2024</w:t>
            </w:r>
          </w:p>
        </w:tc>
        <w:tc>
          <w:tcPr>
            <w:tcW w:w="2268" w:type="dxa"/>
            <w:shd w:val="clear" w:color="auto" w:fill="auto"/>
          </w:tcPr>
          <w:p w14:paraId="0CA221E2" w14:textId="77777777" w:rsidR="00751A4A" w:rsidRPr="004C3F13" w:rsidRDefault="00187494" w:rsidP="0010095E">
            <w:pPr>
              <w:pStyle w:val="EPLogo"/>
            </w:pPr>
            <w:r w:rsidRPr="004C3F13">
              <w:rPr>
                <w:noProof/>
                <w:lang w:val="en-GB"/>
              </w:rPr>
              <w:drawing>
                <wp:inline distT="0" distB="0" distL="0" distR="0" wp14:anchorId="15F11C56" wp14:editId="5DD8DE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7B7B93" w14:textId="77777777" w:rsidR="00D058B8" w:rsidRPr="004C3F13" w:rsidRDefault="00D058B8" w:rsidP="004C5D52">
      <w:pPr>
        <w:pStyle w:val="LineTop"/>
      </w:pPr>
    </w:p>
    <w:p w14:paraId="53407D35" w14:textId="77777777" w:rsidR="00680577" w:rsidRPr="004C3F13" w:rsidRDefault="002704E5" w:rsidP="00680577">
      <w:pPr>
        <w:pStyle w:val="EPBodyTA1"/>
      </w:pPr>
      <w:r w:rsidRPr="004C3F13">
        <w:t>PIEŅEMTIE TEKSTI</w:t>
      </w:r>
    </w:p>
    <w:p w14:paraId="6C104D0B" w14:textId="77777777" w:rsidR="00D058B8" w:rsidRPr="004C3F13" w:rsidRDefault="00D058B8" w:rsidP="00D058B8">
      <w:pPr>
        <w:pStyle w:val="LineBottom"/>
      </w:pPr>
    </w:p>
    <w:p w14:paraId="48688353" w14:textId="3F431950" w:rsidR="002704E5" w:rsidRPr="004C3F13" w:rsidRDefault="002704E5" w:rsidP="002704E5">
      <w:pPr>
        <w:pStyle w:val="ATHeading1"/>
      </w:pPr>
      <w:bookmarkStart w:id="0" w:name="TANumber"/>
      <w:r w:rsidRPr="004C3F13">
        <w:t>P9_TA(2024)0</w:t>
      </w:r>
      <w:r w:rsidR="00CC2F62">
        <w:t>29</w:t>
      </w:r>
      <w:bookmarkStart w:id="1" w:name="_GoBack"/>
      <w:bookmarkEnd w:id="1"/>
      <w:r w:rsidRPr="004C3F13">
        <w:t>0</w:t>
      </w:r>
      <w:bookmarkEnd w:id="0"/>
    </w:p>
    <w:p w14:paraId="6C82E962" w14:textId="509A1141" w:rsidR="002704E5" w:rsidRPr="004C3F13" w:rsidRDefault="006E6721" w:rsidP="002704E5">
      <w:pPr>
        <w:pStyle w:val="ATHeading2"/>
      </w:pPr>
      <w:r w:rsidRPr="004C3F13">
        <w:t>Iebildumu neizteikšana pret deleģēto aktu: noteikumi par īpatsvaru, ko piemēro LLVS 1. standarta vajadzībām</w:t>
      </w:r>
      <w:r w:rsidR="004A0184" w:rsidRPr="004C3F13">
        <w:t xml:space="preserve"> </w:t>
      </w:r>
    </w:p>
    <w:p w14:paraId="75403375" w14:textId="77777777" w:rsidR="002704E5" w:rsidRPr="004C3F13" w:rsidRDefault="002704E5" w:rsidP="002704E5">
      <w:pPr>
        <w:rPr>
          <w:i/>
          <w:vanish/>
        </w:rPr>
      </w:pPr>
      <w:r w:rsidRPr="004C3F13">
        <w:rPr>
          <w:i/>
        </w:rPr>
        <w:fldChar w:fldCharType="begin"/>
      </w:r>
      <w:r w:rsidRPr="004C3F13">
        <w:rPr>
          <w:i/>
        </w:rPr>
        <w:instrText xml:space="preserve"> TC"(</w:instrText>
      </w:r>
      <w:bookmarkStart w:id="2" w:name="DocNumber"/>
      <w:r w:rsidRPr="004C3F13">
        <w:rPr>
          <w:i/>
        </w:rPr>
        <w:instrText>B9-0199/2024</w:instrText>
      </w:r>
      <w:bookmarkEnd w:id="2"/>
      <w:r w:rsidRPr="004C3F13">
        <w:rPr>
          <w:i/>
        </w:rPr>
        <w:instrText xml:space="preserve">)"\l3 \n&gt; \* MERGEFORMAT </w:instrText>
      </w:r>
      <w:r w:rsidRPr="004C3F13">
        <w:rPr>
          <w:i/>
        </w:rPr>
        <w:fldChar w:fldCharType="end"/>
      </w:r>
    </w:p>
    <w:p w14:paraId="3B030E35" w14:textId="77777777" w:rsidR="002704E5" w:rsidRPr="004C3F13" w:rsidRDefault="002704E5" w:rsidP="002704E5">
      <w:pPr>
        <w:rPr>
          <w:vanish/>
        </w:rPr>
      </w:pPr>
      <w:bookmarkStart w:id="3" w:name="PE"/>
      <w:r w:rsidRPr="004C3F13">
        <w:rPr>
          <w:vanish/>
        </w:rPr>
        <w:t>PE759.936</w:t>
      </w:r>
      <w:bookmarkEnd w:id="3"/>
    </w:p>
    <w:p w14:paraId="7F44E715" w14:textId="3E79DBDD" w:rsidR="002704E5" w:rsidRPr="004C3F13" w:rsidRDefault="002704E5" w:rsidP="002704E5">
      <w:pPr>
        <w:pStyle w:val="ATHeading3"/>
      </w:pPr>
      <w:bookmarkStart w:id="4" w:name="Sujet"/>
      <w:r w:rsidRPr="004C3F13">
        <w:t xml:space="preserve">Eiropas Parlamenta 2024. gada </w:t>
      </w:r>
      <w:r w:rsidR="004A0184" w:rsidRPr="004C3F13">
        <w:t>23</w:t>
      </w:r>
      <w:r w:rsidRPr="004C3F13">
        <w:t xml:space="preserve">. </w:t>
      </w:r>
      <w:r w:rsidR="004A0184" w:rsidRPr="004C3F13">
        <w:t xml:space="preserve">aprīļa </w:t>
      </w:r>
      <w:r w:rsidRPr="004C3F13">
        <w:t xml:space="preserve">lēmums par iebildumu neizteikšanu pret Komisijas 2024. gada 12. marta deleģēto regulu, ar ko groza Komisijas Deleģēto regulu (ES) 2022/126, ar kuru Eiropas Parlamenta un Padomes Regulu (ES) 2021/2115 papildina ar noteikumiem par īpatsvaru, ko piemēro laba lauksaimnieciskā un </w:t>
      </w:r>
      <w:proofErr w:type="spellStart"/>
      <w:r w:rsidRPr="004C3F13">
        <w:t>vidiskā</w:t>
      </w:r>
      <w:proofErr w:type="spellEnd"/>
      <w:r w:rsidRPr="004C3F13">
        <w:t xml:space="preserve"> stāvokļa (LLVS) 1. standarta vajadzībām</w:t>
      </w:r>
      <w:bookmarkEnd w:id="4"/>
      <w:r w:rsidRPr="004C3F13">
        <w:t xml:space="preserve"> </w:t>
      </w:r>
      <w:bookmarkStart w:id="5" w:name="References"/>
      <w:r w:rsidRPr="004C3F13">
        <w:t>(C(2024)01488 – 2024/2663(DEA))</w:t>
      </w:r>
      <w:bookmarkEnd w:id="5"/>
    </w:p>
    <w:p w14:paraId="11621D0C" w14:textId="77777777" w:rsidR="008442F8" w:rsidRPr="004C3F13" w:rsidRDefault="008442F8" w:rsidP="008442F8">
      <w:pPr>
        <w:pStyle w:val="NormalBold"/>
      </w:pPr>
      <w:bookmarkStart w:id="6" w:name="TextBodyBegin"/>
      <w:bookmarkEnd w:id="6"/>
    </w:p>
    <w:p w14:paraId="7C01181E" w14:textId="77777777" w:rsidR="008442F8" w:rsidRPr="004C3F13" w:rsidRDefault="008442F8" w:rsidP="008442F8">
      <w:pPr>
        <w:pStyle w:val="NormalHanging12a"/>
        <w:rPr>
          <w:i/>
        </w:rPr>
      </w:pPr>
      <w:r w:rsidRPr="004C3F13">
        <w:rPr>
          <w:i/>
        </w:rPr>
        <w:t>Eiropas Parlaments,</w:t>
      </w:r>
    </w:p>
    <w:p w14:paraId="51073108" w14:textId="77777777" w:rsidR="008442F8" w:rsidRPr="004C3F13" w:rsidRDefault="008442F8" w:rsidP="008442F8">
      <w:pPr>
        <w:pStyle w:val="NormalHanging12a"/>
      </w:pPr>
      <w:r w:rsidRPr="004C3F13">
        <w:t>–</w:t>
      </w:r>
      <w:r w:rsidRPr="004C3F13">
        <w:tab/>
        <w:t>ņemot vērā Komisijas deleģēto regulu (C(2024)01488),</w:t>
      </w:r>
    </w:p>
    <w:p w14:paraId="1BF0DCBF" w14:textId="77777777" w:rsidR="008442F8" w:rsidRPr="004C3F13" w:rsidRDefault="008442F8" w:rsidP="008442F8">
      <w:pPr>
        <w:pStyle w:val="NormalHanging12a"/>
      </w:pPr>
      <w:r w:rsidRPr="004C3F13">
        <w:t>–</w:t>
      </w:r>
      <w:r w:rsidRPr="004C3F13">
        <w:tab/>
        <w:t>ņemot vērā Komisijas 2024. gada 12. marta vēstuli, kurā tā lūdz paziņot, ka Parlaments neizteiks iebildumus pret deleģēto regulu,</w:t>
      </w:r>
    </w:p>
    <w:p w14:paraId="025140E4" w14:textId="77777777" w:rsidR="008442F8" w:rsidRPr="004C3F13" w:rsidRDefault="008442F8" w:rsidP="008442F8">
      <w:pPr>
        <w:pStyle w:val="NormalHanging12a"/>
      </w:pPr>
      <w:r w:rsidRPr="004C3F13">
        <w:t>–</w:t>
      </w:r>
      <w:r w:rsidRPr="004C3F13">
        <w:tab/>
        <w:t>ņemot vērā Lauksaimniecības un lauku attīstības komitejas 2024. gada 19. marta vēstuli Komiteju priekšsēdētāju konferences priekšsēdētājam,</w:t>
      </w:r>
    </w:p>
    <w:p w14:paraId="02331278" w14:textId="77777777" w:rsidR="008442F8" w:rsidRPr="004C3F13" w:rsidRDefault="008442F8" w:rsidP="008442F8">
      <w:pPr>
        <w:pStyle w:val="NormalHanging12a"/>
      </w:pPr>
      <w:r w:rsidRPr="004C3F13">
        <w:t>–</w:t>
      </w:r>
      <w:r w:rsidRPr="004C3F13">
        <w:tab/>
        <w:t>ņemot vērā Līguma par Eiropas Savienības darbību 290. pantu,</w:t>
      </w:r>
    </w:p>
    <w:p w14:paraId="7C583C71" w14:textId="77777777" w:rsidR="008442F8" w:rsidRPr="004C3F13" w:rsidRDefault="008442F8" w:rsidP="008442F8">
      <w:pPr>
        <w:pStyle w:val="NormalHanging12a"/>
      </w:pPr>
      <w:r w:rsidRPr="004C3F13">
        <w:t>–</w:t>
      </w:r>
      <w:r w:rsidRPr="004C3F13">
        <w:tab/>
        <w:t>ņemot vērā Eiropas Parlamenta un Padomes Regulu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4C3F13">
        <w:rPr>
          <w:rStyle w:val="FootnoteReference"/>
          <w:color w:val="000000"/>
        </w:rPr>
        <w:footnoteReference w:id="1"/>
      </w:r>
      <w:r w:rsidRPr="004C3F13">
        <w:t>, un jo īpaši tās 13. panta 3. punktu un 152. panta 6. punktu,</w:t>
      </w:r>
    </w:p>
    <w:p w14:paraId="6013AA63" w14:textId="77777777" w:rsidR="008442F8" w:rsidRPr="004C3F13" w:rsidRDefault="008442F8" w:rsidP="008442F8">
      <w:pPr>
        <w:pStyle w:val="NormalHanging12a"/>
      </w:pPr>
      <w:r w:rsidRPr="004C3F13">
        <w:t>–</w:t>
      </w:r>
      <w:r w:rsidRPr="004C3F13">
        <w:tab/>
        <w:t>ņemot vērā Reglamenta 111. panta 6. punktu,</w:t>
      </w:r>
    </w:p>
    <w:p w14:paraId="6D7C8D86" w14:textId="77777777" w:rsidR="008442F8" w:rsidRPr="004C3F13" w:rsidRDefault="008442F8" w:rsidP="008442F8">
      <w:pPr>
        <w:pStyle w:val="NormalHanging12a"/>
      </w:pPr>
      <w:r w:rsidRPr="004C3F13">
        <w:t>–</w:t>
      </w:r>
      <w:r w:rsidRPr="004C3F13">
        <w:tab/>
        <w:t>ņemot vērā Lauksaimniecības un lauku attīstības komitejas ieteikumu lēmumam,</w:t>
      </w:r>
    </w:p>
    <w:p w14:paraId="6B9A4FA5" w14:textId="77777777" w:rsidR="008442F8" w:rsidRPr="004C3F13" w:rsidRDefault="008442F8" w:rsidP="008442F8">
      <w:pPr>
        <w:pStyle w:val="NormalHanging12a"/>
      </w:pPr>
      <w:r w:rsidRPr="004C3F13">
        <w:t>A.</w:t>
      </w:r>
      <w:r w:rsidRPr="004C3F13">
        <w:tab/>
        <w:t xml:space="preserve">tā kā kopš 2023. gada 1. janvāra dalībvalstis īsteno savus KLP stratēģiskos plānus, kuri ietver pienākumu uzturēt tādu ilggadīgo zālāju īpatsvaru pret lauksaimniecības platību, kāds Regulas (ES) 2021/2115 III pielikumā noteikts ar laba lauksaimnieciskā un </w:t>
      </w:r>
      <w:proofErr w:type="spellStart"/>
      <w:r w:rsidRPr="004C3F13">
        <w:t>vidiskā</w:t>
      </w:r>
      <w:proofErr w:type="spellEnd"/>
      <w:r w:rsidRPr="004C3F13">
        <w:t xml:space="preserve"> </w:t>
      </w:r>
      <w:r w:rsidRPr="004C3F13">
        <w:lastRenderedPageBreak/>
        <w:t>stāvokļa (LLVS) 1. standartu (“1. LLVS”);</w:t>
      </w:r>
    </w:p>
    <w:p w14:paraId="19EE608F" w14:textId="77777777" w:rsidR="008442F8" w:rsidRPr="004C3F13" w:rsidRDefault="008442F8" w:rsidP="008442F8">
      <w:pPr>
        <w:pStyle w:val="NormalHanging12a"/>
      </w:pPr>
      <w:r w:rsidRPr="004C3F13">
        <w:t>B.</w:t>
      </w:r>
      <w:r w:rsidRPr="004C3F13">
        <w:tab/>
        <w:t>tā kā 1. LLVS īstenošanas pieredze liecina, ka šie noteikumi jāgroza, lai lauksaimniekiem neuzliktu nesamērīgu slogu gadījumos, kad strukturālas izmaiņas, ko dalībvalstu lauksaimniecības sistēmās izraisījusi pārorientēšanās uz citiem tirgiem, piemēram, pāreja no lopkopības uz laukkopību un lopkopības apjoma samazināšana, būtiski ietekmē lauksaimnieku spēju izveidot ilggadīgos zālājus un vienlaikus saglabāt savas saimniecības dzīvotspēju;</w:t>
      </w:r>
    </w:p>
    <w:p w14:paraId="68FB0BEA" w14:textId="77777777" w:rsidR="008442F8" w:rsidRPr="004C3F13" w:rsidRDefault="008442F8" w:rsidP="008442F8">
      <w:pPr>
        <w:pStyle w:val="NormalHanging12a"/>
      </w:pPr>
      <w:r w:rsidRPr="004C3F13">
        <w:t>C.</w:t>
      </w:r>
      <w:r w:rsidRPr="004C3F13">
        <w:tab/>
        <w:t xml:space="preserve">tā kā var izveidoties situācijas, kurās dalībvalstīm nākas uzlikt </w:t>
      </w:r>
      <w:proofErr w:type="spellStart"/>
      <w:r w:rsidRPr="004C3F13">
        <w:t>labumguvējiem</w:t>
      </w:r>
      <w:proofErr w:type="spellEnd"/>
      <w:r w:rsidRPr="004C3F13">
        <w:t xml:space="preserve"> pienākumu pārveidot platības atpakaļ par ilggadīgajiem zālājiem vai izveidot jaunas ilggadīgo zālāju platības pat tad, ja ikgadējā īpatsvara samazinājumu izraisījušas deklarēto platību izmaiņas;</w:t>
      </w:r>
    </w:p>
    <w:p w14:paraId="0204F22B" w14:textId="77777777" w:rsidR="008442F8" w:rsidRPr="004C3F13" w:rsidRDefault="008442F8" w:rsidP="008442F8">
      <w:pPr>
        <w:pStyle w:val="NormalHanging12a"/>
      </w:pPr>
      <w:r w:rsidRPr="004C3F13">
        <w:t>D.</w:t>
      </w:r>
      <w:r w:rsidRPr="004C3F13">
        <w:tab/>
        <w:t>tā kā dažos gadījumos var būt tā, ka ilggadīgo zālāju platības ir reģistrētas zemesgabalu identifikācijas sistēmā, bet lauksaimnieks tās attiecīgajā gadā nav deklarējis tiešo maksājumu saņemšanai, vai ka kopējā lauksaimniecības platība ir palielinājusies lauksaimnieka sniegto papildu deklarāciju dēļ;</w:t>
      </w:r>
    </w:p>
    <w:p w14:paraId="12CB0D27" w14:textId="77777777" w:rsidR="008442F8" w:rsidRPr="004C3F13" w:rsidRDefault="008442F8" w:rsidP="008442F8">
      <w:pPr>
        <w:pStyle w:val="NormalHanging12a"/>
      </w:pPr>
      <w:r w:rsidRPr="004C3F13">
        <w:t>E.</w:t>
      </w:r>
      <w:r w:rsidRPr="004C3F13">
        <w:tab/>
        <w:t>tā kā šādās situācijās, kad ikgadējā īpatsvara samazinājums pārsniedz 5 % robežvērtību, kas noteikta Regulas (ES) 2021/2115 III pielikumā, un nav saistīts ar ilggadīgo zālāju platību pārveidošanu citiem lauksaimnieciskiem lietojumiem, varētu būt nesamērīgi likt lauksaimniekiem veidot ilggadīgo zālāju papildplatības;</w:t>
      </w:r>
    </w:p>
    <w:p w14:paraId="12C4471F" w14:textId="77777777" w:rsidR="008442F8" w:rsidRPr="004C3F13" w:rsidRDefault="008442F8" w:rsidP="008442F8">
      <w:pPr>
        <w:pStyle w:val="NormalHanging12a"/>
      </w:pPr>
      <w:r w:rsidRPr="004C3F13">
        <w:t>F.</w:t>
      </w:r>
      <w:r w:rsidRPr="004C3F13">
        <w:tab/>
        <w:t>tā kā ir lietderīgi atļaut zināmu elastību un vienlaikus jānodrošina atbilstība 1. LLVS galvenajam mērķim “Vispārēja aizsardzība pret pāreju uz citiem izmantošanas veidiem lauksaimniecībā, lai saglabātu oglekļa uzkrājumu” un Regulas (ES) 2021/2115 III pielikumā noteiktajam maksimālajam pieļaujamajam īpatsvara samazinājumam;</w:t>
      </w:r>
    </w:p>
    <w:p w14:paraId="0EE9325A" w14:textId="77777777" w:rsidR="008442F8" w:rsidRPr="004C3F13" w:rsidRDefault="008442F8" w:rsidP="008442F8">
      <w:pPr>
        <w:pStyle w:val="NormalHanging12a"/>
      </w:pPr>
      <w:r w:rsidRPr="004C3F13">
        <w:t>G.</w:t>
      </w:r>
      <w:r w:rsidRPr="004C3F13">
        <w:tab/>
        <w:t>tā kā tādēļ būtu jāgroza Komisijas Deleģētā regula (ES) 2022/126</w:t>
      </w:r>
      <w:r w:rsidRPr="004C3F13">
        <w:rPr>
          <w:rStyle w:val="FootnoteReference"/>
          <w:color w:val="000000"/>
        </w:rPr>
        <w:footnoteReference w:id="2"/>
      </w:r>
      <w:r w:rsidRPr="004C3F13">
        <w:t>, ar ko paredz noteikumus par īpatsvaru LLVS 1. standarta vajadzībām;</w:t>
      </w:r>
    </w:p>
    <w:p w14:paraId="233D621E" w14:textId="77777777" w:rsidR="008442F8" w:rsidRPr="004C3F13" w:rsidRDefault="008442F8" w:rsidP="008442F8">
      <w:pPr>
        <w:pStyle w:val="NormalHanging12a"/>
      </w:pPr>
      <w:r w:rsidRPr="004C3F13">
        <w:t>1.</w:t>
      </w:r>
      <w:r w:rsidRPr="004C3F13">
        <w:tab/>
        <w:t>paziņo, ka tas neizsaka iebildumus pret deleģēto regulu;</w:t>
      </w:r>
    </w:p>
    <w:p w14:paraId="04E9CDF4" w14:textId="77777777" w:rsidR="008442F8" w:rsidRPr="004C3F13" w:rsidRDefault="008442F8" w:rsidP="008442F8">
      <w:pPr>
        <w:pStyle w:val="NormalHanging12a"/>
        <w:rPr>
          <w:szCs w:val="24"/>
        </w:rPr>
      </w:pPr>
      <w:r w:rsidRPr="004C3F13">
        <w:t>2.</w:t>
      </w:r>
      <w:r w:rsidRPr="004C3F13">
        <w:tab/>
        <w:t>uzdod priekšsēdētājai šo lēmumu nosūtīt Padomei un Komisijai.</w:t>
      </w:r>
    </w:p>
    <w:p w14:paraId="188EADD5" w14:textId="77777777" w:rsidR="00E365E1" w:rsidRPr="004C3F13" w:rsidRDefault="00E365E1" w:rsidP="002704E5">
      <w:bookmarkStart w:id="7" w:name="TextBodyEnd"/>
      <w:bookmarkEnd w:id="7"/>
    </w:p>
    <w:sectPr w:rsidR="00E365E1" w:rsidRPr="004C3F13" w:rsidSect="000711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21832" w14:textId="77777777" w:rsidR="002704E5" w:rsidRPr="0007111D" w:rsidRDefault="002704E5">
      <w:r w:rsidRPr="0007111D">
        <w:separator/>
      </w:r>
    </w:p>
  </w:endnote>
  <w:endnote w:type="continuationSeparator" w:id="0">
    <w:p w14:paraId="45DEA5D6" w14:textId="77777777" w:rsidR="002704E5" w:rsidRPr="0007111D" w:rsidRDefault="002704E5">
      <w:r w:rsidRPr="000711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ED4ED" w14:textId="77777777" w:rsidR="00064002" w:rsidRPr="000711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88FA1" w14:textId="77777777" w:rsidR="00064002" w:rsidRPr="000711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B756A" w14:textId="77777777" w:rsidR="00064002" w:rsidRPr="000711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80F57" w14:textId="77777777" w:rsidR="002704E5" w:rsidRPr="0007111D" w:rsidRDefault="002704E5">
      <w:r w:rsidRPr="0007111D">
        <w:separator/>
      </w:r>
    </w:p>
  </w:footnote>
  <w:footnote w:type="continuationSeparator" w:id="0">
    <w:p w14:paraId="33FD7D33" w14:textId="77777777" w:rsidR="002704E5" w:rsidRPr="0007111D" w:rsidRDefault="002704E5">
      <w:r w:rsidRPr="0007111D">
        <w:continuationSeparator/>
      </w:r>
    </w:p>
  </w:footnote>
  <w:footnote w:id="1">
    <w:p w14:paraId="609FEBA9" w14:textId="4EEA8067" w:rsidR="008442F8" w:rsidRPr="0007111D" w:rsidRDefault="008442F8" w:rsidP="0007111D">
      <w:pPr>
        <w:pStyle w:val="FootnoteText"/>
        <w:ind w:left="567" w:hanging="567"/>
        <w:rPr>
          <w:sz w:val="24"/>
          <w:lang w:val="lv-LV"/>
        </w:rPr>
      </w:pPr>
      <w:r w:rsidRPr="0007111D">
        <w:rPr>
          <w:rStyle w:val="FootnoteReference"/>
          <w:sz w:val="24"/>
          <w:lang w:val="lv-LV"/>
        </w:rPr>
        <w:footnoteRef/>
      </w:r>
      <w:r w:rsidR="0007111D" w:rsidRPr="0007111D">
        <w:rPr>
          <w:sz w:val="24"/>
          <w:lang w:val="lv-LV"/>
        </w:rPr>
        <w:t xml:space="preserve"> </w:t>
      </w:r>
      <w:r w:rsidR="0007111D" w:rsidRPr="0007111D">
        <w:rPr>
          <w:sz w:val="24"/>
          <w:lang w:val="lv-LV"/>
        </w:rPr>
        <w:tab/>
      </w:r>
      <w:r w:rsidRPr="0007111D">
        <w:rPr>
          <w:sz w:val="24"/>
          <w:lang w:val="lv-LV"/>
        </w:rPr>
        <w:t>OV L 435, 6.12.2021., 1. lpp.</w:t>
      </w:r>
    </w:p>
  </w:footnote>
  <w:footnote w:id="2">
    <w:p w14:paraId="7220A94E" w14:textId="77777777" w:rsidR="008442F8" w:rsidRPr="006E6721" w:rsidRDefault="008442F8" w:rsidP="006E6721">
      <w:pPr>
        <w:pStyle w:val="FootnoteText"/>
        <w:ind w:left="567" w:hanging="567"/>
        <w:rPr>
          <w:sz w:val="24"/>
          <w:vertAlign w:val="superscript"/>
          <w:lang w:val="lv-LV"/>
        </w:rPr>
      </w:pPr>
      <w:r w:rsidRPr="0007111D">
        <w:rPr>
          <w:rStyle w:val="FootnoteReference"/>
          <w:sz w:val="24"/>
          <w:lang w:val="lv-LV"/>
        </w:rPr>
        <w:footnoteRef/>
      </w:r>
      <w:r w:rsidR="0007111D" w:rsidRPr="0007111D">
        <w:rPr>
          <w:sz w:val="24"/>
          <w:lang w:val="lv-LV"/>
        </w:rPr>
        <w:t xml:space="preserve"> </w:t>
      </w:r>
      <w:r w:rsidR="0007111D" w:rsidRPr="0007111D">
        <w:rPr>
          <w:sz w:val="24"/>
          <w:lang w:val="lv-LV"/>
        </w:rPr>
        <w:tab/>
      </w:r>
      <w:r w:rsidRPr="0007111D">
        <w:rPr>
          <w:sz w:val="24"/>
          <w:lang w:val="lv-LV"/>
        </w:rPr>
        <w:t xml:space="preserve">Komisijas Deleģētā regula (ES) 2022/126 (2021. gada 7. decembris),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Pr="0007111D">
        <w:rPr>
          <w:sz w:val="24"/>
          <w:lang w:val="lv-LV"/>
        </w:rPr>
        <w:t>vidiskā</w:t>
      </w:r>
      <w:proofErr w:type="spellEnd"/>
      <w:r w:rsidRPr="0007111D">
        <w:rPr>
          <w:sz w:val="24"/>
          <w:lang w:val="lv-LV"/>
        </w:rPr>
        <w:t xml:space="preserve"> stāvokļa (LLVS) 1. standarta vajadzībām (OV L 20, 31.1.2022., 52.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886EF" w14:textId="77777777" w:rsidR="00064002" w:rsidRPr="000711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B439D" w14:textId="77777777" w:rsidR="00064002" w:rsidRPr="000711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073CC" w14:textId="77777777" w:rsidR="00064002" w:rsidRPr="000711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LV"/>
    <w:docVar w:name="dvnumam" w:val="0"/>
    <w:docVar w:name="dvpe" w:val="759.936"/>
    <w:docVar w:name="dvtitre" w:val="Eiropas Parlamenta 2024. gada XX. XXX lēmums par iebildumu neizteikšanu pret Komisijas 2024. gada 12. marta deleģēto regulu, ar ko groza Komisijas Deleģēto regulu (ES) 2022/126, ar kuru Eiropas Parlamenta un Padomes Regulu (ES) 2021/2115 papildina ar noteikumiem par īpatsvaru, ko piemēro laba lauksaimnieciskā un vidiskā stāvokļa (LLVS) 1. standarta vajadzībām(C(2024)01488 – 2024/2663(DEA))"/>
  </w:docVars>
  <w:rsids>
    <w:rsidRoot w:val="002704E5"/>
    <w:rsid w:val="00002272"/>
    <w:rsid w:val="00064002"/>
    <w:rsid w:val="000677B9"/>
    <w:rsid w:val="0007111D"/>
    <w:rsid w:val="000831BA"/>
    <w:rsid w:val="000A42CC"/>
    <w:rsid w:val="000E7DD9"/>
    <w:rsid w:val="0010095E"/>
    <w:rsid w:val="00125B37"/>
    <w:rsid w:val="00187494"/>
    <w:rsid w:val="001F32AE"/>
    <w:rsid w:val="002704E5"/>
    <w:rsid w:val="002767FF"/>
    <w:rsid w:val="002B18FE"/>
    <w:rsid w:val="002B5493"/>
    <w:rsid w:val="00343214"/>
    <w:rsid w:val="00361C00"/>
    <w:rsid w:val="00395FA1"/>
    <w:rsid w:val="003E15D4"/>
    <w:rsid w:val="00411CCE"/>
    <w:rsid w:val="0041666E"/>
    <w:rsid w:val="00421060"/>
    <w:rsid w:val="00471C19"/>
    <w:rsid w:val="004725AA"/>
    <w:rsid w:val="004867E3"/>
    <w:rsid w:val="00494A28"/>
    <w:rsid w:val="004A0184"/>
    <w:rsid w:val="004C0004"/>
    <w:rsid w:val="004C3F13"/>
    <w:rsid w:val="004C5D52"/>
    <w:rsid w:val="004E2254"/>
    <w:rsid w:val="0050519A"/>
    <w:rsid w:val="005072A1"/>
    <w:rsid w:val="00514517"/>
    <w:rsid w:val="00545827"/>
    <w:rsid w:val="00560270"/>
    <w:rsid w:val="005C2568"/>
    <w:rsid w:val="006037C0"/>
    <w:rsid w:val="006631B6"/>
    <w:rsid w:val="00680577"/>
    <w:rsid w:val="006E6721"/>
    <w:rsid w:val="006F74FA"/>
    <w:rsid w:val="00731ADD"/>
    <w:rsid w:val="00734777"/>
    <w:rsid w:val="00747932"/>
    <w:rsid w:val="00751A4A"/>
    <w:rsid w:val="00756632"/>
    <w:rsid w:val="00762C74"/>
    <w:rsid w:val="00786EC0"/>
    <w:rsid w:val="007D1690"/>
    <w:rsid w:val="007E22AD"/>
    <w:rsid w:val="00817416"/>
    <w:rsid w:val="00842779"/>
    <w:rsid w:val="008442F8"/>
    <w:rsid w:val="00865F67"/>
    <w:rsid w:val="00881A7B"/>
    <w:rsid w:val="008840E5"/>
    <w:rsid w:val="00887B3E"/>
    <w:rsid w:val="008B291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F6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12ECA"/>
  <w15:chartTrackingRefBased/>
  <w15:docId w15:val="{F613FAB5-0867-4A77-9DD0-1D9CC8F4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442F8"/>
    <w:rPr>
      <w:b/>
    </w:rPr>
  </w:style>
  <w:style w:type="paragraph" w:customStyle="1" w:styleId="NormalHanging12a">
    <w:name w:val="NormalHanging12a"/>
    <w:basedOn w:val="Normal"/>
    <w:rsid w:val="008442F8"/>
    <w:pPr>
      <w:spacing w:after="240"/>
      <w:ind w:left="567" w:hanging="567"/>
    </w:pPr>
  </w:style>
  <w:style w:type="character" w:styleId="CommentReference">
    <w:name w:val="annotation reference"/>
    <w:basedOn w:val="DefaultParagraphFont"/>
    <w:rsid w:val="006E6721"/>
    <w:rPr>
      <w:sz w:val="16"/>
      <w:szCs w:val="16"/>
    </w:rPr>
  </w:style>
  <w:style w:type="paragraph" w:styleId="CommentText">
    <w:name w:val="annotation text"/>
    <w:basedOn w:val="Normal"/>
    <w:link w:val="CommentTextChar"/>
    <w:rsid w:val="006E6721"/>
    <w:rPr>
      <w:sz w:val="20"/>
      <w:lang w:val="en-GB"/>
    </w:rPr>
  </w:style>
  <w:style w:type="character" w:customStyle="1" w:styleId="CommentTextChar">
    <w:name w:val="Comment Text Char"/>
    <w:basedOn w:val="DefaultParagraphFont"/>
    <w:link w:val="CommentText"/>
    <w:rsid w:val="006E6721"/>
  </w:style>
  <w:style w:type="paragraph" w:styleId="BalloonText">
    <w:name w:val="Balloon Text"/>
    <w:basedOn w:val="Normal"/>
    <w:link w:val="BalloonTextChar"/>
    <w:rsid w:val="006E6721"/>
    <w:rPr>
      <w:rFonts w:ascii="Segoe UI" w:hAnsi="Segoe UI" w:cs="Segoe UI"/>
      <w:sz w:val="18"/>
      <w:szCs w:val="18"/>
    </w:rPr>
  </w:style>
  <w:style w:type="character" w:customStyle="1" w:styleId="BalloonTextChar">
    <w:name w:val="Balloon Text Char"/>
    <w:basedOn w:val="DefaultParagraphFont"/>
    <w:link w:val="BalloonText"/>
    <w:rsid w:val="006E672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8E43F-FCE3-4A37-956B-22C884D6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2024-04-23T12:34:00Z</dcterms:created>
  <dcterms:modified xsi:type="dcterms:W3CDTF">2024-04-23T12:34:00Z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B9-0199/2024</vt:lpwstr>
  </property>
  <property fmtid="{D5CDD505-2E9C-101B-9397-08002B2CF9AE}" pid="4" name="&lt;Type&gt;">
    <vt:lpwstr>RR</vt:lpwstr>
  </property>
</Properties>
</file>