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0A95" w:rsidTr="0010095E">
        <w:trPr>
          <w:trHeight w:hRule="exact" w:val="1418"/>
        </w:trPr>
        <w:tc>
          <w:tcPr>
            <w:tcW w:w="6804" w:type="dxa"/>
            <w:shd w:val="clear" w:color="auto" w:fill="auto"/>
            <w:vAlign w:val="center"/>
          </w:tcPr>
          <w:p w:rsidR="00751A4A" w:rsidRPr="007E0A95" w:rsidRDefault="00CD5DDC" w:rsidP="0010095E">
            <w:pPr>
              <w:pStyle w:val="EPName"/>
            </w:pPr>
            <w:bookmarkStart w:id="0" w:name="_GoBack"/>
            <w:bookmarkEnd w:id="0"/>
            <w:r w:rsidRPr="007E0A95">
              <w:t>Parlamentul European</w:t>
            </w:r>
          </w:p>
          <w:p w:rsidR="00751A4A" w:rsidRPr="007E0A95" w:rsidRDefault="00817416" w:rsidP="00756632">
            <w:pPr>
              <w:pStyle w:val="EPTerm"/>
              <w:rPr>
                <w:rStyle w:val="HideTWBExt"/>
                <w:noProof w:val="0"/>
                <w:vanish w:val="0"/>
                <w:color w:val="auto"/>
              </w:rPr>
            </w:pPr>
            <w:r w:rsidRPr="007E0A95">
              <w:t>2019-2024</w:t>
            </w:r>
          </w:p>
        </w:tc>
        <w:tc>
          <w:tcPr>
            <w:tcW w:w="2268" w:type="dxa"/>
            <w:shd w:val="clear" w:color="auto" w:fill="auto"/>
          </w:tcPr>
          <w:p w:rsidR="00751A4A" w:rsidRPr="007E0A95" w:rsidRDefault="00187494" w:rsidP="0010095E">
            <w:pPr>
              <w:pStyle w:val="EPLogo"/>
            </w:pPr>
            <w:r w:rsidRPr="007E0A95">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0A95" w:rsidRDefault="00D058B8" w:rsidP="004C5D52">
      <w:pPr>
        <w:pStyle w:val="LineTop"/>
      </w:pPr>
    </w:p>
    <w:p w:rsidR="00680577" w:rsidRPr="007E0A95" w:rsidRDefault="00CD5DDC" w:rsidP="00680577">
      <w:pPr>
        <w:pStyle w:val="EPBodyTA1"/>
      </w:pPr>
      <w:r w:rsidRPr="007E0A95">
        <w:t>TEXTE ADOPTATE</w:t>
      </w:r>
    </w:p>
    <w:p w:rsidR="00D058B8" w:rsidRPr="007E0A95" w:rsidRDefault="00D058B8" w:rsidP="00D058B8">
      <w:pPr>
        <w:pStyle w:val="LineBottom"/>
      </w:pPr>
    </w:p>
    <w:p w:rsidR="00CD5DDC" w:rsidRPr="007E0A95" w:rsidRDefault="00CD5DDC" w:rsidP="00CD5DDC">
      <w:pPr>
        <w:pStyle w:val="ATHeading1"/>
      </w:pPr>
      <w:bookmarkStart w:id="1" w:name="TANumber"/>
      <w:r w:rsidRPr="007E0A95">
        <w:t>P9_TA(2024)0</w:t>
      </w:r>
      <w:bookmarkEnd w:id="1"/>
      <w:r w:rsidR="007E0A95" w:rsidRPr="007E0A95">
        <w:t>290</w:t>
      </w:r>
    </w:p>
    <w:p w:rsidR="00CD5DDC" w:rsidRPr="007E0A95" w:rsidRDefault="00CD5DDC" w:rsidP="00CD5DDC">
      <w:pPr>
        <w:pStyle w:val="ATHeading2"/>
      </w:pPr>
      <w:bookmarkStart w:id="2" w:name="title"/>
      <w:r w:rsidRPr="007E0A95">
        <w:t>Recomandare de decizie de a nu se opune unui act delegat: normele privind raportul pentru standardul GAEC 1</w:t>
      </w:r>
      <w:bookmarkEnd w:id="2"/>
    </w:p>
    <w:p w:rsidR="00CD5DDC" w:rsidRPr="007E0A95" w:rsidRDefault="00CD5DDC" w:rsidP="00CD5DDC">
      <w:pPr>
        <w:rPr>
          <w:i/>
          <w:vanish/>
        </w:rPr>
      </w:pPr>
      <w:r w:rsidRPr="007E0A95">
        <w:rPr>
          <w:i/>
        </w:rPr>
        <w:fldChar w:fldCharType="begin"/>
      </w:r>
      <w:r w:rsidRPr="007E0A95">
        <w:rPr>
          <w:i/>
        </w:rPr>
        <w:instrText xml:space="preserve"> TC"(</w:instrText>
      </w:r>
      <w:bookmarkStart w:id="3" w:name="DocNumber"/>
      <w:r w:rsidRPr="007E0A95">
        <w:rPr>
          <w:i/>
        </w:rPr>
        <w:instrText>B9-0199/2024</w:instrText>
      </w:r>
      <w:bookmarkEnd w:id="3"/>
      <w:r w:rsidRPr="007E0A95">
        <w:rPr>
          <w:i/>
        </w:rPr>
        <w:instrText xml:space="preserve">)"\l3 \n&gt; \* MERGEFORMAT </w:instrText>
      </w:r>
      <w:r w:rsidRPr="007E0A95">
        <w:rPr>
          <w:i/>
        </w:rPr>
        <w:fldChar w:fldCharType="end"/>
      </w:r>
    </w:p>
    <w:p w:rsidR="00CD5DDC" w:rsidRPr="007E0A95" w:rsidRDefault="00CD5DDC" w:rsidP="00CD5DDC">
      <w:pPr>
        <w:rPr>
          <w:vanish/>
        </w:rPr>
      </w:pPr>
      <w:bookmarkStart w:id="4" w:name="PE"/>
      <w:r w:rsidRPr="007E0A95">
        <w:rPr>
          <w:vanish/>
        </w:rPr>
        <w:t>PE759.936</w:t>
      </w:r>
      <w:bookmarkEnd w:id="4"/>
    </w:p>
    <w:p w:rsidR="00CD5DDC" w:rsidRPr="007E0A95" w:rsidRDefault="00CD5DDC" w:rsidP="00CD5DDC">
      <w:pPr>
        <w:pStyle w:val="ATHeading3"/>
      </w:pPr>
      <w:bookmarkStart w:id="5" w:name="Sujet"/>
      <w:r w:rsidRPr="007E0A95">
        <w:t>Decizia Parlamentului European din 23 aprilie 2024 de a nu formula obiecții la Regulamentul delegat al Comisiei din 12 martie 2024 de modificare a Regulamentului delegat (UE) 2022/126 al Comisiei de completare a Regulamentului (UE) 2021/2115 al Parlamentului European și al Consiliului în ceea ce privește normele privind raportul pentru standardul privind bunele condiții agricole și de mediu (GAEC) 1</w:t>
      </w:r>
      <w:bookmarkEnd w:id="5"/>
      <w:r w:rsidRPr="007E0A95">
        <w:t xml:space="preserve"> </w:t>
      </w:r>
      <w:bookmarkStart w:id="6" w:name="References"/>
      <w:r w:rsidRPr="007E0A95">
        <w:t>(C(2024)01488 – 2024/2663(DEA))</w:t>
      </w:r>
      <w:bookmarkEnd w:id="6"/>
    </w:p>
    <w:p w:rsidR="00CD5DDC" w:rsidRPr="007E0A95" w:rsidRDefault="00CD5DDC" w:rsidP="00CD5DDC"/>
    <w:p w:rsidR="00995E57" w:rsidRPr="007E0A95" w:rsidRDefault="00995E57" w:rsidP="00995E57">
      <w:pPr>
        <w:pStyle w:val="NormalHanging12a"/>
        <w:rPr>
          <w:i/>
        </w:rPr>
      </w:pPr>
      <w:bookmarkStart w:id="7" w:name="TextBodyBegin"/>
      <w:bookmarkEnd w:id="7"/>
      <w:r w:rsidRPr="007E0A95">
        <w:rPr>
          <w:i/>
        </w:rPr>
        <w:t>Parlamentul European,</w:t>
      </w:r>
    </w:p>
    <w:p w:rsidR="00995E57" w:rsidRPr="007E0A95" w:rsidRDefault="00995E57" w:rsidP="00995E57">
      <w:pPr>
        <w:pStyle w:val="NormalHanging12a"/>
      </w:pPr>
      <w:r w:rsidRPr="007E0A95">
        <w:t>–</w:t>
      </w:r>
      <w:r w:rsidRPr="007E0A95">
        <w:tab/>
        <w:t>având în vedere regulamentul delegat al Comisiei (C(2024)01488),</w:t>
      </w:r>
    </w:p>
    <w:p w:rsidR="00995E57" w:rsidRPr="007E0A95" w:rsidRDefault="00995E57" w:rsidP="00995E57">
      <w:pPr>
        <w:pStyle w:val="NormalHanging12a"/>
      </w:pPr>
      <w:r w:rsidRPr="007E0A95">
        <w:t>–</w:t>
      </w:r>
      <w:r w:rsidRPr="007E0A95">
        <w:tab/>
        <w:t>având în vedere scrisoarea Comisiei din 12 martie 2024, care îi solicită Parlamentului să declare că nu va formula obiecții la regulamentul delegat,</w:t>
      </w:r>
    </w:p>
    <w:p w:rsidR="00995E57" w:rsidRPr="007E0A95" w:rsidRDefault="00995E57" w:rsidP="00995E57">
      <w:pPr>
        <w:pStyle w:val="NormalHanging12a"/>
      </w:pPr>
      <w:r w:rsidRPr="007E0A95">
        <w:t>–</w:t>
      </w:r>
      <w:r w:rsidRPr="007E0A95">
        <w:tab/>
        <w:t>având în vedere scrisoarea Comisiei pentru agricultură și dezvoltare rurală trimisă președintelui Conferinței președinților de comisie la 19 martie 2024,</w:t>
      </w:r>
    </w:p>
    <w:p w:rsidR="00995E57" w:rsidRPr="007E0A95" w:rsidRDefault="00995E57" w:rsidP="00995E57">
      <w:pPr>
        <w:pStyle w:val="NormalHanging12a"/>
      </w:pPr>
      <w:r w:rsidRPr="007E0A95">
        <w:t>–</w:t>
      </w:r>
      <w:r w:rsidRPr="007E0A95">
        <w:tab/>
        <w:t>având în vedere articolul 290 din Tratatul privind funcționarea Uniunii Europene,</w:t>
      </w:r>
    </w:p>
    <w:p w:rsidR="00995E57" w:rsidRPr="007E0A95" w:rsidRDefault="00995E57" w:rsidP="00995E57">
      <w:pPr>
        <w:pStyle w:val="NormalHanging12a"/>
      </w:pPr>
      <w:r w:rsidRPr="007E0A95">
        <w:t>–</w:t>
      </w:r>
      <w:r w:rsidRPr="007E0A95">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7E0A95">
        <w:rPr>
          <w:rStyle w:val="FootnoteReference"/>
          <w:color w:val="000000"/>
        </w:rPr>
        <w:footnoteReference w:id="1"/>
      </w:r>
      <w:r w:rsidRPr="007E0A95">
        <w:t>, în special articolul 13 alineatul (3) și articolul 152 alineatul (6),</w:t>
      </w:r>
    </w:p>
    <w:p w:rsidR="00995E57" w:rsidRPr="007E0A95" w:rsidRDefault="00995E57" w:rsidP="00995E57">
      <w:pPr>
        <w:pStyle w:val="NormalHanging12a"/>
      </w:pPr>
      <w:r w:rsidRPr="007E0A95">
        <w:t>–</w:t>
      </w:r>
      <w:r w:rsidRPr="007E0A95">
        <w:tab/>
        <w:t>având în vedere articolul 111 alineatul (6) din Regulamentul său de procedură,</w:t>
      </w:r>
    </w:p>
    <w:p w:rsidR="00995E57" w:rsidRPr="007E0A95" w:rsidRDefault="00995E57" w:rsidP="00995E57">
      <w:pPr>
        <w:pStyle w:val="NormalHanging12a"/>
      </w:pPr>
      <w:r w:rsidRPr="007E0A95">
        <w:t>–</w:t>
      </w:r>
      <w:r w:rsidRPr="007E0A95">
        <w:tab/>
        <w:t>având în vedere recomandarea de decizie a Comisiei pentru agricultură și dezvoltare rurală,</w:t>
      </w:r>
    </w:p>
    <w:p w:rsidR="00995E57" w:rsidRPr="007E0A95" w:rsidRDefault="00995E57" w:rsidP="00995E57">
      <w:pPr>
        <w:pStyle w:val="NormalHanging12a"/>
      </w:pPr>
      <w:r w:rsidRPr="007E0A95">
        <w:t>A.</w:t>
      </w:r>
      <w:r w:rsidRPr="007E0A95">
        <w:tab/>
        <w:t>întrucât începând cu 1 ianuarie 2023, statele membre pun în aplicare planurile strategice PAC, inclusiv obligația de a menține un raport proporțional între pajiștile permanente și suprafața agricolă, astfel cum se prevede în cadrul standardului GAEC 1 privind bunele condiții agricole și de mediu ale terenurilor („GAEC 1”) din anexa III la Regulamentul (UE) 2021/2115;</w:t>
      </w:r>
    </w:p>
    <w:p w:rsidR="00995E57" w:rsidRPr="007E0A95" w:rsidRDefault="00995E57" w:rsidP="00995E57">
      <w:pPr>
        <w:pStyle w:val="NormalHanging12a"/>
      </w:pPr>
      <w:r w:rsidRPr="007E0A95">
        <w:t>B.</w:t>
      </w:r>
      <w:r w:rsidRPr="007E0A95">
        <w:tab/>
        <w:t>întrucât experiența dobândită de la începutul punerii în aplicare a GAEC 1 arată că aceste norme trebuie modificate pentru a se evita impunerea unei sarcini disproporționate asupra fermierilor în situația în care modificările structurale ale sistemelor agricole ale statelor membre cauzate de reorientarea pieței, cum ar fi trecerea de la producția animalieră la cultivarea terenurilor arabile și reducerea producției animaliere, au un impact substanțial asupra capacității fermierilor de a stabili pajiști permanente, menținându-și în același timp viabilitatea;</w:t>
      </w:r>
    </w:p>
    <w:p w:rsidR="00995E57" w:rsidRPr="007E0A95" w:rsidRDefault="00995E57" w:rsidP="00995E57">
      <w:pPr>
        <w:pStyle w:val="NormalHanging12a"/>
      </w:pPr>
      <w:r w:rsidRPr="007E0A95">
        <w:t>C.</w:t>
      </w:r>
      <w:r w:rsidRPr="007E0A95">
        <w:tab/>
        <w:t>întrucât, în anumite situații, statele membre ar putea fi nevoite să le impună beneficiarilor obligația de a reconverti suprafețe în pajiști permanente sau de a stabili suprafețe cu pajiști permanente chiar dacă scăderile raportului anual se datorează fluctuațiilor înregistrate la nivelul suprafețelor declarate;</w:t>
      </w:r>
    </w:p>
    <w:p w:rsidR="00995E57" w:rsidRPr="007E0A95" w:rsidRDefault="00995E57" w:rsidP="00995E57">
      <w:pPr>
        <w:pStyle w:val="NormalHanging12a"/>
      </w:pPr>
      <w:r w:rsidRPr="007E0A95">
        <w:t>D.</w:t>
      </w:r>
      <w:r w:rsidRPr="007E0A95">
        <w:tab/>
        <w:t>întrucât, în anumite circumstanțe, suprafețele cu pajiști permanente pot fi înregistrate în Sistemul de identificare a parcelelor agricole, dar să nu fie declarate pentru plăți directe de către fermieri într-un anumit an, sau suprafața agricolă totală poate crește din cauza declarațiilor suplimentare ale fermierilor;</w:t>
      </w:r>
    </w:p>
    <w:p w:rsidR="00995E57" w:rsidRPr="007E0A95" w:rsidRDefault="00995E57" w:rsidP="00995E57">
      <w:pPr>
        <w:pStyle w:val="NormalHanging12a"/>
      </w:pPr>
      <w:r w:rsidRPr="007E0A95">
        <w:t>E.</w:t>
      </w:r>
      <w:r w:rsidRPr="007E0A95">
        <w:tab/>
        <w:t>Întrucât în astfel de situații, în care scăderea ponderii anuale peste pragul de 5 % stabilit în anexa III la Regulamentul (UE) 2021/2115 nu rezultă din conversia suprafețelor cu pajiști permanente în alte utilizări agricole, ar putea fi disproporționat să se impună fermierilor obligații de stabilire a unor suprafețe suplimentare cu pajiști permanente;</w:t>
      </w:r>
    </w:p>
    <w:p w:rsidR="00995E57" w:rsidRPr="007E0A95" w:rsidRDefault="00995E57" w:rsidP="00995E57">
      <w:pPr>
        <w:pStyle w:val="NormalHanging12a"/>
      </w:pPr>
      <w:r w:rsidRPr="007E0A95">
        <w:t>F.</w:t>
      </w:r>
      <w:r w:rsidRPr="007E0A95">
        <w:tab/>
        <w:t>întrucât este oportun să se permită un anumit grad de flexibilitate, asigurându-se în același timp respectarea obiectivului principal al GAEC 1 de a avea o „clauză generală de salvgardare împotriva conversiei către alte utilizări agricole, pentru menținerea stocurilor de carbon”, precum și a reducerii maxime a raportului prevăzute în anexa III la Regulamentul (UE) 2021/2115;</w:t>
      </w:r>
    </w:p>
    <w:p w:rsidR="00995E57" w:rsidRPr="007E0A95" w:rsidRDefault="00995E57" w:rsidP="00995E57">
      <w:pPr>
        <w:pStyle w:val="NormalHanging12a"/>
      </w:pPr>
      <w:r w:rsidRPr="007E0A95">
        <w:t>G.</w:t>
      </w:r>
      <w:r w:rsidRPr="007E0A95">
        <w:tab/>
        <w:t>întrucât Regulamentul delegat (UE) 2022/126 al Comisiei</w:t>
      </w:r>
      <w:r w:rsidRPr="007E0A95">
        <w:rPr>
          <w:rStyle w:val="FootnoteReference"/>
          <w:color w:val="000000"/>
        </w:rPr>
        <w:footnoteReference w:id="2"/>
      </w:r>
      <w:r w:rsidRPr="007E0A95">
        <w:t>, care stabilește norme privind raportul pentru GAEC 1, ar trebui, prin urmare, modificat,</w:t>
      </w:r>
    </w:p>
    <w:p w:rsidR="00995E57" w:rsidRPr="007E0A95" w:rsidRDefault="00995E57" w:rsidP="00995E57">
      <w:pPr>
        <w:pStyle w:val="NormalHanging12a"/>
      </w:pPr>
      <w:r w:rsidRPr="007E0A95">
        <w:t>1.</w:t>
      </w:r>
      <w:r w:rsidRPr="007E0A95">
        <w:tab/>
        <w:t>declară că nu formulează obiecțiuni la regulamentul delegat;</w:t>
      </w:r>
    </w:p>
    <w:p w:rsidR="00995E57" w:rsidRPr="007E0A95" w:rsidRDefault="00995E57" w:rsidP="00995E57">
      <w:pPr>
        <w:pStyle w:val="NormalHanging12a"/>
        <w:rPr>
          <w:szCs w:val="24"/>
        </w:rPr>
      </w:pPr>
      <w:r w:rsidRPr="007E0A95">
        <w:t>2.</w:t>
      </w:r>
      <w:r w:rsidRPr="007E0A95">
        <w:tab/>
        <w:t>încredințează Președintei sarcina de a transmite prezenta decizie Consiliului și Comisiei.</w:t>
      </w:r>
    </w:p>
    <w:sectPr w:rsidR="00995E57" w:rsidRPr="007E0A95" w:rsidSect="00DA53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DDC" w:rsidRPr="00DA5385" w:rsidRDefault="00CD5DDC">
      <w:r w:rsidRPr="00DA5385">
        <w:separator/>
      </w:r>
    </w:p>
  </w:endnote>
  <w:endnote w:type="continuationSeparator" w:id="0">
    <w:p w:rsidR="00CD5DDC" w:rsidRPr="00DA5385" w:rsidRDefault="00CD5DDC">
      <w:r w:rsidRPr="00DA53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DDC" w:rsidRPr="00DA5385" w:rsidRDefault="00CD5DDC">
      <w:r w:rsidRPr="00DA5385">
        <w:separator/>
      </w:r>
    </w:p>
  </w:footnote>
  <w:footnote w:type="continuationSeparator" w:id="0">
    <w:p w:rsidR="00CD5DDC" w:rsidRPr="00DA5385" w:rsidRDefault="00CD5DDC">
      <w:r w:rsidRPr="00DA5385">
        <w:continuationSeparator/>
      </w:r>
    </w:p>
  </w:footnote>
  <w:footnote w:id="1">
    <w:p w:rsidR="00995E57" w:rsidRPr="00DA5385" w:rsidRDefault="00995E57" w:rsidP="00DA5385">
      <w:pPr>
        <w:pStyle w:val="FootnoteText"/>
        <w:ind w:left="567" w:hanging="567"/>
        <w:rPr>
          <w:sz w:val="24"/>
          <w:lang w:val="ro-RO"/>
        </w:rPr>
      </w:pPr>
      <w:r w:rsidRPr="00DA5385">
        <w:rPr>
          <w:rStyle w:val="FootnoteReference"/>
          <w:sz w:val="24"/>
          <w:lang w:val="ro-RO"/>
        </w:rPr>
        <w:footnoteRef/>
      </w:r>
      <w:r w:rsidR="00DA5385" w:rsidRPr="00DA5385">
        <w:rPr>
          <w:sz w:val="24"/>
          <w:lang w:val="ro-RO"/>
        </w:rPr>
        <w:t xml:space="preserve"> </w:t>
      </w:r>
      <w:r w:rsidR="00DA5385" w:rsidRPr="00DA5385">
        <w:rPr>
          <w:sz w:val="24"/>
          <w:lang w:val="ro-RO"/>
        </w:rPr>
        <w:tab/>
      </w:r>
      <w:r w:rsidRPr="00DA5385">
        <w:rPr>
          <w:sz w:val="24"/>
          <w:lang w:val="ro-RO"/>
        </w:rPr>
        <w:t>JO L 435, 6.12.2021, p. 1.</w:t>
      </w:r>
    </w:p>
  </w:footnote>
  <w:footnote w:id="2">
    <w:p w:rsidR="00995E57" w:rsidRPr="00DA5385" w:rsidRDefault="00995E57" w:rsidP="00C77ECB">
      <w:pPr>
        <w:pStyle w:val="FootnoteText"/>
        <w:ind w:left="567" w:hanging="567"/>
        <w:rPr>
          <w:sz w:val="24"/>
          <w:lang w:val="ro-RO"/>
        </w:rPr>
      </w:pPr>
      <w:r w:rsidRPr="00DA5385">
        <w:rPr>
          <w:rStyle w:val="FootnoteReference"/>
          <w:sz w:val="24"/>
          <w:lang w:val="ro-RO"/>
        </w:rPr>
        <w:footnoteRef/>
      </w:r>
      <w:r w:rsidR="00DA5385" w:rsidRPr="00DA5385">
        <w:rPr>
          <w:sz w:val="24"/>
          <w:lang w:val="ro-RO"/>
        </w:rPr>
        <w:t xml:space="preserve"> </w:t>
      </w:r>
      <w:r w:rsidR="00DA5385" w:rsidRPr="00DA5385">
        <w:rPr>
          <w:sz w:val="24"/>
          <w:lang w:val="ro-RO"/>
        </w:rPr>
        <w:tab/>
      </w:r>
      <w:r w:rsidRPr="00DA5385">
        <w:rPr>
          <w:sz w:val="24"/>
          <w:lang w:val="ro-RO"/>
        </w:rPr>
        <w:t>Regulamentul delegat (UE) 2022/126 al Comisiei din 7 decembrie 2021 de completare a Regulamentului (UE) 2021/2115 al Parlamentului European și al Consiliului cu cerințe suplimentare referitoare la anumite tipuri de intervenții specificate de statele membre în planurile lor strategice PAC pentru perioada 2023-2027 în temeiul regulamentului respectiv, precum și cu norme privind raportul pentru standardul GAEC 1 (bune condiții agricole și de mediu) (JO L 20, 31.1.2022, p.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53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RO"/>
    <w:docVar w:name="dvnumam" w:val="0"/>
    <w:docVar w:name="dvpe" w:val="759.936"/>
    <w:docVar w:name="dvtitre" w:val="Decizia Parlamentului European din 23 aprilie 2024 de a nu formula obiecții la Regulamentul delegat al Comisiei din 12 martie 2024 de modificare a Regulamentului delegat (UE) 2022/126 al Comisiei de completare a Regulamentului (UE) 2021/2115 al Parlamentului European și al Consiliului în ceea ce privește normele privind raportul pentru standardul privind bunele condiții agricole și de mediu (GAEC) 1(C(2024)01488 – 2024/2663(DEA))"/>
  </w:docVars>
  <w:rsids>
    <w:rsidRoot w:val="00CD5D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0A95"/>
    <w:rsid w:val="007E22AD"/>
    <w:rsid w:val="00817416"/>
    <w:rsid w:val="00842779"/>
    <w:rsid w:val="00865F67"/>
    <w:rsid w:val="00881A7B"/>
    <w:rsid w:val="008840E5"/>
    <w:rsid w:val="00887B3E"/>
    <w:rsid w:val="008C2AC6"/>
    <w:rsid w:val="00930C23"/>
    <w:rsid w:val="0093193B"/>
    <w:rsid w:val="009509D8"/>
    <w:rsid w:val="00950B64"/>
    <w:rsid w:val="00981893"/>
    <w:rsid w:val="00995E5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ECB"/>
    <w:rsid w:val="00C941CB"/>
    <w:rsid w:val="00CC2357"/>
    <w:rsid w:val="00CD5DDC"/>
    <w:rsid w:val="00CF071A"/>
    <w:rsid w:val="00D058B8"/>
    <w:rsid w:val="00D56C11"/>
    <w:rsid w:val="00D834A0"/>
    <w:rsid w:val="00D872DF"/>
    <w:rsid w:val="00D91E21"/>
    <w:rsid w:val="00DA538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B3085"/>
  <w15:chartTrackingRefBased/>
  <w15:docId w15:val="{F6DD4B72-1568-4C04-BB7A-A3DB8519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95E5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8EE88-5363-4F9A-A097-E45DD66A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634</Words>
  <Characters>3871</Characters>
  <Application>Microsoft Office Word</Application>
  <DocSecurity>0</DocSecurity>
  <Lines>161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2024-04-23T13:14:00Z</dcterms:created>
  <dcterms:modified xsi:type="dcterms:W3CDTF">2024-04-23T13:14:00Z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B9-0199/2024</vt:lpwstr>
  </property>
  <property fmtid="{D5CDD505-2E9C-101B-9397-08002B2CF9AE}" pid="4" name="&lt;Type&gt;">
    <vt:lpwstr>RR</vt:lpwstr>
  </property>
</Properties>
</file>