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0D0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F0D00" w:rsidRDefault="00B61582" w:rsidP="0010095E">
            <w:pPr>
              <w:pStyle w:val="EPName"/>
            </w:pPr>
            <w:bookmarkStart w:id="0" w:name="_GoBack"/>
            <w:bookmarkEnd w:id="0"/>
            <w:r w:rsidRPr="008F0D00">
              <w:t>Európsky parlament</w:t>
            </w:r>
          </w:p>
          <w:p w:rsidR="00751A4A" w:rsidRPr="008F0D0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0D0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F0D00" w:rsidRDefault="00187494" w:rsidP="0010095E">
            <w:pPr>
              <w:pStyle w:val="EPLogo"/>
            </w:pPr>
            <w:r w:rsidRPr="008F0D0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F0D00" w:rsidRDefault="00D058B8" w:rsidP="004C5D52">
      <w:pPr>
        <w:pStyle w:val="LineTop"/>
      </w:pPr>
    </w:p>
    <w:p w:rsidR="00680577" w:rsidRPr="008F0D00" w:rsidRDefault="00B61582" w:rsidP="00680577">
      <w:pPr>
        <w:pStyle w:val="EPBodyTA1"/>
      </w:pPr>
      <w:r w:rsidRPr="008F0D00">
        <w:t>PRIJATÉ TEXTY</w:t>
      </w:r>
    </w:p>
    <w:p w:rsidR="00D058B8" w:rsidRPr="008F0D00" w:rsidRDefault="00D058B8" w:rsidP="00D058B8">
      <w:pPr>
        <w:pStyle w:val="LineBottom"/>
      </w:pPr>
    </w:p>
    <w:p w:rsidR="00B61582" w:rsidRPr="008F0D00" w:rsidRDefault="00B61582" w:rsidP="00B61582">
      <w:pPr>
        <w:pStyle w:val="ATHeading1"/>
      </w:pPr>
      <w:bookmarkStart w:id="1" w:name="TANumber"/>
      <w:r w:rsidRPr="008F0D00">
        <w:t>P9_TA(2024)0</w:t>
      </w:r>
      <w:r w:rsidR="008F0D00" w:rsidRPr="008F0D00">
        <w:t>290</w:t>
      </w:r>
      <w:bookmarkEnd w:id="1"/>
    </w:p>
    <w:p w:rsidR="00B61582" w:rsidRPr="008F0D00" w:rsidRDefault="00B61582" w:rsidP="00B61582">
      <w:pPr>
        <w:pStyle w:val="ATHeading2"/>
      </w:pPr>
      <w:bookmarkStart w:id="2" w:name="title"/>
      <w:r w:rsidRPr="008F0D00">
        <w:t xml:space="preserve">Nevznesenie námietky voči delegovanému </w:t>
      </w:r>
      <w:r w:rsidR="00AB1B57" w:rsidRPr="008F0D00">
        <w:t>aktu: pravidlá týkajúce sa pomeru pre normu GAEC 1</w:t>
      </w:r>
      <w:r w:rsidRPr="008F0D00">
        <w:t xml:space="preserve"> </w:t>
      </w:r>
      <w:bookmarkEnd w:id="2"/>
    </w:p>
    <w:p w:rsidR="00B61582" w:rsidRPr="008F0D00" w:rsidRDefault="00B61582" w:rsidP="00B61582">
      <w:pPr>
        <w:rPr>
          <w:i/>
          <w:vanish/>
        </w:rPr>
      </w:pPr>
      <w:r w:rsidRPr="008F0D00">
        <w:rPr>
          <w:i/>
        </w:rPr>
        <w:fldChar w:fldCharType="begin"/>
      </w:r>
      <w:r w:rsidRPr="008F0D00">
        <w:rPr>
          <w:i/>
        </w:rPr>
        <w:instrText xml:space="preserve"> TC"(</w:instrText>
      </w:r>
      <w:bookmarkStart w:id="3" w:name="DocNumber"/>
      <w:r w:rsidRPr="008F0D00">
        <w:rPr>
          <w:i/>
        </w:rPr>
        <w:instrText>B9-0199/2024</w:instrText>
      </w:r>
      <w:bookmarkEnd w:id="3"/>
      <w:r w:rsidRPr="008F0D00">
        <w:rPr>
          <w:i/>
        </w:rPr>
        <w:instrText xml:space="preserve">)"\l3 \n&gt; \* MERGEFORMAT </w:instrText>
      </w:r>
      <w:r w:rsidRPr="008F0D00">
        <w:rPr>
          <w:i/>
        </w:rPr>
        <w:fldChar w:fldCharType="end"/>
      </w:r>
    </w:p>
    <w:p w:rsidR="00B61582" w:rsidRPr="008F0D00" w:rsidRDefault="00B61582" w:rsidP="00B61582">
      <w:pPr>
        <w:rPr>
          <w:vanish/>
        </w:rPr>
      </w:pPr>
      <w:bookmarkStart w:id="4" w:name="PE"/>
      <w:r w:rsidRPr="008F0D00">
        <w:rPr>
          <w:vanish/>
        </w:rPr>
        <w:t>PE759.936</w:t>
      </w:r>
      <w:bookmarkEnd w:id="4"/>
    </w:p>
    <w:p w:rsidR="00B61582" w:rsidRPr="008F0D00" w:rsidRDefault="00B61582" w:rsidP="00B61582">
      <w:pPr>
        <w:pStyle w:val="ATHeading3"/>
      </w:pPr>
      <w:bookmarkStart w:id="5" w:name="Sujet"/>
      <w:r w:rsidRPr="008F0D00">
        <w:t>Rozhodnutie Európskeho parlamentu z</w:t>
      </w:r>
      <w:r w:rsidR="00F16E15" w:rsidRPr="008F0D00">
        <w:t> 23</w:t>
      </w:r>
      <w:r w:rsidRPr="008F0D00">
        <w:t>. apríla 2024 nevzniesť námietku voči delegovanému nariadeniu Komisie z 12. marca 2024, ktorým sa mení delegované nariadenie Komisie (EÚ) 2022/126, ktorým sa dopĺňa nariadenie Európskeho parlamentu a Rady (EÚ) 2021/2115, pokiaľ ide o pravidlá týkajúce sa pomeru pre normu dobrého poľnohospodárskeho a environmentálneho stavu 1 (norma GAEC 1)</w:t>
      </w:r>
      <w:bookmarkEnd w:id="5"/>
      <w:r w:rsidRPr="008F0D00">
        <w:t xml:space="preserve"> </w:t>
      </w:r>
      <w:bookmarkStart w:id="6" w:name="References"/>
      <w:r w:rsidRPr="008F0D00">
        <w:t>(C(2024)01488 – 2024/2663(DEA))</w:t>
      </w:r>
      <w:bookmarkEnd w:id="6"/>
    </w:p>
    <w:p w:rsidR="00B61582" w:rsidRPr="008F0D00" w:rsidRDefault="00B61582" w:rsidP="00B61582"/>
    <w:p w:rsidR="00F10402" w:rsidRPr="008F0D00" w:rsidRDefault="00F10402" w:rsidP="00F10402">
      <w:pPr>
        <w:pStyle w:val="NormalHanging12a"/>
        <w:rPr>
          <w:i/>
        </w:rPr>
      </w:pPr>
      <w:bookmarkStart w:id="7" w:name="TextBodyBegin"/>
      <w:bookmarkEnd w:id="7"/>
      <w:r w:rsidRPr="008F0D00">
        <w:rPr>
          <w:i/>
        </w:rPr>
        <w:t>Európsky parlament,</w:t>
      </w:r>
    </w:p>
    <w:p w:rsidR="00F10402" w:rsidRPr="008F0D00" w:rsidRDefault="00F10402" w:rsidP="00F10402">
      <w:pPr>
        <w:pStyle w:val="NormalHanging12a"/>
      </w:pPr>
      <w:r w:rsidRPr="008F0D00">
        <w:t>–</w:t>
      </w:r>
      <w:r w:rsidRPr="008F0D00">
        <w:tab/>
        <w:t xml:space="preserve">so zreteľom na delegované nariadenie Komisie </w:t>
      </w:r>
      <w:r w:rsidR="00503294" w:rsidRPr="008F0D00">
        <w:t>(</w:t>
      </w:r>
      <w:r w:rsidRPr="008F0D00">
        <w:t>C(2024)01488</w:t>
      </w:r>
      <w:r w:rsidR="00503294" w:rsidRPr="008F0D00">
        <w:t>)</w:t>
      </w:r>
      <w:r w:rsidRPr="008F0D00">
        <w:t>,</w:t>
      </w:r>
    </w:p>
    <w:p w:rsidR="00F10402" w:rsidRPr="008F0D00" w:rsidRDefault="00F10402" w:rsidP="00F10402">
      <w:pPr>
        <w:pStyle w:val="NormalHanging12a"/>
      </w:pPr>
      <w:r w:rsidRPr="008F0D00">
        <w:t>–</w:t>
      </w:r>
      <w:r w:rsidRPr="008F0D00">
        <w:tab/>
        <w:t>so zreteľom na list Komisie z 12. marca 2024, ktorým ho žiada, aby oznámil, že nevznesie námietku voči delegovanému nariadeniu,</w:t>
      </w:r>
    </w:p>
    <w:p w:rsidR="00F10402" w:rsidRPr="008F0D00" w:rsidRDefault="00F10402" w:rsidP="00F10402">
      <w:pPr>
        <w:pStyle w:val="NormalHanging12a"/>
      </w:pPr>
      <w:r w:rsidRPr="008F0D00">
        <w:t>–</w:t>
      </w:r>
      <w:r w:rsidRPr="008F0D00">
        <w:tab/>
        <w:t>so zreteľom na list Výboru pre poľnohospodárstvo a rozvoj vidieka predsedovi Konferencie predsedov výborov z 19. marca 2024,</w:t>
      </w:r>
    </w:p>
    <w:p w:rsidR="00F10402" w:rsidRPr="008F0D00" w:rsidRDefault="00F10402" w:rsidP="00F10402">
      <w:pPr>
        <w:pStyle w:val="NormalHanging12a"/>
      </w:pPr>
      <w:r w:rsidRPr="008F0D00">
        <w:t>–</w:t>
      </w:r>
      <w:r w:rsidRPr="008F0D00">
        <w:tab/>
        <w:t>so zreteľom na článok 290 Zmluvy o fungovaní Európskej únie,</w:t>
      </w:r>
    </w:p>
    <w:p w:rsidR="00F10402" w:rsidRPr="008F0D00" w:rsidRDefault="00F10402" w:rsidP="00F10402">
      <w:pPr>
        <w:pStyle w:val="NormalHanging12a"/>
      </w:pPr>
      <w:r w:rsidRPr="008F0D00">
        <w:t>–</w:t>
      </w:r>
      <w:r w:rsidRPr="008F0D00">
        <w:tab/>
        <w:t>so zreteľom na nariadenie Európskeho parlamentu a Rady (EÚ) 2021/2115 z 2. decembra 2021, ktorým sa stanovujú pravidlá podpory strategických plánov, ktoré majú zostaviť členské štáty v rámci spoločnej poľnohospodárskej politiky (strategické plány SPP) a ktoré sú financované z Európskeho poľnohospodárskeho záručného fondu (EPZF) a Európskeho poľnohospodárskeho fondu pre rozvoj vidieka (EPFRV), a ktorým sa zrušujú nariadenia (EÚ) č. 1305/2013 a (EÚ) č. 1307/2013</w:t>
      </w:r>
      <w:r w:rsidRPr="008F0D00">
        <w:rPr>
          <w:rStyle w:val="FootnoteReference"/>
          <w:color w:val="000000"/>
        </w:rPr>
        <w:footnoteReference w:id="1"/>
      </w:r>
      <w:r w:rsidRPr="008F0D00">
        <w:t>, a najmä na jeho článok 13 ods. 3 a článok 152 ods. 6,</w:t>
      </w:r>
    </w:p>
    <w:p w:rsidR="00F10402" w:rsidRPr="008F0D00" w:rsidRDefault="00F10402" w:rsidP="00F10402">
      <w:pPr>
        <w:pStyle w:val="NormalHanging12a"/>
      </w:pPr>
      <w:r w:rsidRPr="008F0D00">
        <w:t>–</w:t>
      </w:r>
      <w:r w:rsidRPr="008F0D00">
        <w:tab/>
        <w:t>so zreteľom na článok 111 ods. 6 rokovacieho poriadku,</w:t>
      </w:r>
    </w:p>
    <w:p w:rsidR="00F10402" w:rsidRPr="008F0D00" w:rsidRDefault="00F10402" w:rsidP="00F10402">
      <w:pPr>
        <w:pStyle w:val="NormalHanging12a"/>
      </w:pPr>
      <w:r w:rsidRPr="008F0D00">
        <w:t>–</w:t>
      </w:r>
      <w:r w:rsidRPr="008F0D00">
        <w:tab/>
        <w:t>so zreteľom na odporúčanie k rozhodnutiu Výboru pre poľnohospodárstvo a rozvoj vidieka,</w:t>
      </w:r>
    </w:p>
    <w:p w:rsidR="00F10402" w:rsidRPr="008F0D00" w:rsidRDefault="00F10402" w:rsidP="00F10402">
      <w:pPr>
        <w:pStyle w:val="NormalHanging12a"/>
      </w:pPr>
      <w:r w:rsidRPr="008F0D00">
        <w:t>A.</w:t>
      </w:r>
      <w:r w:rsidRPr="008F0D00">
        <w:tab/>
        <w:t>keďže od 1. januára 2023 členské štáty vykonávajú svoje strategické plány SPP vrátane povinnosti zachovať pomer trvalého trávneho porastu k poľnohospodárskej ploche, ako sa stanovuje v rámci normy dobrého poľnohospodárskeho a environmentálneho stavu pôdy (GAEC) 1 (ďalej len „norma GAEC 1“) v prílohe III k nariadeniu (EÚ) 2021/2115;</w:t>
      </w:r>
    </w:p>
    <w:p w:rsidR="00F10402" w:rsidRPr="008F0D00" w:rsidRDefault="00F10402" w:rsidP="00F10402">
      <w:pPr>
        <w:pStyle w:val="NormalHanging12a"/>
      </w:pPr>
      <w:r w:rsidRPr="008F0D00">
        <w:t>B.</w:t>
      </w:r>
      <w:r w:rsidRPr="008F0D00">
        <w:tab/>
        <w:t>keďže zo skúseností získaných od začiatku vykonávania normy GAEC 1 vyplýva, že tieto pravidlá treba zmeniť, aby sa zabránilo neprimeranému zaťaženiu poľnohospodárov v prípadoch, keď štrukturálne zmeny poľnohospodárskych systémov členských štátov spôsobené zmenou trhovej orientácie, ako je prechod od živočíšnej výroby k využívaniu ornej pôdy a zníženie živočíšnej výroby, podstatne ovplyvňujú schopnosť poľnohospodárov vytvárať trvalé trávne porasty pri súčasnom zachovaní životaschopnosti ich podnikov;</w:t>
      </w:r>
    </w:p>
    <w:p w:rsidR="00F10402" w:rsidRPr="008F0D00" w:rsidRDefault="00F10402" w:rsidP="00F10402">
      <w:pPr>
        <w:pStyle w:val="NormalHanging12a"/>
      </w:pPr>
      <w:r w:rsidRPr="008F0D00">
        <w:t>C.</w:t>
      </w:r>
      <w:r w:rsidRPr="008F0D00">
        <w:tab/>
        <w:t>keďže v niektorých situáciách môžu byť členské štáty nútené uložiť prijímateľom povinnosť opäť premeniť plochy na trvalé trávne porasty alebo vyčleniť plochy trvalých trávnych porastov, hoci zníženie ročného pomeru je spôsobené výkyvmi v nahlásených plochách;</w:t>
      </w:r>
    </w:p>
    <w:p w:rsidR="00F10402" w:rsidRPr="008F0D00" w:rsidRDefault="00F10402" w:rsidP="00F10402">
      <w:pPr>
        <w:pStyle w:val="NormalHanging12a"/>
      </w:pPr>
      <w:r w:rsidRPr="008F0D00">
        <w:t>D.</w:t>
      </w:r>
      <w:r w:rsidRPr="008F0D00">
        <w:tab/>
        <w:t>keďže za niektorých okolností plochy trvalých trávnych porastov môžu byť zaevidované v systéme identifikácie poľnohospodárskych pozemkov, ale poľnohospodári ich v danom roku nenahlásia na priame platby, alebo sa v dôsledku dodatočných vyhlásení poľnohospodárov môže zvýšiť celková poľnohospodárska plocha;</w:t>
      </w:r>
    </w:p>
    <w:p w:rsidR="00F10402" w:rsidRPr="008F0D00" w:rsidRDefault="00F10402" w:rsidP="00F10402">
      <w:pPr>
        <w:pStyle w:val="NormalHanging12a"/>
      </w:pPr>
      <w:r w:rsidRPr="008F0D00">
        <w:t>E.</w:t>
      </w:r>
      <w:r w:rsidRPr="008F0D00">
        <w:tab/>
        <w:t>keďže v takýchto situáciách, keď zníženie ročného pomeru pod prahovú hodnotu 5 % stanovenú v prílohe III k nariadeniu (EÚ) 2021/2115 nevyplýva z premeny plôch trvalého trávneho porastu na iné poľnohospodárske využitie, by mohlo byť neprimerané uložiť poľnohospodárom povinnosť zriadiť ďalšie plochy s trvalým trávnym porastom;</w:t>
      </w:r>
    </w:p>
    <w:p w:rsidR="00F10402" w:rsidRPr="008F0D00" w:rsidRDefault="00F10402" w:rsidP="00F10402">
      <w:pPr>
        <w:pStyle w:val="NormalHanging12a"/>
      </w:pPr>
      <w:r w:rsidRPr="008F0D00">
        <w:t>F.</w:t>
      </w:r>
      <w:r w:rsidRPr="008F0D00">
        <w:tab/>
        <w:t>keďže je primerané umožniť určitú mieru flexibility a zároveň zabezpečiť súlad s hlavným cieľom normy GAEC 1, teda mať všeobecné ochranné opatrenie proti konverzii na iné poľnohospodárske využitia s cieľom zachovať zásobu uhlíka a maximálny pokles pomeru stanoveného v prílohe III k nariadeniu (EÚ) 2021/2115;</w:t>
      </w:r>
    </w:p>
    <w:p w:rsidR="00F10402" w:rsidRPr="008F0D00" w:rsidRDefault="00F10402" w:rsidP="00F10402">
      <w:pPr>
        <w:pStyle w:val="NormalHanging12a"/>
      </w:pPr>
      <w:r w:rsidRPr="008F0D00">
        <w:t>G.</w:t>
      </w:r>
      <w:r w:rsidRPr="008F0D00">
        <w:tab/>
        <w:t>keďže delegované nariadenie Komisie (EÚ) 2022/126</w:t>
      </w:r>
      <w:r w:rsidRPr="008F0D00">
        <w:rPr>
          <w:rStyle w:val="FootnoteReference"/>
          <w:color w:val="000000"/>
        </w:rPr>
        <w:footnoteReference w:id="2"/>
      </w:r>
      <w:r w:rsidRPr="008F0D00">
        <w:t>, ktorým sa stanovujú pravidlá týkajúce sa pomeru GAEC 1, by sa preto malo zmeniť;</w:t>
      </w:r>
    </w:p>
    <w:p w:rsidR="00F10402" w:rsidRPr="008F0D00" w:rsidRDefault="00F10402" w:rsidP="00F10402">
      <w:pPr>
        <w:pStyle w:val="NormalHanging12a"/>
      </w:pPr>
      <w:r w:rsidRPr="008F0D00">
        <w:t>1.</w:t>
      </w:r>
      <w:r w:rsidRPr="008F0D00">
        <w:tab/>
        <w:t>oznamuje, že nevznesie námietku voči delegovanému nariadeniu;</w:t>
      </w:r>
    </w:p>
    <w:p w:rsidR="00F10402" w:rsidRPr="008F0D00" w:rsidRDefault="00F10402" w:rsidP="00F10402">
      <w:pPr>
        <w:pStyle w:val="NormalHanging12a"/>
        <w:tabs>
          <w:tab w:val="left" w:pos="1995"/>
        </w:tabs>
      </w:pPr>
      <w:r w:rsidRPr="008F0D00">
        <w:t>2.</w:t>
      </w:r>
      <w:r w:rsidRPr="008F0D00">
        <w:tab/>
        <w:t xml:space="preserve">poveruje svoju predsedníčku, aby postúpila toto rozhodnutie </w:t>
      </w:r>
      <w:r w:rsidR="001C16F5" w:rsidRPr="008F0D00">
        <w:t>Rade a Komisii.</w:t>
      </w:r>
    </w:p>
    <w:sectPr w:rsidR="00F10402" w:rsidRPr="008F0D00" w:rsidSect="001C16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582" w:rsidRPr="001C16F5" w:rsidRDefault="00B61582">
      <w:r w:rsidRPr="001C16F5">
        <w:separator/>
      </w:r>
    </w:p>
  </w:endnote>
  <w:endnote w:type="continuationSeparator" w:id="0">
    <w:p w:rsidR="00B61582" w:rsidRPr="001C16F5" w:rsidRDefault="00B61582">
      <w:r w:rsidRPr="001C16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16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16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16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582" w:rsidRPr="001C16F5" w:rsidRDefault="00B61582">
      <w:r w:rsidRPr="001C16F5">
        <w:separator/>
      </w:r>
    </w:p>
  </w:footnote>
  <w:footnote w:type="continuationSeparator" w:id="0">
    <w:p w:rsidR="00B61582" w:rsidRPr="001C16F5" w:rsidRDefault="00B61582">
      <w:r w:rsidRPr="001C16F5">
        <w:continuationSeparator/>
      </w:r>
    </w:p>
  </w:footnote>
  <w:footnote w:id="1">
    <w:p w:rsidR="00F10402" w:rsidRPr="001C16F5" w:rsidRDefault="00F10402" w:rsidP="001C16F5">
      <w:pPr>
        <w:pStyle w:val="FootnoteText"/>
        <w:ind w:left="567" w:hanging="567"/>
        <w:rPr>
          <w:sz w:val="24"/>
          <w:lang w:val="sk-SK"/>
        </w:rPr>
      </w:pPr>
      <w:r w:rsidRPr="001C16F5">
        <w:rPr>
          <w:rStyle w:val="FootnoteReference"/>
          <w:sz w:val="24"/>
          <w:lang w:val="sk-SK"/>
        </w:rPr>
        <w:footnoteRef/>
      </w:r>
      <w:r w:rsidR="001C16F5" w:rsidRPr="001C16F5">
        <w:rPr>
          <w:sz w:val="24"/>
          <w:lang w:val="sk-SK"/>
        </w:rPr>
        <w:t xml:space="preserve"> </w:t>
      </w:r>
      <w:r w:rsidR="001C16F5" w:rsidRPr="001C16F5">
        <w:rPr>
          <w:sz w:val="24"/>
          <w:lang w:val="sk-SK"/>
        </w:rPr>
        <w:tab/>
      </w:r>
      <w:r w:rsidRPr="001C16F5">
        <w:rPr>
          <w:sz w:val="24"/>
          <w:lang w:val="sk-SK"/>
        </w:rPr>
        <w:t>Ú. v. EÚ L</w:t>
      </w:r>
      <w:r w:rsidR="00F16E15">
        <w:rPr>
          <w:sz w:val="24"/>
          <w:lang w:val="sk-SK"/>
        </w:rPr>
        <w:t xml:space="preserve"> </w:t>
      </w:r>
      <w:r w:rsidRPr="001C16F5">
        <w:rPr>
          <w:sz w:val="24"/>
          <w:lang w:val="sk-SK"/>
        </w:rPr>
        <w:t>435, 6.12.2021, s. 1.</w:t>
      </w:r>
    </w:p>
  </w:footnote>
  <w:footnote w:id="2">
    <w:p w:rsidR="00F10402" w:rsidRPr="001C16F5" w:rsidRDefault="00F10402" w:rsidP="001C16F5">
      <w:pPr>
        <w:pStyle w:val="FootnoteText"/>
        <w:ind w:left="567" w:hanging="567"/>
        <w:rPr>
          <w:sz w:val="24"/>
          <w:lang w:val="sk-SK"/>
        </w:rPr>
      </w:pPr>
      <w:r w:rsidRPr="001C16F5">
        <w:rPr>
          <w:rStyle w:val="FootnoteReference"/>
          <w:sz w:val="24"/>
          <w:lang w:val="sk-SK"/>
        </w:rPr>
        <w:footnoteRef/>
      </w:r>
      <w:r w:rsidR="001C16F5" w:rsidRPr="001C16F5">
        <w:rPr>
          <w:sz w:val="24"/>
          <w:lang w:val="sk-SK"/>
        </w:rPr>
        <w:t xml:space="preserve"> </w:t>
      </w:r>
      <w:r w:rsidR="001C16F5" w:rsidRPr="001C16F5">
        <w:rPr>
          <w:sz w:val="24"/>
          <w:lang w:val="sk-SK"/>
        </w:rPr>
        <w:tab/>
      </w:r>
      <w:r w:rsidRPr="001C16F5">
        <w:rPr>
          <w:sz w:val="24"/>
          <w:lang w:val="sk-SK"/>
        </w:rPr>
        <w:t>Delegované nariadenie Komisie (EÚ) 2022/126 zo 7. decembra 2021, ktorým sa dopĺňa nariadenie Európskeho parlamentu a Rady (EÚ) 2021/2115 o dodatočné požiadavky na určité typy intervencie stanovené členskými štátmi v ich strategických plánoch SPP na obdobie 2023 až 2027 podľa uvedeného nariadenia, ako aj o pravidlá týkajúce sa pomeru pre normu dobrého poľnohospodárskeho a environmentálneho stavu 1 (norma GAEC 1) (Ú. v. EÚ L 20, 31.1.2022, s. 52).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16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16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16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99/2024"/>
    <w:docVar w:name="dvlangue" w:val="SK"/>
    <w:docVar w:name="dvnumam" w:val="0"/>
    <w:docVar w:name="dvpe" w:val="759.936"/>
    <w:docVar w:name="dvtitre" w:val="Rozhodnutie Európskeho parlamentu z xx. apríla 2024 nevzniesť námietku voči delegovanému nariadeniu Komisie z 12. marca 2024, ktorým sa mení delegované nariadenie Komisie (EÚ) 2022/126, ktorým sa dopĺňa nariadenie Európskeho parlamentu a Rady (EÚ) 2021/2115, pokiaľ ide o pravidlá týkajúce sa pomeru pre normu dobrého poľnohospodárskeho a environmentálneho stavu 1 (norma GAEC 1)(C(2024)01488 – 2024/2663(DEA))"/>
  </w:docVars>
  <w:rsids>
    <w:rsidRoot w:val="00B61582"/>
    <w:rsid w:val="00002272"/>
    <w:rsid w:val="00012E25"/>
    <w:rsid w:val="00064002"/>
    <w:rsid w:val="000677B9"/>
    <w:rsid w:val="000831BA"/>
    <w:rsid w:val="000A42CC"/>
    <w:rsid w:val="000E7DD9"/>
    <w:rsid w:val="0010095E"/>
    <w:rsid w:val="00125B37"/>
    <w:rsid w:val="00187494"/>
    <w:rsid w:val="001C16F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294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4775"/>
    <w:rsid w:val="008C2AC6"/>
    <w:rsid w:val="008F0D0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B57"/>
    <w:rsid w:val="00AB441E"/>
    <w:rsid w:val="00AB6293"/>
    <w:rsid w:val="00AE0928"/>
    <w:rsid w:val="00AF3B82"/>
    <w:rsid w:val="00B12E95"/>
    <w:rsid w:val="00B22876"/>
    <w:rsid w:val="00B558F0"/>
    <w:rsid w:val="00B6158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0402"/>
    <w:rsid w:val="00F149E9"/>
    <w:rsid w:val="00F16E1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514CFD"/>
  <w15:chartTrackingRefBased/>
  <w15:docId w15:val="{4EA8EBBD-2F2F-4B12-9C6B-F64905222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10402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D3143-4E1B-4882-B2FF-24EAFCCDB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2024-04-23T10:13:00Z</dcterms:created>
  <dcterms:modified xsi:type="dcterms:W3CDTF">2024-04-23T10:13:00Z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B9-0199/2024</vt:lpwstr>
  </property>
  <property fmtid="{D5CDD505-2E9C-101B-9397-08002B2CF9AE}" pid="4" name="&lt;Type&gt;">
    <vt:lpwstr>RR</vt:lpwstr>
  </property>
</Properties>
</file>