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59B5" w14:paraId="38E63301" w14:textId="77777777" w:rsidTr="0010095E">
        <w:trPr>
          <w:trHeight w:hRule="exact" w:val="1418"/>
        </w:trPr>
        <w:tc>
          <w:tcPr>
            <w:tcW w:w="6804" w:type="dxa"/>
            <w:shd w:val="clear" w:color="auto" w:fill="auto"/>
            <w:vAlign w:val="center"/>
          </w:tcPr>
          <w:p w14:paraId="4B3359A4" w14:textId="77777777" w:rsidR="00751A4A" w:rsidRPr="005C59B5" w:rsidRDefault="005A6C03" w:rsidP="0010095E">
            <w:pPr>
              <w:pStyle w:val="EPName"/>
            </w:pPr>
            <w:r w:rsidRPr="005C59B5">
              <w:t>Europaparlamentet</w:t>
            </w:r>
          </w:p>
          <w:p w14:paraId="0C02D0BB" w14:textId="77777777" w:rsidR="00751A4A" w:rsidRPr="005C59B5" w:rsidRDefault="00817416" w:rsidP="00756632">
            <w:pPr>
              <w:pStyle w:val="EPTerm"/>
              <w:rPr>
                <w:rStyle w:val="HideTWBExt"/>
                <w:noProof w:val="0"/>
                <w:vanish w:val="0"/>
                <w:color w:val="auto"/>
              </w:rPr>
            </w:pPr>
            <w:r w:rsidRPr="005C59B5">
              <w:t>2019-2024</w:t>
            </w:r>
          </w:p>
        </w:tc>
        <w:tc>
          <w:tcPr>
            <w:tcW w:w="2268" w:type="dxa"/>
            <w:shd w:val="clear" w:color="auto" w:fill="auto"/>
          </w:tcPr>
          <w:p w14:paraId="630E5BD7" w14:textId="77777777" w:rsidR="00751A4A" w:rsidRPr="005C59B5" w:rsidRDefault="00187494" w:rsidP="0010095E">
            <w:pPr>
              <w:pStyle w:val="EPLogo"/>
            </w:pPr>
            <w:r w:rsidRPr="005C59B5">
              <w:rPr>
                <w:noProof/>
                <w:lang w:val="en-GB"/>
              </w:rPr>
              <w:drawing>
                <wp:inline distT="0" distB="0" distL="0" distR="0" wp14:anchorId="34FB3FC2" wp14:editId="25C9D7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3F766A" w14:textId="77777777" w:rsidR="00D058B8" w:rsidRPr="005C59B5" w:rsidRDefault="00D058B8" w:rsidP="004C5D52">
      <w:pPr>
        <w:pStyle w:val="LineTop"/>
      </w:pPr>
    </w:p>
    <w:p w14:paraId="07AEC489" w14:textId="77777777" w:rsidR="00680577" w:rsidRPr="005C59B5" w:rsidRDefault="005A6C03" w:rsidP="00680577">
      <w:pPr>
        <w:pStyle w:val="EPBodyTA1"/>
      </w:pPr>
      <w:r w:rsidRPr="005C59B5">
        <w:t>ANTAGNA TEXTER</w:t>
      </w:r>
    </w:p>
    <w:p w14:paraId="56B67158" w14:textId="77777777" w:rsidR="00D058B8" w:rsidRPr="005C59B5" w:rsidRDefault="00D058B8" w:rsidP="00D058B8">
      <w:pPr>
        <w:pStyle w:val="LineBottom"/>
      </w:pPr>
    </w:p>
    <w:p w14:paraId="302711F0" w14:textId="63F45373" w:rsidR="005A6C03" w:rsidRPr="005C59B5" w:rsidRDefault="005A6C03" w:rsidP="005A6C03">
      <w:pPr>
        <w:pStyle w:val="ATHeading1"/>
      </w:pPr>
      <w:bookmarkStart w:id="0" w:name="TANumber"/>
      <w:r w:rsidRPr="005C59B5">
        <w:t>P9_TA(2024)0</w:t>
      </w:r>
      <w:bookmarkEnd w:id="0"/>
      <w:r w:rsidR="00D64CD5">
        <w:t>290</w:t>
      </w:r>
    </w:p>
    <w:p w14:paraId="65E7FD46" w14:textId="4F6EF68B" w:rsidR="00A702DC" w:rsidRDefault="00A702DC" w:rsidP="00A702DC">
      <w:pPr>
        <w:pStyle w:val="ATHeading2"/>
      </w:pPr>
      <w:r>
        <w:t xml:space="preserve">Beslut om att inte invända mot en delegerad akt: regler om andelen för </w:t>
      </w:r>
      <w:r w:rsidRPr="00A702DC">
        <w:t>GAEC-norm 1</w:t>
      </w:r>
    </w:p>
    <w:p w14:paraId="0FEC6583" w14:textId="77777777" w:rsidR="005A6C03" w:rsidRPr="005C59B5" w:rsidRDefault="005A6C03" w:rsidP="005A6C03">
      <w:pPr>
        <w:rPr>
          <w:i/>
          <w:vanish/>
        </w:rPr>
      </w:pPr>
      <w:r w:rsidRPr="005C59B5">
        <w:rPr>
          <w:i/>
        </w:rPr>
        <w:fldChar w:fldCharType="begin"/>
      </w:r>
      <w:r w:rsidRPr="005C59B5">
        <w:rPr>
          <w:i/>
        </w:rPr>
        <w:instrText xml:space="preserve"> TC"(</w:instrText>
      </w:r>
      <w:bookmarkStart w:id="1" w:name="DocNumber"/>
      <w:r w:rsidRPr="005C59B5">
        <w:rPr>
          <w:i/>
        </w:rPr>
        <w:instrText>B9-0199/2024</w:instrText>
      </w:r>
      <w:bookmarkEnd w:id="1"/>
      <w:r w:rsidRPr="005C59B5">
        <w:rPr>
          <w:i/>
        </w:rPr>
        <w:instrText xml:space="preserve">)"\l3 \n&gt; \* MERGEFORMAT </w:instrText>
      </w:r>
      <w:r w:rsidRPr="005C59B5">
        <w:rPr>
          <w:i/>
        </w:rPr>
        <w:fldChar w:fldCharType="end"/>
      </w:r>
    </w:p>
    <w:p w14:paraId="7AFF0876" w14:textId="77777777" w:rsidR="005A6C03" w:rsidRPr="005C59B5" w:rsidRDefault="005A6C03" w:rsidP="005A6C03">
      <w:pPr>
        <w:rPr>
          <w:vanish/>
        </w:rPr>
      </w:pPr>
      <w:bookmarkStart w:id="2" w:name="PE"/>
      <w:r w:rsidRPr="005C59B5">
        <w:rPr>
          <w:vanish/>
        </w:rPr>
        <w:t>PE759.936</w:t>
      </w:r>
      <w:bookmarkEnd w:id="2"/>
    </w:p>
    <w:p w14:paraId="24F487B6" w14:textId="6EF520CA" w:rsidR="005A6C03" w:rsidRPr="005C59B5" w:rsidRDefault="005A6C03" w:rsidP="005A6C03">
      <w:pPr>
        <w:pStyle w:val="ATHeading3"/>
      </w:pPr>
      <w:bookmarkStart w:id="3" w:name="Sujet"/>
      <w:r w:rsidRPr="005C59B5">
        <w:t xml:space="preserve">Europaparlamentets beslut av den </w:t>
      </w:r>
      <w:r w:rsidR="00A702DC">
        <w:t>23</w:t>
      </w:r>
      <w:r w:rsidRPr="005C59B5">
        <w:t xml:space="preserve"> </w:t>
      </w:r>
      <w:r w:rsidR="00585A43">
        <w:t>april</w:t>
      </w:r>
      <w:r w:rsidR="00585A43" w:rsidRPr="005C59B5">
        <w:t xml:space="preserve"> </w:t>
      </w:r>
      <w:r w:rsidRPr="005C59B5">
        <w:t>2024 om att inte invända mot kommissionens delegerade förordning av den 12 mars 2024 om ändring av kommissionens delegerade förordning (EU) 2022/126 om kompletterin</w:t>
      </w:r>
      <w:bookmarkStart w:id="4" w:name="_GoBack"/>
      <w:bookmarkEnd w:id="4"/>
      <w:r w:rsidRPr="005C59B5">
        <w:t>g av Europaparlamentets och rådets förordning (EU) 2021/2115 vad gäller andelen för norm 1 för god jordbrukshävd och goda miljöförhållanden (GAEC)</w:t>
      </w:r>
      <w:bookmarkEnd w:id="3"/>
      <w:r w:rsidRPr="005C59B5">
        <w:t xml:space="preserve"> </w:t>
      </w:r>
      <w:bookmarkStart w:id="5" w:name="References"/>
      <w:r w:rsidRPr="005C59B5">
        <w:t>(C(2024)01488 – 2024/2663(DEA))</w:t>
      </w:r>
      <w:bookmarkEnd w:id="5"/>
    </w:p>
    <w:p w14:paraId="540719DF" w14:textId="77777777" w:rsidR="005A6C03" w:rsidRPr="005C59B5" w:rsidRDefault="005A6C03" w:rsidP="005A6C03"/>
    <w:p w14:paraId="2F78682A" w14:textId="77777777" w:rsidR="001A3A96" w:rsidRPr="005C59B5" w:rsidRDefault="001A3A96" w:rsidP="001A3A96">
      <w:pPr>
        <w:pStyle w:val="NormalHanging12a"/>
        <w:rPr>
          <w:i/>
        </w:rPr>
      </w:pPr>
      <w:bookmarkStart w:id="6" w:name="TextBodyBegin"/>
      <w:bookmarkEnd w:id="6"/>
      <w:r w:rsidRPr="005C59B5">
        <w:rPr>
          <w:i/>
        </w:rPr>
        <w:t>Europaparlamentet fattar detta beslut</w:t>
      </w:r>
    </w:p>
    <w:p w14:paraId="3940D92B" w14:textId="77777777" w:rsidR="001A3A96" w:rsidRPr="005C59B5" w:rsidRDefault="001A3A96" w:rsidP="001A3A96">
      <w:pPr>
        <w:pStyle w:val="NormalHanging12a"/>
      </w:pPr>
      <w:r w:rsidRPr="005C59B5">
        <w:t>–</w:t>
      </w:r>
      <w:r w:rsidRPr="005C59B5">
        <w:tab/>
        <w:t>med beaktande av kommissionens delegerade förordning (C(2024)01488),</w:t>
      </w:r>
    </w:p>
    <w:p w14:paraId="07D80C29" w14:textId="77777777" w:rsidR="001A3A96" w:rsidRPr="005C59B5" w:rsidRDefault="001A3A96" w:rsidP="001A3A96">
      <w:pPr>
        <w:pStyle w:val="NormalHanging12a"/>
      </w:pPr>
      <w:r w:rsidRPr="005C59B5">
        <w:t>–</w:t>
      </w:r>
      <w:r w:rsidRPr="005C59B5">
        <w:tab/>
        <w:t>med beaktande av kommissionens skrivelse av den 12 mars 2024, i vilken parlamentet uppmanas att tillkännage att det inte avser att invända mot den delegerade förordningen,</w:t>
      </w:r>
    </w:p>
    <w:p w14:paraId="06572397" w14:textId="77777777" w:rsidR="001A3A96" w:rsidRPr="005C59B5" w:rsidRDefault="001A3A96" w:rsidP="001A3A96">
      <w:pPr>
        <w:pStyle w:val="NormalHanging12a"/>
      </w:pPr>
      <w:r w:rsidRPr="005C59B5">
        <w:t>–</w:t>
      </w:r>
      <w:r w:rsidRPr="005C59B5">
        <w:tab/>
        <w:t>med beaktande av skrivelsen av den 19 mars 2024 från utskottet för jordbruk och landsbygdens utveckling till utskottsordförandekonferensens ordförande,</w:t>
      </w:r>
    </w:p>
    <w:p w14:paraId="57FD0F27" w14:textId="77777777" w:rsidR="001A3A96" w:rsidRPr="005C59B5" w:rsidRDefault="001A3A96" w:rsidP="001A3A96">
      <w:pPr>
        <w:pStyle w:val="NormalHanging12a"/>
      </w:pPr>
      <w:r w:rsidRPr="005C59B5">
        <w:t>–</w:t>
      </w:r>
      <w:r w:rsidRPr="005C59B5">
        <w:tab/>
        <w:t>med beaktande av artikel 290 i fördraget om Europeiska unionens funktionssätt,</w:t>
      </w:r>
    </w:p>
    <w:p w14:paraId="223B26F5" w14:textId="77777777" w:rsidR="001A3A96" w:rsidRPr="005C59B5" w:rsidRDefault="001A3A96" w:rsidP="001A3A96">
      <w:pPr>
        <w:pStyle w:val="NormalHanging12a"/>
      </w:pPr>
      <w:r w:rsidRPr="005C59B5">
        <w:t>–</w:t>
      </w:r>
      <w:r w:rsidRPr="005C59B5">
        <w:tab/>
        <w:t>med beaktande av Europaparlamentets och rådets förordning (EU) 2021/2115 av den 2 december 2021 om fastställande av regler om stöd för de strategiska planer som medlemsstaterna ska upprätta inom ramen för den gemensamma jordbrukspolitiken (strategiska GJP-planer) och som finansieras av Europeiska garantifonden för jordbruket (EGFJ) och Europeiska jordbruksfonden för landsbygdsutveckling (</w:t>
      </w:r>
      <w:proofErr w:type="spellStart"/>
      <w:r w:rsidRPr="005C59B5">
        <w:t>Ejflu</w:t>
      </w:r>
      <w:proofErr w:type="spellEnd"/>
      <w:r w:rsidRPr="005C59B5">
        <w:t>) samt om upphävande av förordningarna (EU) nr 1305/2013 och (EU) nr 1307/2013</w:t>
      </w:r>
      <w:r w:rsidRPr="005C59B5">
        <w:rPr>
          <w:rStyle w:val="FootnoteReference"/>
          <w:color w:val="000000"/>
        </w:rPr>
        <w:footnoteReference w:id="1"/>
      </w:r>
      <w:r w:rsidRPr="005C59B5">
        <w:t>, särskilt artiklarna 13.3 och 152.6,</w:t>
      </w:r>
    </w:p>
    <w:p w14:paraId="52524C09" w14:textId="77777777" w:rsidR="001A3A96" w:rsidRPr="005C59B5" w:rsidRDefault="001A3A96" w:rsidP="001A3A96">
      <w:pPr>
        <w:pStyle w:val="NormalHanging12a"/>
      </w:pPr>
      <w:r w:rsidRPr="005C59B5">
        <w:t>–</w:t>
      </w:r>
      <w:r w:rsidRPr="005C59B5">
        <w:tab/>
        <w:t>med beaktande av artikel 111.6 i arbetsordningen,</w:t>
      </w:r>
    </w:p>
    <w:p w14:paraId="3A3BD69A" w14:textId="77777777" w:rsidR="001A3A96" w:rsidRPr="005C59B5" w:rsidRDefault="001A3A96" w:rsidP="001A3A96">
      <w:pPr>
        <w:pStyle w:val="NormalHanging12a"/>
      </w:pPr>
      <w:r w:rsidRPr="005C59B5">
        <w:t>–</w:t>
      </w:r>
      <w:r w:rsidRPr="005C59B5">
        <w:tab/>
        <w:t>med beaktande av rekommendationen till beslut från utskottet för jordbruk och landsbygdens utveckling, och av följande skäl:</w:t>
      </w:r>
    </w:p>
    <w:p w14:paraId="24A4A9EA" w14:textId="77777777" w:rsidR="001A3A96" w:rsidRPr="005C59B5" w:rsidRDefault="001A3A96" w:rsidP="001A3A96">
      <w:pPr>
        <w:pStyle w:val="NormalHanging12a"/>
      </w:pPr>
      <w:r w:rsidRPr="005C59B5">
        <w:t>A.</w:t>
      </w:r>
      <w:r w:rsidRPr="005C59B5">
        <w:tab/>
        <w:t xml:space="preserve">Sedan den 1 januari 2023 genomför medlemsstaterna sina strategiska GJP-planer med skyldigheten att bevara en andel permanent gräsmark i förhållande till den </w:t>
      </w:r>
      <w:r w:rsidRPr="005C59B5">
        <w:lastRenderedPageBreak/>
        <w:t>jordbruksareal som fastställs i enlighet med norm 1 för god jordbrukshävd och goda miljöförhållanden (GAEC 1) i bilaga III till förordning (EU) 2021/2115.</w:t>
      </w:r>
    </w:p>
    <w:p w14:paraId="5C1732EC" w14:textId="77777777" w:rsidR="001A3A96" w:rsidRPr="005C59B5" w:rsidRDefault="001A3A96" w:rsidP="001A3A96">
      <w:pPr>
        <w:pStyle w:val="NormalHanging12a"/>
      </w:pPr>
      <w:r w:rsidRPr="005C59B5">
        <w:t>B.</w:t>
      </w:r>
      <w:r w:rsidRPr="005C59B5">
        <w:tab/>
        <w:t>Erfarenheterna sedan GAEC 1 började genomföras visar att dessa regler behöver ändras för att undvika en oproportionerligt stor börda för jordbrukarna i de fall där strukturella förändringar i medlemsstaternas jordbrukssystem orsakade av en marknadsomställning, såsom en övergång från animalieproduktion till åkerbruk och en minskning av animalieproduktionen, har en betydande inverkan på jordbrukarnas förmåga att fastställa permanenta gräsmarker samtidigt som de bibehåller sin lönsamhet.</w:t>
      </w:r>
    </w:p>
    <w:p w14:paraId="01097B6E" w14:textId="77777777" w:rsidR="001A3A96" w:rsidRPr="005C59B5" w:rsidRDefault="001A3A96" w:rsidP="001A3A96">
      <w:pPr>
        <w:pStyle w:val="NormalHanging12a"/>
      </w:pPr>
      <w:r w:rsidRPr="005C59B5">
        <w:t>C.</w:t>
      </w:r>
      <w:r w:rsidRPr="005C59B5">
        <w:tab/>
        <w:t>I vissa situationer kan medlemsstater behöva införa skyldigheter för stödmottagare att ställa om arealer till permanent gräsmark eller fastställa arealer som utgörs av permanent gräsmark även om minskningen av den årliga andelen beror på fluktuationer i de deklarerade arealerna.</w:t>
      </w:r>
    </w:p>
    <w:p w14:paraId="63D0C974" w14:textId="77777777" w:rsidR="001A3A96" w:rsidRPr="005C59B5" w:rsidRDefault="001A3A96" w:rsidP="001A3A96">
      <w:pPr>
        <w:pStyle w:val="NormalHanging12a"/>
      </w:pPr>
      <w:r w:rsidRPr="005C59B5">
        <w:t>D.</w:t>
      </w:r>
      <w:r w:rsidRPr="005C59B5">
        <w:tab/>
        <w:t>Under vissa omständigheter kan arealer som utgörs av permanent gräsmark registreras i systemet för identifiering av jordbruksskiften utan att jordbrukare deklarerar dem för direktstöd under ett visst år, och den totala jordbruksarealen kan öka på grund av ytterligare deklarationer från jordbrukare.</w:t>
      </w:r>
    </w:p>
    <w:p w14:paraId="5BCD6492" w14:textId="77777777" w:rsidR="001A3A96" w:rsidRPr="005C59B5" w:rsidRDefault="001A3A96" w:rsidP="001A3A96">
      <w:pPr>
        <w:pStyle w:val="NormalHanging12a"/>
      </w:pPr>
      <w:r w:rsidRPr="005C59B5">
        <w:t>E.</w:t>
      </w:r>
      <w:r w:rsidRPr="005C59B5">
        <w:tab/>
        <w:t>I sådana situationer där minskningen av den årliga andelen över det tröskelvärde på 5 % som fastställs i bilaga III till förordning (EU) 2021/2115 inte beror på att arealer som utgörs av permanent gräsmark har ställts om till andra jordbruksändamål, skulle det vara oproportionerligt att ålägga jordbrukare skyldigheter att fastställa ytterligare arealer permanent gräsmark.</w:t>
      </w:r>
    </w:p>
    <w:p w14:paraId="71981CE3" w14:textId="77777777" w:rsidR="001A3A96" w:rsidRPr="005C59B5" w:rsidRDefault="001A3A96" w:rsidP="001A3A96">
      <w:pPr>
        <w:pStyle w:val="NormalHanging12a"/>
      </w:pPr>
      <w:r w:rsidRPr="005C59B5">
        <w:t>F.</w:t>
      </w:r>
      <w:r w:rsidRPr="005C59B5">
        <w:tab/>
        <w:t>Det är lämpligt att tillåta en viss grad av flexibilitet, samtidigt som överensstämmelse säkerställs med det huvudsakliga målet för GAEC 1 att ha en allmän skyddsåtgärd mot omställning till andra jordbruksändamål, i syfte att bevara kollagret och med den högsta minskning av andelen som anges i bilaga III till förordning (EU) 2021/2115.</w:t>
      </w:r>
    </w:p>
    <w:p w14:paraId="73992739" w14:textId="77777777" w:rsidR="001A3A96" w:rsidRPr="005C59B5" w:rsidRDefault="001A3A96" w:rsidP="001A3A96">
      <w:pPr>
        <w:pStyle w:val="NormalHanging12a"/>
      </w:pPr>
      <w:r w:rsidRPr="005C59B5">
        <w:t>G.</w:t>
      </w:r>
      <w:r w:rsidRPr="005C59B5">
        <w:tab/>
        <w:t>Kommissionens delegerade förordning (EU) 2022/126</w:t>
      </w:r>
      <w:r w:rsidRPr="005C59B5">
        <w:rPr>
          <w:rStyle w:val="FootnoteReference"/>
          <w:color w:val="000000"/>
        </w:rPr>
        <w:footnoteReference w:id="2"/>
      </w:r>
      <w:r w:rsidRPr="005C59B5">
        <w:t>, som fastställer regler om andelen för GAEC 1, bör därför ändras.</w:t>
      </w:r>
    </w:p>
    <w:p w14:paraId="5582B229" w14:textId="77777777" w:rsidR="001A3A96" w:rsidRPr="005C59B5" w:rsidRDefault="001A3A96" w:rsidP="001A3A96">
      <w:pPr>
        <w:pStyle w:val="NormalHanging12a"/>
      </w:pPr>
      <w:r w:rsidRPr="005C59B5">
        <w:t>1.</w:t>
      </w:r>
      <w:r w:rsidRPr="005C59B5">
        <w:tab/>
        <w:t>Europaparlamentet tillkännager att det inte invänder mot den delegerade förordningen.</w:t>
      </w:r>
    </w:p>
    <w:p w14:paraId="11F9C3DC" w14:textId="77777777" w:rsidR="001A3A96" w:rsidRPr="005C59B5" w:rsidRDefault="001A3A96" w:rsidP="001A3A96">
      <w:pPr>
        <w:pStyle w:val="NormalHanging12a"/>
        <w:rPr>
          <w:szCs w:val="24"/>
        </w:rPr>
      </w:pPr>
      <w:r w:rsidRPr="005C59B5">
        <w:t>2.</w:t>
      </w:r>
      <w:r w:rsidRPr="005C59B5">
        <w:tab/>
        <w:t>Europaparlamentet uppdrar åt talmannen att översända detta beslut till rådet och kommissionen.</w:t>
      </w:r>
    </w:p>
    <w:p w14:paraId="35DB9727" w14:textId="77777777" w:rsidR="001A3A96" w:rsidRPr="005C59B5" w:rsidRDefault="001A3A96" w:rsidP="001A3A96">
      <w:pPr>
        <w:pStyle w:val="NormalHanging12a"/>
        <w:rPr>
          <w:szCs w:val="24"/>
        </w:rPr>
      </w:pPr>
    </w:p>
    <w:p w14:paraId="444290E7" w14:textId="77777777" w:rsidR="001A3A96" w:rsidRPr="005C59B5" w:rsidRDefault="001A3A96" w:rsidP="001A3A96"/>
    <w:p w14:paraId="48BDD0AC" w14:textId="77777777" w:rsidR="00E365E1" w:rsidRPr="005C59B5" w:rsidRDefault="00E365E1" w:rsidP="005A6C03">
      <w:bookmarkStart w:id="7" w:name="TextBodyEnd"/>
      <w:bookmarkEnd w:id="7"/>
    </w:p>
    <w:sectPr w:rsidR="00E365E1" w:rsidRPr="005C59B5" w:rsidSect="005C59B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FC4BA4" w14:textId="77777777" w:rsidR="005A6C03" w:rsidRPr="005C59B5" w:rsidRDefault="005A6C03">
      <w:r w:rsidRPr="005C59B5">
        <w:separator/>
      </w:r>
    </w:p>
  </w:endnote>
  <w:endnote w:type="continuationSeparator" w:id="0">
    <w:p w14:paraId="093143DE" w14:textId="77777777" w:rsidR="005A6C03" w:rsidRPr="005C59B5" w:rsidRDefault="005A6C03">
      <w:r w:rsidRPr="005C59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AC41A" w14:textId="77777777" w:rsidR="00064002" w:rsidRPr="005C59B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1C7F5" w14:textId="77777777" w:rsidR="00064002" w:rsidRPr="005C59B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D6ED7" w14:textId="77777777" w:rsidR="00064002" w:rsidRPr="005C59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D85143" w14:textId="77777777" w:rsidR="005A6C03" w:rsidRPr="005C59B5" w:rsidRDefault="005A6C03">
      <w:r w:rsidRPr="005C59B5">
        <w:separator/>
      </w:r>
    </w:p>
  </w:footnote>
  <w:footnote w:type="continuationSeparator" w:id="0">
    <w:p w14:paraId="5FC696A8" w14:textId="77777777" w:rsidR="005A6C03" w:rsidRPr="005C59B5" w:rsidRDefault="005A6C03">
      <w:r w:rsidRPr="005C59B5">
        <w:continuationSeparator/>
      </w:r>
    </w:p>
  </w:footnote>
  <w:footnote w:id="1">
    <w:p w14:paraId="300D2971" w14:textId="77777777" w:rsidR="001A3A96" w:rsidRPr="005C59B5" w:rsidRDefault="001A3A96" w:rsidP="005C59B5">
      <w:pPr>
        <w:pStyle w:val="FootnoteText"/>
        <w:ind w:left="567" w:hanging="567"/>
        <w:rPr>
          <w:sz w:val="24"/>
          <w:lang w:val="sv-SE"/>
        </w:rPr>
      </w:pPr>
      <w:r w:rsidRPr="005C59B5">
        <w:rPr>
          <w:rStyle w:val="FootnoteReference"/>
          <w:sz w:val="24"/>
          <w:lang w:val="sv-SE"/>
        </w:rPr>
        <w:footnoteRef/>
      </w:r>
      <w:r w:rsidR="005C59B5" w:rsidRPr="005C59B5">
        <w:rPr>
          <w:sz w:val="24"/>
          <w:lang w:val="sv-SE"/>
        </w:rPr>
        <w:t xml:space="preserve"> </w:t>
      </w:r>
      <w:r w:rsidR="005C59B5" w:rsidRPr="005C59B5">
        <w:rPr>
          <w:sz w:val="24"/>
          <w:lang w:val="sv-SE"/>
        </w:rPr>
        <w:tab/>
      </w:r>
      <w:r w:rsidRPr="005C59B5">
        <w:rPr>
          <w:sz w:val="24"/>
          <w:lang w:val="sv-SE"/>
        </w:rPr>
        <w:t>EUT L 435, 6.12.2021, s. 1.</w:t>
      </w:r>
    </w:p>
  </w:footnote>
  <w:footnote w:id="2">
    <w:p w14:paraId="03FB9A30" w14:textId="77777777" w:rsidR="001A3A96" w:rsidRPr="005C59B5" w:rsidRDefault="001A3A96" w:rsidP="005C59B5">
      <w:pPr>
        <w:pStyle w:val="FootnoteText"/>
        <w:ind w:left="567" w:hanging="567"/>
        <w:rPr>
          <w:sz w:val="24"/>
          <w:lang w:val="sv-SE"/>
        </w:rPr>
      </w:pPr>
      <w:r w:rsidRPr="005C59B5">
        <w:rPr>
          <w:rStyle w:val="FootnoteReference"/>
          <w:sz w:val="24"/>
          <w:lang w:val="sv-SE"/>
        </w:rPr>
        <w:footnoteRef/>
      </w:r>
      <w:r w:rsidR="005C59B5" w:rsidRPr="005C59B5">
        <w:rPr>
          <w:sz w:val="24"/>
          <w:lang w:val="sv-SE"/>
        </w:rPr>
        <w:t xml:space="preserve"> </w:t>
      </w:r>
      <w:r w:rsidR="005C59B5" w:rsidRPr="005C59B5">
        <w:rPr>
          <w:sz w:val="24"/>
          <w:lang w:val="sv-SE"/>
        </w:rPr>
        <w:tab/>
      </w:r>
      <w:r w:rsidRPr="005C59B5">
        <w:rPr>
          <w:sz w:val="24"/>
          <w:lang w:val="sv-SE"/>
        </w:rPr>
        <w:t>Kommissionens delegerade förordning (EU) 2022/126 av den 7 december 2021 om komplettering av Europaparlamentets och rådets förordning (EU) 2021/2115 med ytterligare krav för vissa interventionstyper som anges av medlemsstaterna i deras strategiska GJP-planer för perioden 2023–2027 enligt den förordningen samt om andelen för norm 1 för god jordbrukshävd och goda miljöförhållanden (GAEC) (EUT L 20, 31.1.2022, s. 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6ECCE" w14:textId="77777777" w:rsidR="00064002" w:rsidRPr="005C59B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53CB3" w14:textId="77777777" w:rsidR="00064002" w:rsidRPr="005C59B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F8824" w14:textId="77777777" w:rsidR="00064002" w:rsidRPr="005C59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SV"/>
    <w:docVar w:name="dvnumam" w:val="0"/>
    <w:docVar w:name="dvpe" w:val="759.936"/>
    <w:docVar w:name="dvtitre" w:val="Europaparlamentets beslut av den xx xx 2024 om att inte invända mot kommissionens delegerade förordning av den 12 mars 2024 om ändring av kommissionens delegerade förordning (EU) 2022/126 om komplettering av Europaparlamentets och rådets förordning (EU) 2021/2115 vad gäller andelen för norm 1 för god jordbrukshävd och goda miljöförhållanden (GAEC)(C(2024)01488 – 2024/2663(DEA))"/>
  </w:docVars>
  <w:rsids>
    <w:rsidRoot w:val="005A6C03"/>
    <w:rsid w:val="00002272"/>
    <w:rsid w:val="00064002"/>
    <w:rsid w:val="000677B9"/>
    <w:rsid w:val="0007507E"/>
    <w:rsid w:val="000831BA"/>
    <w:rsid w:val="000A42CC"/>
    <w:rsid w:val="000E7DD9"/>
    <w:rsid w:val="0010095E"/>
    <w:rsid w:val="00125B37"/>
    <w:rsid w:val="00187494"/>
    <w:rsid w:val="001A3A96"/>
    <w:rsid w:val="001F32AE"/>
    <w:rsid w:val="002767FF"/>
    <w:rsid w:val="002A157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A43"/>
    <w:rsid w:val="005A6C03"/>
    <w:rsid w:val="005C2568"/>
    <w:rsid w:val="005C59B5"/>
    <w:rsid w:val="006037C0"/>
    <w:rsid w:val="006631B6"/>
    <w:rsid w:val="00677D29"/>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2D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4CD5"/>
    <w:rsid w:val="00D834A0"/>
    <w:rsid w:val="00D872DF"/>
    <w:rsid w:val="00D91E21"/>
    <w:rsid w:val="00DA7FCD"/>
    <w:rsid w:val="00DF02D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75BBA"/>
  <w15:chartTrackingRefBased/>
  <w15:docId w15:val="{8D0215A8-736B-44A9-B6DA-0668B3A7E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A3A96"/>
    <w:pPr>
      <w:spacing w:after="240"/>
      <w:ind w:left="567" w:hanging="567"/>
    </w:pPr>
  </w:style>
  <w:style w:type="character" w:styleId="CommentReference">
    <w:name w:val="annotation reference"/>
    <w:basedOn w:val="DefaultParagraphFont"/>
    <w:rsid w:val="0007507E"/>
    <w:rPr>
      <w:sz w:val="16"/>
      <w:szCs w:val="16"/>
    </w:rPr>
  </w:style>
  <w:style w:type="paragraph" w:styleId="CommentText">
    <w:name w:val="annotation text"/>
    <w:basedOn w:val="Normal"/>
    <w:link w:val="CommentTextChar"/>
    <w:rsid w:val="0007507E"/>
    <w:rPr>
      <w:sz w:val="20"/>
    </w:rPr>
  </w:style>
  <w:style w:type="character" w:customStyle="1" w:styleId="CommentTextChar">
    <w:name w:val="Comment Text Char"/>
    <w:basedOn w:val="DefaultParagraphFont"/>
    <w:link w:val="CommentText"/>
    <w:rsid w:val="0007507E"/>
    <w:rPr>
      <w:lang w:val="sv-SE"/>
    </w:rPr>
  </w:style>
  <w:style w:type="paragraph" w:styleId="CommentSubject">
    <w:name w:val="annotation subject"/>
    <w:basedOn w:val="CommentText"/>
    <w:next w:val="CommentText"/>
    <w:link w:val="CommentSubjectChar"/>
    <w:rsid w:val="0007507E"/>
    <w:rPr>
      <w:b/>
      <w:bCs/>
    </w:rPr>
  </w:style>
  <w:style w:type="character" w:customStyle="1" w:styleId="CommentSubjectChar">
    <w:name w:val="Comment Subject Char"/>
    <w:basedOn w:val="CommentTextChar"/>
    <w:link w:val="CommentSubject"/>
    <w:rsid w:val="0007507E"/>
    <w:rPr>
      <w:b/>
      <w:bCs/>
      <w:lang w:val="sv-SE"/>
    </w:rPr>
  </w:style>
  <w:style w:type="paragraph" w:styleId="BalloonText">
    <w:name w:val="Balloon Text"/>
    <w:basedOn w:val="Normal"/>
    <w:link w:val="BalloonTextChar"/>
    <w:rsid w:val="0007507E"/>
    <w:rPr>
      <w:rFonts w:ascii="Segoe UI" w:hAnsi="Segoe UI" w:cs="Segoe UI"/>
      <w:sz w:val="18"/>
      <w:szCs w:val="18"/>
    </w:rPr>
  </w:style>
  <w:style w:type="character" w:customStyle="1" w:styleId="BalloonTextChar">
    <w:name w:val="Balloon Text Char"/>
    <w:basedOn w:val="DefaultParagraphFont"/>
    <w:link w:val="BalloonText"/>
    <w:rsid w:val="0007507E"/>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FD8A0-6725-4E20-B7E7-76FF6CCE3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574</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2024-04-23T12:31:00Z</dcterms:created>
  <dcterms:modified xsi:type="dcterms:W3CDTF">2024-04-23T12:31:00Z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P9_TA-PROV(2024)0290_B9-0199_2024_SV_r</vt:lpwstr>
  </property>
  <property fmtid="{D5CDD505-2E9C-101B-9397-08002B2CF9AE}" pid="4" name="&lt;Type&gt;">
    <vt:lpwstr>RR</vt:lpwstr>
  </property>
</Properties>
</file>