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3271" w14:paraId="77AFC6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F7A716" w14:textId="77777777" w:rsidR="00751A4A" w:rsidRPr="00593271" w:rsidRDefault="005E4A8E" w:rsidP="0010095E">
            <w:pPr>
              <w:pStyle w:val="EPName"/>
            </w:pPr>
            <w:r w:rsidRPr="00593271">
              <w:t>Evropski parlament</w:t>
            </w:r>
          </w:p>
          <w:p w14:paraId="3CD1CEA9" w14:textId="77777777" w:rsidR="00751A4A" w:rsidRPr="005932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327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7F1F0CD" w14:textId="77777777" w:rsidR="00751A4A" w:rsidRPr="00593271" w:rsidRDefault="00187494" w:rsidP="0010095E">
            <w:pPr>
              <w:pStyle w:val="EPLogo"/>
            </w:pPr>
            <w:r w:rsidRPr="00593271">
              <w:rPr>
                <w:noProof/>
                <w:lang w:val="en-GB"/>
              </w:rPr>
              <w:drawing>
                <wp:inline distT="0" distB="0" distL="0" distR="0" wp14:anchorId="78D7AA3D" wp14:editId="04AAE8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6A1E2" w14:textId="77777777" w:rsidR="00D058B8" w:rsidRPr="00593271" w:rsidRDefault="00D058B8" w:rsidP="004C5D52">
      <w:pPr>
        <w:pStyle w:val="LineTop"/>
      </w:pPr>
    </w:p>
    <w:p w14:paraId="6F8D19F7" w14:textId="77777777" w:rsidR="00680577" w:rsidRPr="00593271" w:rsidRDefault="005E4A8E" w:rsidP="00680577">
      <w:pPr>
        <w:pStyle w:val="EPBodyTA1"/>
      </w:pPr>
      <w:r w:rsidRPr="00593271">
        <w:t>SPREJETA BESEDILA</w:t>
      </w:r>
    </w:p>
    <w:p w14:paraId="132A01C8" w14:textId="77777777" w:rsidR="00D058B8" w:rsidRPr="00593271" w:rsidRDefault="00D058B8" w:rsidP="00D058B8">
      <w:pPr>
        <w:pStyle w:val="LineBottom"/>
      </w:pPr>
    </w:p>
    <w:p w14:paraId="4D93229B" w14:textId="56D42A54" w:rsidR="005E4A8E" w:rsidRPr="00593271" w:rsidRDefault="005E4A8E" w:rsidP="00400EAA">
      <w:pPr>
        <w:pStyle w:val="ATHeading1"/>
      </w:pPr>
      <w:bookmarkStart w:id="0" w:name="TANumber"/>
      <w:r w:rsidRPr="00593271">
        <w:t>P9_TA(2024)</w:t>
      </w:r>
      <w:bookmarkEnd w:id="0"/>
      <w:r w:rsidR="00DE574A" w:rsidRPr="00593271">
        <w:t>029</w:t>
      </w:r>
      <w:r w:rsidR="00400EAA" w:rsidRPr="00593271">
        <w:t>2</w:t>
      </w:r>
    </w:p>
    <w:p w14:paraId="20A3830E" w14:textId="2468B49B" w:rsidR="005E4A8E" w:rsidRPr="00593271" w:rsidRDefault="005E4A8E" w:rsidP="008B7417">
      <w:pPr>
        <w:pStyle w:val="ATHeading2"/>
      </w:pPr>
      <w:bookmarkStart w:id="1" w:name="title"/>
      <w:r w:rsidRPr="00593271">
        <w:t>Ukrepi za znižanje stroškov za postavitev gigabitnih elektronskih komunikacijskih omrežij (Akt o gigabitni infrastrukturi)</w:t>
      </w:r>
      <w:bookmarkEnd w:id="1"/>
    </w:p>
    <w:p w14:paraId="3BE77565" w14:textId="77777777" w:rsidR="005E4A8E" w:rsidRPr="00593271" w:rsidRDefault="005E4A8E" w:rsidP="005E4A8E">
      <w:pPr>
        <w:rPr>
          <w:i/>
          <w:vanish/>
        </w:rPr>
      </w:pPr>
      <w:r w:rsidRPr="00593271">
        <w:rPr>
          <w:i/>
        </w:rPr>
        <w:fldChar w:fldCharType="begin"/>
      </w:r>
      <w:r w:rsidRPr="00593271">
        <w:rPr>
          <w:i/>
        </w:rPr>
        <w:instrText xml:space="preserve"> TC"(</w:instrText>
      </w:r>
      <w:bookmarkStart w:id="2" w:name="DocNumber"/>
      <w:r w:rsidRPr="00593271">
        <w:rPr>
          <w:i/>
        </w:rPr>
        <w:instrText>A9-0275/2023</w:instrText>
      </w:r>
      <w:bookmarkEnd w:id="2"/>
      <w:r w:rsidRPr="00593271">
        <w:rPr>
          <w:i/>
        </w:rPr>
        <w:instrText xml:space="preserve"> - Poročevalec: Alin Mituța)"\l3 \n&gt; \* MERGEFORMAT </w:instrText>
      </w:r>
      <w:r w:rsidRPr="00593271">
        <w:rPr>
          <w:i/>
        </w:rPr>
        <w:fldChar w:fldCharType="end"/>
      </w:r>
    </w:p>
    <w:p w14:paraId="398F7E35" w14:textId="77777777" w:rsidR="005E4A8E" w:rsidRPr="00593271" w:rsidRDefault="005E4A8E" w:rsidP="005E4A8E">
      <w:pPr>
        <w:rPr>
          <w:vanish/>
        </w:rPr>
      </w:pPr>
      <w:bookmarkStart w:id="3" w:name="Commission"/>
      <w:r w:rsidRPr="00593271">
        <w:rPr>
          <w:vanish/>
        </w:rPr>
        <w:t>Odbor za industrijo, raziskave in energetiko</w:t>
      </w:r>
      <w:bookmarkEnd w:id="3"/>
    </w:p>
    <w:p w14:paraId="50E97AEA" w14:textId="77777777" w:rsidR="005E4A8E" w:rsidRPr="00593271" w:rsidRDefault="005E4A8E" w:rsidP="005E4A8E">
      <w:pPr>
        <w:rPr>
          <w:vanish/>
        </w:rPr>
      </w:pPr>
      <w:bookmarkStart w:id="4" w:name="PE"/>
      <w:r w:rsidRPr="00593271">
        <w:rPr>
          <w:vanish/>
        </w:rPr>
        <w:t>PE749.242</w:t>
      </w:r>
      <w:bookmarkEnd w:id="4"/>
    </w:p>
    <w:p w14:paraId="281D3DAC" w14:textId="461F7E43" w:rsidR="005E4A8E" w:rsidRPr="00593271" w:rsidRDefault="005E4A8E" w:rsidP="008B7417">
      <w:pPr>
        <w:pStyle w:val="ATHeading3"/>
      </w:pPr>
      <w:bookmarkStart w:id="5" w:name="Sujet"/>
      <w:r w:rsidRPr="00593271">
        <w:t xml:space="preserve">Zakonodajna resolucija Evropskega parlamenta z dne </w:t>
      </w:r>
      <w:r w:rsidR="008B7417" w:rsidRPr="00593271">
        <w:t>23</w:t>
      </w:r>
      <w:r w:rsidRPr="00593271">
        <w:t>. aprila 2024 o predlogu uredbe Evropskega parlamenta in Sveta o ukrepih za znižanje stroškov za postavitev gigabitnih elektronskih komunikacijskih omrežij in razveljavitvi Direktive 2014/61/EU (Akt o gigabitni infrastrukturi)</w:t>
      </w:r>
      <w:bookmarkEnd w:id="5"/>
      <w:r w:rsidRPr="00593271">
        <w:t xml:space="preserve"> </w:t>
      </w:r>
      <w:bookmarkStart w:id="6" w:name="References"/>
      <w:r w:rsidRPr="00593271">
        <w:t>(COM(2023)0094 – C9-0028/2023 – 2023/0046(COD))</w:t>
      </w:r>
      <w:bookmarkEnd w:id="6"/>
    </w:p>
    <w:p w14:paraId="4AA3150D" w14:textId="77777777" w:rsidR="00C1758C" w:rsidRPr="00593271" w:rsidRDefault="00C1758C" w:rsidP="00C1758C">
      <w:pPr>
        <w:pStyle w:val="NormalBold"/>
      </w:pPr>
      <w:bookmarkStart w:id="7" w:name="TextBodyBegin"/>
      <w:bookmarkEnd w:id="7"/>
      <w:r w:rsidRPr="00593271">
        <w:t>(Redni zakonodajni postopek: prva obravnava)</w:t>
      </w:r>
    </w:p>
    <w:p w14:paraId="6D6B6611" w14:textId="77777777" w:rsidR="00C1758C" w:rsidRPr="00593271" w:rsidRDefault="00C1758C" w:rsidP="00C1758C">
      <w:pPr>
        <w:pStyle w:val="EPComma"/>
      </w:pPr>
      <w:r w:rsidRPr="00593271">
        <w:rPr>
          <w:i/>
        </w:rPr>
        <w:t>Evropski parlament</w:t>
      </w:r>
      <w:r w:rsidRPr="00593271">
        <w:t>,</w:t>
      </w:r>
    </w:p>
    <w:p w14:paraId="4C378BEB" w14:textId="77777777" w:rsidR="00C1758C" w:rsidRPr="00593271" w:rsidRDefault="00C1758C" w:rsidP="00C1758C">
      <w:pPr>
        <w:pStyle w:val="NormalHanging12a"/>
      </w:pPr>
      <w:r w:rsidRPr="00593271">
        <w:t>–</w:t>
      </w:r>
      <w:r w:rsidRPr="00593271">
        <w:tab/>
        <w:t>ob upoštevanju predloga Komisije Evropskemu parlamentu in Svetu (COM(2023)0094),</w:t>
      </w:r>
    </w:p>
    <w:p w14:paraId="09FF8606" w14:textId="77777777" w:rsidR="00C1758C" w:rsidRPr="00593271" w:rsidRDefault="00C1758C" w:rsidP="00C1758C">
      <w:pPr>
        <w:pStyle w:val="NormalHanging12a"/>
      </w:pPr>
      <w:r w:rsidRPr="00593271">
        <w:t>–</w:t>
      </w:r>
      <w:r w:rsidRPr="00593271">
        <w:tab/>
        <w:t>ob upoštevanju člena 294(2) in člena 114 Pogodbe o delovanju Evropske unije, na podlagi katerih je Komisija podala predlog Parlamentu (C9</w:t>
      </w:r>
      <w:r w:rsidRPr="00593271">
        <w:noBreakHyphen/>
        <w:t>0028/2023),</w:t>
      </w:r>
    </w:p>
    <w:p w14:paraId="54C9D158" w14:textId="77777777" w:rsidR="002B16D1" w:rsidRPr="00593271" w:rsidRDefault="00C1758C" w:rsidP="002B16D1">
      <w:pPr>
        <w:pStyle w:val="NormalHanging12a"/>
      </w:pPr>
      <w:r w:rsidRPr="00593271">
        <w:t>–</w:t>
      </w:r>
      <w:r w:rsidRPr="00593271">
        <w:tab/>
        <w:t>ob upoštevanju člena 294(3) Pogodbe o delovanju Evropske unije,</w:t>
      </w:r>
    </w:p>
    <w:p w14:paraId="2AC54AE1" w14:textId="5D71063E" w:rsidR="00C1758C" w:rsidRPr="00593271" w:rsidRDefault="002B16D1" w:rsidP="002B16D1">
      <w:pPr>
        <w:pStyle w:val="NormalHanging12a"/>
      </w:pPr>
      <w:r w:rsidRPr="00593271">
        <w:t>–</w:t>
      </w:r>
      <w:r w:rsidRPr="00593271">
        <w:tab/>
        <w:t>ob upoštevanju obrazloženega mnenja italijanske poslanske zbornice v skladu s Protokolom št. 2 o uporabi načel subsidiarnosti in sorazmernosti, v katerem izjavlja, da osnutek zakonodajnega akta ni v skladu z načelom subsidiarnosti,</w:t>
      </w:r>
    </w:p>
    <w:p w14:paraId="54CCA114" w14:textId="5BA0150E" w:rsidR="008B7417" w:rsidRPr="00593271" w:rsidRDefault="00C1758C" w:rsidP="002B16D1">
      <w:pPr>
        <w:pStyle w:val="NormalHanging12a"/>
      </w:pPr>
      <w:r w:rsidRPr="00593271">
        <w:t>–</w:t>
      </w:r>
      <w:r w:rsidRPr="00593271">
        <w:tab/>
        <w:t>ob upoštevanju mnenja Evropskega ekonomsko-socialnega odbora z dne 12. julija 2023</w:t>
      </w:r>
      <w:r w:rsidRPr="00593271">
        <w:rPr>
          <w:rStyle w:val="FootnoteReference"/>
        </w:rPr>
        <w:footnoteReference w:id="1"/>
      </w:r>
      <w:r w:rsidRPr="00593271">
        <w:t>,</w:t>
      </w:r>
    </w:p>
    <w:p w14:paraId="275493A1" w14:textId="48A18385" w:rsidR="002B16D1" w:rsidRPr="00593271" w:rsidRDefault="002B16D1" w:rsidP="002B16D1">
      <w:pPr>
        <w:pStyle w:val="NormalHanging12a"/>
      </w:pPr>
      <w:r w:rsidRPr="00593271">
        <w:t>–</w:t>
      </w:r>
      <w:r w:rsidRPr="00593271">
        <w:tab/>
        <w:t xml:space="preserve">ob upoštevanju začasnega dogovora, ki </w:t>
      </w:r>
      <w:r w:rsidR="0002131C" w:rsidRPr="00593271">
        <w:t xml:space="preserve">ga </w:t>
      </w:r>
      <w:r w:rsidR="0064236F" w:rsidRPr="00593271">
        <w:t>je</w:t>
      </w:r>
      <w:r w:rsidRPr="00593271">
        <w:t xml:space="preserve"> odobril pristojn</w:t>
      </w:r>
      <w:r w:rsidR="0064236F" w:rsidRPr="00593271">
        <w:t>i</w:t>
      </w:r>
      <w:r w:rsidRPr="00593271">
        <w:t xml:space="preserve"> odbor na podlagi člena 74(4) Poslovnika, in zaveze predstavnika Sveta v pismu z dne 16. februarja 2024, da bo odobril stališče Evropskega parlamenta v skladu s členom 294(4) Pogodbe o delovanju Evropske unije,</w:t>
      </w:r>
    </w:p>
    <w:p w14:paraId="494C5A9A" w14:textId="77777777" w:rsidR="00C1758C" w:rsidRPr="00593271" w:rsidRDefault="00C1758C" w:rsidP="00C1758C">
      <w:pPr>
        <w:pStyle w:val="NormalHanging12a"/>
      </w:pPr>
      <w:r w:rsidRPr="00593271">
        <w:t>–</w:t>
      </w:r>
      <w:r w:rsidRPr="00593271">
        <w:tab/>
        <w:t>ob upoštevanju člena 59 Poslovnika,</w:t>
      </w:r>
    </w:p>
    <w:p w14:paraId="113C93B9" w14:textId="77777777" w:rsidR="00C1758C" w:rsidRPr="00593271" w:rsidRDefault="00C1758C" w:rsidP="00C1758C">
      <w:pPr>
        <w:pStyle w:val="NormalHanging12a"/>
      </w:pPr>
      <w:r w:rsidRPr="00593271">
        <w:t>–</w:t>
      </w:r>
      <w:r w:rsidRPr="00593271">
        <w:tab/>
        <w:t>ob upoštevanju poročila Odbora za industrijo, raziskave in energetiko (A9</w:t>
      </w:r>
      <w:r w:rsidRPr="00593271">
        <w:noBreakHyphen/>
        <w:t>0275/2023),</w:t>
      </w:r>
    </w:p>
    <w:p w14:paraId="5BFBE883" w14:textId="77777777" w:rsidR="00C1758C" w:rsidRPr="00593271" w:rsidRDefault="00C1758C" w:rsidP="00C1758C">
      <w:pPr>
        <w:pStyle w:val="NormalHanging12a"/>
      </w:pPr>
      <w:r w:rsidRPr="00593271">
        <w:lastRenderedPageBreak/>
        <w:t>1.</w:t>
      </w:r>
      <w:r w:rsidRPr="00593271">
        <w:tab/>
        <w:t>sprejme stališče v prvi obravnavi, kakor je določeno v nadaljevanju;</w:t>
      </w:r>
    </w:p>
    <w:p w14:paraId="6A13CE4B" w14:textId="77777777" w:rsidR="00C1758C" w:rsidRPr="00593271" w:rsidRDefault="00C1758C" w:rsidP="00C1758C">
      <w:pPr>
        <w:pStyle w:val="NormalHanging12a"/>
      </w:pPr>
      <w:r w:rsidRPr="00593271">
        <w:t>2.</w:t>
      </w:r>
      <w:r w:rsidRPr="00593271">
        <w:tab/>
        <w:t>poziva Komisijo, naj mu zadevo ponovno predloži, če svoj predlog nadomesti, ga bistveno spremeni ali ga namerava bistveno spremeniti;</w:t>
      </w:r>
    </w:p>
    <w:p w14:paraId="14DDF1E2" w14:textId="57F57363" w:rsidR="00C1758C" w:rsidRPr="00593271" w:rsidRDefault="00C1758C" w:rsidP="008B7417">
      <w:pPr>
        <w:pStyle w:val="NormalHanging12a"/>
      </w:pPr>
      <w:r w:rsidRPr="00593271">
        <w:t>3.</w:t>
      </w:r>
      <w:r w:rsidRPr="00593271">
        <w:tab/>
        <w:t>naroči svoji predsednici, naj stališče Parlamenta posreduje Svetu</w:t>
      </w:r>
      <w:r w:rsidR="008B7417" w:rsidRPr="00593271">
        <w:t>,</w:t>
      </w:r>
      <w:r w:rsidRPr="00593271">
        <w:t xml:space="preserve"> Komisiji </w:t>
      </w:r>
      <w:r w:rsidR="008B7417" w:rsidRPr="00593271">
        <w:t>in</w:t>
      </w:r>
      <w:r w:rsidRPr="00593271">
        <w:t xml:space="preserve"> nacionalnim parlamentom.</w:t>
      </w:r>
    </w:p>
    <w:p w14:paraId="21952E64" w14:textId="77777777" w:rsidR="00856DEB" w:rsidRPr="00593271" w:rsidRDefault="00856DEB" w:rsidP="00C1758C">
      <w:pPr>
        <w:widowControl/>
        <w:sectPr w:rsidR="00856DEB" w:rsidRPr="00593271" w:rsidSect="00270EC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216A26" w14:textId="77777777" w:rsidR="00856DEB" w:rsidRPr="00593271" w:rsidRDefault="00856DEB" w:rsidP="00856DEB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593271">
        <w:rPr>
          <w:rFonts w:eastAsia="Calibri"/>
          <w:b/>
          <w:szCs w:val="24"/>
          <w:lang w:eastAsia="en-US"/>
        </w:rPr>
        <w:lastRenderedPageBreak/>
        <w:t>P9_TC1-COD(2023)0046</w:t>
      </w:r>
    </w:p>
    <w:p w14:paraId="63F21A01" w14:textId="5D3C9E0C" w:rsidR="00856DEB" w:rsidRPr="008E191C" w:rsidRDefault="00856DEB" w:rsidP="00856DEB">
      <w:pPr>
        <w:widowControl/>
        <w:spacing w:after="200"/>
        <w:rPr>
          <w:rFonts w:eastAsia="Calibri"/>
          <w:b/>
          <w:color w:val="000000"/>
          <w:szCs w:val="22"/>
          <w:lang w:eastAsia="en-US"/>
        </w:rPr>
      </w:pPr>
      <w:r w:rsidRPr="00593271">
        <w:rPr>
          <w:rFonts w:eastAsia="Calibri"/>
          <w:b/>
          <w:szCs w:val="24"/>
          <w:lang w:eastAsia="en-US"/>
        </w:rPr>
        <w:t>Stališče Evropskega parlamenta, sprejeto v prvi obravnavi 23. aprila 2024 z namenom sprejetja Uredbe (EU) 2024/... Evropskega parla</w:t>
      </w:r>
      <w:r w:rsidRPr="008E191C">
        <w:rPr>
          <w:rFonts w:eastAsia="Calibri"/>
          <w:b/>
          <w:szCs w:val="24"/>
          <w:lang w:eastAsia="en-US"/>
        </w:rPr>
        <w:t xml:space="preserve">menta in Sveta </w:t>
      </w:r>
      <w:r w:rsidRPr="008E191C">
        <w:rPr>
          <w:rFonts w:eastAsia="Calibri"/>
          <w:b/>
          <w:color w:val="000000"/>
          <w:szCs w:val="22"/>
          <w:lang w:eastAsia="en-US"/>
        </w:rPr>
        <w:t>o ukrepih za znižanje stroškov za postavitev gigabitnih elektronskih komunikacijskih omrežij, spremembi Uredbe (EU) 2015/2120 in razveljavitvi Direktive 2014/61/EU (Akt o gigabitni infrastr</w:t>
      </w:r>
      <w:bookmarkStart w:id="8" w:name="_GoBack"/>
      <w:bookmarkEnd w:id="8"/>
      <w:r w:rsidRPr="008E191C">
        <w:rPr>
          <w:rFonts w:eastAsia="Calibri"/>
          <w:b/>
          <w:color w:val="000000"/>
          <w:szCs w:val="22"/>
          <w:lang w:eastAsia="en-US"/>
        </w:rPr>
        <w:t>ukturi)</w:t>
      </w:r>
    </w:p>
    <w:p w14:paraId="7988193C" w14:textId="06ACB1F0" w:rsidR="008E191C" w:rsidRPr="008E191C" w:rsidRDefault="008E191C" w:rsidP="008E191C">
      <w:pPr>
        <w:widowControl/>
        <w:spacing w:after="20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8E191C">
        <w:rPr>
          <w:rFonts w:eastAsia="Calibri"/>
          <w:bCs/>
          <w:i/>
          <w:iCs/>
          <w:color w:val="000000"/>
          <w:szCs w:val="22"/>
          <w:lang w:eastAsia="en-US"/>
        </w:rPr>
        <w:t>(Ker je bil dosežen sporazum med Parlamentom in Svetom, je stališče Parlamenta enako končnemu zakonodajnemu aktu, Uredbi (EU) 2024/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1309</w:t>
      </w:r>
      <w:r w:rsidRPr="008E191C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R="008E191C" w:rsidRPr="008E191C" w:rsidSect="00270EC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69F2C" w14:textId="77777777" w:rsidR="005E4A8E" w:rsidRPr="00270EC4" w:rsidRDefault="005E4A8E">
      <w:r w:rsidRPr="00270EC4">
        <w:separator/>
      </w:r>
    </w:p>
  </w:endnote>
  <w:endnote w:type="continuationSeparator" w:id="0">
    <w:p w14:paraId="461D97B0" w14:textId="77777777" w:rsidR="005E4A8E" w:rsidRPr="00270EC4" w:rsidRDefault="005E4A8E">
      <w:r w:rsidRPr="00270E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337E0" w14:textId="77777777" w:rsidR="005E4A8E" w:rsidRPr="00270EC4" w:rsidRDefault="005E4A8E">
      <w:r w:rsidRPr="00270EC4">
        <w:separator/>
      </w:r>
    </w:p>
  </w:footnote>
  <w:footnote w:type="continuationSeparator" w:id="0">
    <w:p w14:paraId="343AFE81" w14:textId="77777777" w:rsidR="005E4A8E" w:rsidRPr="00270EC4" w:rsidRDefault="005E4A8E">
      <w:r w:rsidRPr="00270EC4">
        <w:continuationSeparator/>
      </w:r>
    </w:p>
  </w:footnote>
  <w:footnote w:id="1">
    <w:p w14:paraId="3931244C" w14:textId="6B4A8DF8" w:rsidR="00C1758C" w:rsidRPr="00856DEB" w:rsidRDefault="00C1758C" w:rsidP="00400EAA">
      <w:pPr>
        <w:pStyle w:val="FootnoteText"/>
        <w:ind w:left="567" w:hanging="567"/>
        <w:rPr>
          <w:sz w:val="24"/>
          <w:szCs w:val="24"/>
          <w:lang w:val="sl-SI"/>
        </w:rPr>
      </w:pPr>
      <w:r w:rsidRPr="00856DEB">
        <w:rPr>
          <w:rStyle w:val="FootnoteReference"/>
          <w:sz w:val="24"/>
          <w:szCs w:val="24"/>
          <w:lang w:val="sl-SI"/>
        </w:rPr>
        <w:footnoteRef/>
      </w:r>
      <w:r w:rsidR="00270EC4" w:rsidRPr="00856DEB">
        <w:rPr>
          <w:sz w:val="24"/>
          <w:szCs w:val="24"/>
          <w:lang w:val="sl-SI"/>
        </w:rPr>
        <w:t xml:space="preserve"> </w:t>
      </w:r>
      <w:r w:rsidR="00270EC4" w:rsidRPr="00856DEB">
        <w:rPr>
          <w:sz w:val="24"/>
          <w:szCs w:val="24"/>
          <w:lang w:val="sl-SI"/>
        </w:rPr>
        <w:tab/>
      </w:r>
      <w:r w:rsidRPr="00856DEB">
        <w:rPr>
          <w:sz w:val="24"/>
          <w:szCs w:val="24"/>
          <w:lang w:val="sl-SI"/>
        </w:rPr>
        <w:t xml:space="preserve">UL C </w:t>
      </w:r>
      <w:r w:rsidR="008B7417" w:rsidRPr="00856DEB">
        <w:rPr>
          <w:sz w:val="24"/>
          <w:szCs w:val="24"/>
          <w:lang w:val="sl-SI"/>
        </w:rPr>
        <w:t>349, 29.9.2023, str. 116</w:t>
      </w:r>
      <w:r w:rsidRPr="00856DEB">
        <w:rPr>
          <w:sz w:val="24"/>
          <w:szCs w:val="24"/>
          <w:lang w:val="sl-S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3530C4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F"/>
    <w:multiLevelType w:val="singleLevel"/>
    <w:tmpl w:val="F998FE1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1"/>
    <w:multiLevelType w:val="singleLevel"/>
    <w:tmpl w:val="531CB3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418643A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0660F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F0C5C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BB88C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2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1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1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1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51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1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9"/>
  </w:num>
  <w:num w:numId="9">
    <w:abstractNumId w:val="22"/>
  </w:num>
  <w:num w:numId="10">
    <w:abstractNumId w:val="41"/>
  </w:num>
  <w:num w:numId="11">
    <w:abstractNumId w:val="8"/>
  </w:num>
  <w:num w:numId="12">
    <w:abstractNumId w:val="42"/>
  </w:num>
  <w:num w:numId="13">
    <w:abstractNumId w:val="36"/>
  </w:num>
  <w:num w:numId="14">
    <w:abstractNumId w:val="10"/>
  </w:num>
  <w:num w:numId="15">
    <w:abstractNumId w:val="44"/>
  </w:num>
  <w:num w:numId="16">
    <w:abstractNumId w:val="49"/>
  </w:num>
  <w:num w:numId="17">
    <w:abstractNumId w:val="32"/>
  </w:num>
  <w:num w:numId="18">
    <w:abstractNumId w:val="43"/>
  </w:num>
  <w:num w:numId="19">
    <w:abstractNumId w:val="38"/>
  </w:num>
  <w:num w:numId="20">
    <w:abstractNumId w:val="28"/>
  </w:num>
  <w:num w:numId="21">
    <w:abstractNumId w:val="16"/>
  </w:num>
  <w:num w:numId="22">
    <w:abstractNumId w:val="14"/>
  </w:num>
  <w:num w:numId="23">
    <w:abstractNumId w:val="40"/>
  </w:num>
  <w:num w:numId="24">
    <w:abstractNumId w:val="45"/>
  </w:num>
  <w:num w:numId="25">
    <w:abstractNumId w:val="7"/>
  </w:num>
  <w:num w:numId="26">
    <w:abstractNumId w:val="19"/>
  </w:num>
  <w:num w:numId="27">
    <w:abstractNumId w:val="13"/>
  </w:num>
  <w:num w:numId="28">
    <w:abstractNumId w:val="20"/>
  </w:num>
  <w:num w:numId="29">
    <w:abstractNumId w:val="33"/>
  </w:num>
  <w:num w:numId="30">
    <w:abstractNumId w:val="35"/>
    <w:lvlOverride w:ilvl="0">
      <w:startOverride w:val="1"/>
    </w:lvlOverride>
  </w:num>
  <w:num w:numId="31">
    <w:abstractNumId w:val="30"/>
  </w:num>
  <w:num w:numId="32">
    <w:abstractNumId w:val="12"/>
  </w:num>
  <w:num w:numId="33">
    <w:abstractNumId w:val="18"/>
  </w:num>
  <w:num w:numId="34">
    <w:abstractNumId w:val="51"/>
  </w:num>
  <w:num w:numId="35">
    <w:abstractNumId w:val="11"/>
  </w:num>
  <w:num w:numId="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</w:num>
  <w:num w:numId="38">
    <w:abstractNumId w:val="39"/>
  </w:num>
  <w:num w:numId="39">
    <w:abstractNumId w:val="21"/>
  </w:num>
  <w:num w:numId="40">
    <w:abstractNumId w:val="26"/>
  </w:num>
  <w:num w:numId="41">
    <w:abstractNumId w:val="27"/>
  </w:num>
  <w:num w:numId="42">
    <w:abstractNumId w:val="17"/>
  </w:num>
  <w:num w:numId="43">
    <w:abstractNumId w:val="29"/>
  </w:num>
  <w:num w:numId="44">
    <w:abstractNumId w:val="50"/>
  </w:num>
  <w:num w:numId="45">
    <w:abstractNumId w:val="23"/>
  </w:num>
  <w:num w:numId="46">
    <w:abstractNumId w:val="24"/>
  </w:num>
  <w:num w:numId="47">
    <w:abstractNumId w:val="31"/>
  </w:num>
  <w:num w:numId="48">
    <w:abstractNumId w:val="34"/>
  </w:num>
  <w:num w:numId="49">
    <w:abstractNumId w:val="47"/>
  </w:num>
  <w:num w:numId="50">
    <w:abstractNumId w:val="46"/>
  </w:num>
  <w:num w:numId="51">
    <w:abstractNumId w:val="4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SL"/>
    <w:docVar w:name="dvnumam" w:val="0"/>
    <w:docVar w:name="dvpe" w:val="749.242"/>
    <w:docVar w:name="dvrapporteur" w:val="Poročevalec: "/>
    <w:docVar w:name="dvstar" w:val="***I"/>
    <w:docVar w:name="dvtitre" w:val="Zakonodajna resolucija Evropskega parlamenta z dne xx. aprila 2024 o predlogu uredbe Evropskega parlamenta in Sveta o ukrepih za znižanje stroškov za postavitev gigabitnih elektronskih komunikacijskih omrežij in razveljavitvi Direktive 2014/61/EU (Akt o gigabitni infrastrukturi)(COM(2023)0094 – C9-0028/2023 – 2023/0046(COD))"/>
  </w:docVars>
  <w:rsids>
    <w:rsidRoot w:val="005E4A8E"/>
    <w:rsid w:val="00002272"/>
    <w:rsid w:val="0002131C"/>
    <w:rsid w:val="00064002"/>
    <w:rsid w:val="000677B9"/>
    <w:rsid w:val="000831BA"/>
    <w:rsid w:val="000A42CC"/>
    <w:rsid w:val="000E7DD9"/>
    <w:rsid w:val="000F224D"/>
    <w:rsid w:val="0010095E"/>
    <w:rsid w:val="00125B37"/>
    <w:rsid w:val="00187494"/>
    <w:rsid w:val="001F32AE"/>
    <w:rsid w:val="00270EC4"/>
    <w:rsid w:val="002767FF"/>
    <w:rsid w:val="002944B2"/>
    <w:rsid w:val="002B16D1"/>
    <w:rsid w:val="002B18FE"/>
    <w:rsid w:val="002B5493"/>
    <w:rsid w:val="00343214"/>
    <w:rsid w:val="00361C00"/>
    <w:rsid w:val="00395FA1"/>
    <w:rsid w:val="003E15D4"/>
    <w:rsid w:val="00400EAA"/>
    <w:rsid w:val="00411CCE"/>
    <w:rsid w:val="0041666E"/>
    <w:rsid w:val="00421060"/>
    <w:rsid w:val="0043747F"/>
    <w:rsid w:val="00471C19"/>
    <w:rsid w:val="004867E3"/>
    <w:rsid w:val="00494A28"/>
    <w:rsid w:val="004C0004"/>
    <w:rsid w:val="004C5D52"/>
    <w:rsid w:val="0050519A"/>
    <w:rsid w:val="005072A1"/>
    <w:rsid w:val="00514517"/>
    <w:rsid w:val="00521675"/>
    <w:rsid w:val="00545827"/>
    <w:rsid w:val="00560270"/>
    <w:rsid w:val="00593271"/>
    <w:rsid w:val="005C2568"/>
    <w:rsid w:val="005E4A8E"/>
    <w:rsid w:val="006037C0"/>
    <w:rsid w:val="0064236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DEB"/>
    <w:rsid w:val="00865F67"/>
    <w:rsid w:val="00881A7B"/>
    <w:rsid w:val="008840E5"/>
    <w:rsid w:val="00887B3E"/>
    <w:rsid w:val="008B7417"/>
    <w:rsid w:val="008C2AC6"/>
    <w:rsid w:val="008E191C"/>
    <w:rsid w:val="00930C23"/>
    <w:rsid w:val="0093193B"/>
    <w:rsid w:val="009509D8"/>
    <w:rsid w:val="00950B64"/>
    <w:rsid w:val="00981893"/>
    <w:rsid w:val="00A02A6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C73"/>
    <w:rsid w:val="00BD48FE"/>
    <w:rsid w:val="00BD7BD8"/>
    <w:rsid w:val="00BE6ADC"/>
    <w:rsid w:val="00C05BFE"/>
    <w:rsid w:val="00C1758C"/>
    <w:rsid w:val="00C23CD4"/>
    <w:rsid w:val="00C61C0C"/>
    <w:rsid w:val="00C7476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7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B080D"/>
  <w15:chartTrackingRefBased/>
  <w15:docId w15:val="{D238D774-D62F-40CE-9B8D-00DAD3D0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 3" w:uiPriority="1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8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8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8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9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175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5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5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5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5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58C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58C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C1758C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C1758C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C175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175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1758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1758C"/>
    <w:pPr>
      <w:spacing w:after="120"/>
    </w:pPr>
  </w:style>
  <w:style w:type="paragraph" w:customStyle="1" w:styleId="PageHeading">
    <w:name w:val="PageHeading"/>
    <w:basedOn w:val="Normal"/>
    <w:rsid w:val="00C175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1758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1758C"/>
    <w:rPr>
      <w:b/>
      <w:sz w:val="24"/>
      <w:lang w:val="sl-SI"/>
    </w:rPr>
  </w:style>
  <w:style w:type="paragraph" w:customStyle="1" w:styleId="NormalBold12a">
    <w:name w:val="NormalBold12a"/>
    <w:basedOn w:val="Normal"/>
    <w:rsid w:val="00C1758C"/>
    <w:pPr>
      <w:spacing w:after="240"/>
    </w:pPr>
    <w:rPr>
      <w:b/>
    </w:rPr>
  </w:style>
  <w:style w:type="paragraph" w:customStyle="1" w:styleId="AmJustText">
    <w:name w:val="AmJustText"/>
    <w:basedOn w:val="Normal"/>
    <w:rsid w:val="00C1758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1758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1758C"/>
    <w:pPr>
      <w:spacing w:after="480"/>
      <w:ind w:left="1417"/>
    </w:pPr>
  </w:style>
  <w:style w:type="paragraph" w:customStyle="1" w:styleId="CoverNormal">
    <w:name w:val="CoverNormal"/>
    <w:basedOn w:val="Normal"/>
    <w:rsid w:val="00C1758C"/>
    <w:pPr>
      <w:ind w:left="1418"/>
    </w:pPr>
  </w:style>
  <w:style w:type="paragraph" w:customStyle="1" w:styleId="AmCrossRef">
    <w:name w:val="AmCrossRef"/>
    <w:basedOn w:val="Normal"/>
    <w:rsid w:val="00C1758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1758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175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175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75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758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175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58C"/>
    <w:rPr>
      <w:sz w:val="24"/>
      <w:lang w:val="sl-SI"/>
    </w:rPr>
  </w:style>
  <w:style w:type="paragraph" w:customStyle="1" w:styleId="AmOrLang">
    <w:name w:val="AmOrLang"/>
    <w:basedOn w:val="Normal"/>
    <w:rsid w:val="00C1758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1758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75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758C"/>
    <w:pPr>
      <w:spacing w:before="240"/>
    </w:pPr>
    <w:rPr>
      <w:b/>
    </w:rPr>
  </w:style>
  <w:style w:type="paragraph" w:customStyle="1" w:styleId="EPBody">
    <w:name w:val="EPBody"/>
    <w:basedOn w:val="Normal"/>
    <w:rsid w:val="00C175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175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758C"/>
    <w:pPr>
      <w:spacing w:before="480" w:after="240"/>
    </w:pPr>
  </w:style>
  <w:style w:type="paragraph" w:customStyle="1" w:styleId="Lgendesigne">
    <w:name w:val="Légende signe"/>
    <w:basedOn w:val="Normal"/>
    <w:rsid w:val="00C175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75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758C"/>
    <w:rPr>
      <w:sz w:val="18"/>
    </w:rPr>
  </w:style>
  <w:style w:type="paragraph" w:styleId="Footer">
    <w:name w:val="footer"/>
    <w:basedOn w:val="Normal"/>
    <w:link w:val="FooterChar"/>
    <w:uiPriority w:val="99"/>
    <w:rsid w:val="00C17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58C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C1758C"/>
    <w:rPr>
      <w:noProof/>
      <w:sz w:val="24"/>
    </w:rPr>
  </w:style>
  <w:style w:type="paragraph" w:customStyle="1" w:styleId="Normal12">
    <w:name w:val="Normal12"/>
    <w:basedOn w:val="Normal"/>
    <w:link w:val="Normal12Char"/>
    <w:rsid w:val="00C1758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1758C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C1758C"/>
    <w:pPr>
      <w:spacing w:after="120"/>
    </w:pPr>
  </w:style>
  <w:style w:type="paragraph" w:customStyle="1" w:styleId="Normal12Italic">
    <w:name w:val="Normal12Italic"/>
    <w:basedOn w:val="Normal12"/>
    <w:rsid w:val="00C1758C"/>
    <w:rPr>
      <w:i/>
    </w:rPr>
  </w:style>
  <w:style w:type="paragraph" w:customStyle="1" w:styleId="Footer2">
    <w:name w:val="Footer2"/>
    <w:basedOn w:val="Normal12"/>
    <w:rsid w:val="00C1758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C1758C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C1758C"/>
    <w:rPr>
      <w:color w:val="0000FF"/>
      <w:u w:val="single"/>
    </w:rPr>
  </w:style>
  <w:style w:type="paragraph" w:customStyle="1" w:styleId="AMNumberTabs0">
    <w:name w:val="AMNumberTabs"/>
    <w:basedOn w:val="Normal"/>
    <w:rsid w:val="00C175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1758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1758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1758C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C17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758C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C175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C1758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758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75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758C"/>
    <w:rPr>
      <w:b/>
      <w:bCs/>
      <w:lang w:val="sl-SI"/>
    </w:rPr>
  </w:style>
  <w:style w:type="paragraph" w:customStyle="1" w:styleId="NormalCenter12a">
    <w:name w:val="NormalCenter12a"/>
    <w:basedOn w:val="Normal"/>
    <w:rsid w:val="00C1758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1758C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C1758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1758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1758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1758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1758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1758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1758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1758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1758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1758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1758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link w:val="ManualConsidrantChar"/>
    <w:rsid w:val="00C1758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1758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1758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1758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C1758C"/>
    <w:rPr>
      <w:i/>
      <w:iCs/>
    </w:rPr>
  </w:style>
  <w:style w:type="paragraph" w:customStyle="1" w:styleId="Annexetitre">
    <w:name w:val="Annexe titre"/>
    <w:basedOn w:val="Normal"/>
    <w:next w:val="Normal"/>
    <w:rsid w:val="00C175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C1758C"/>
    <w:pPr>
      <w:ind w:left="720"/>
      <w:contextualSpacing/>
    </w:pPr>
  </w:style>
  <w:style w:type="paragraph" w:customStyle="1" w:styleId="Normal12a">
    <w:name w:val="Normal12a"/>
    <w:basedOn w:val="Normal"/>
    <w:rsid w:val="00C1758C"/>
    <w:pPr>
      <w:spacing w:after="240"/>
    </w:pPr>
  </w:style>
  <w:style w:type="paragraph" w:customStyle="1" w:styleId="RollCallVotes">
    <w:name w:val="RollCallVotes"/>
    <w:basedOn w:val="Normal"/>
    <w:rsid w:val="00C175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175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175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1758C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1758C"/>
    <w:rPr>
      <w:sz w:val="24"/>
      <w:lang w:val="sl-SI"/>
    </w:rPr>
  </w:style>
  <w:style w:type="character" w:customStyle="1" w:styleId="ManualConsidrantChar">
    <w:name w:val="Manual Considérant Char"/>
    <w:basedOn w:val="DefaultParagraphFont"/>
    <w:link w:val="ManualConsidrant"/>
    <w:rsid w:val="00C1758C"/>
    <w:rPr>
      <w:rFonts w:eastAsiaTheme="minorHAnsi"/>
      <w:sz w:val="24"/>
      <w:szCs w:val="22"/>
      <w:lang w:val="sl-SI" w:eastAsia="en-US"/>
    </w:rPr>
  </w:style>
  <w:style w:type="numbering" w:customStyle="1" w:styleId="NoList1">
    <w:name w:val="No List1"/>
    <w:next w:val="NoList"/>
    <w:uiPriority w:val="99"/>
    <w:semiHidden/>
    <w:unhideWhenUsed/>
    <w:rsid w:val="00856DEB"/>
  </w:style>
  <w:style w:type="paragraph" w:customStyle="1" w:styleId="NormalRight">
    <w:name w:val="Normal Right"/>
    <w:basedOn w:val="Normal"/>
    <w:rsid w:val="00856DE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56DE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56DE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56DE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56DE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56DE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56DE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56DE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56DE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56DE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56DE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56DE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56DE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56DE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56DE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56DE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56DE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56DE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56DE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56DE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56DE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56DE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56DE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56DE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56DE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56DEB"/>
    <w:pPr>
      <w:widowControl/>
      <w:numPr>
        <w:ilvl w:val="1"/>
        <w:numId w:val="25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56DEB"/>
    <w:pPr>
      <w:widowControl/>
      <w:numPr>
        <w:ilvl w:val="3"/>
        <w:numId w:val="25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56DEB"/>
    <w:pPr>
      <w:widowControl/>
      <w:numPr>
        <w:ilvl w:val="5"/>
        <w:numId w:val="25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56DEB"/>
    <w:pPr>
      <w:widowControl/>
      <w:numPr>
        <w:ilvl w:val="7"/>
        <w:numId w:val="25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56DEB"/>
    <w:pPr>
      <w:widowControl/>
      <w:numPr>
        <w:ilvl w:val="8"/>
        <w:numId w:val="25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56DEB"/>
    <w:pPr>
      <w:widowControl/>
      <w:numPr>
        <w:numId w:val="25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56DEB"/>
    <w:pPr>
      <w:widowControl/>
      <w:numPr>
        <w:ilvl w:val="2"/>
        <w:numId w:val="25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56DEB"/>
    <w:pPr>
      <w:widowControl/>
      <w:numPr>
        <w:ilvl w:val="4"/>
        <w:numId w:val="25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56DEB"/>
    <w:pPr>
      <w:widowControl/>
      <w:numPr>
        <w:ilvl w:val="6"/>
        <w:numId w:val="25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56DEB"/>
    <w:pPr>
      <w:widowControl/>
      <w:numPr>
        <w:numId w:val="26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56DEB"/>
    <w:pPr>
      <w:widowControl/>
      <w:numPr>
        <w:ilvl w:val="1"/>
        <w:numId w:val="26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56DEB"/>
    <w:pPr>
      <w:widowControl/>
      <w:numPr>
        <w:ilvl w:val="2"/>
        <w:numId w:val="26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56DEB"/>
    <w:pPr>
      <w:widowControl/>
      <w:numPr>
        <w:ilvl w:val="3"/>
        <w:numId w:val="26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56DEB"/>
    <w:pPr>
      <w:widowControl/>
      <w:numPr>
        <w:ilvl w:val="4"/>
        <w:numId w:val="26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56DEB"/>
    <w:pPr>
      <w:widowControl/>
      <w:numPr>
        <w:numId w:val="20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56DEB"/>
    <w:pPr>
      <w:widowControl/>
      <w:numPr>
        <w:numId w:val="21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56DEB"/>
    <w:pPr>
      <w:widowControl/>
      <w:numPr>
        <w:numId w:val="22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56DEB"/>
    <w:pPr>
      <w:widowControl/>
      <w:numPr>
        <w:numId w:val="23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56DEB"/>
    <w:pPr>
      <w:widowControl/>
      <w:numPr>
        <w:numId w:val="24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56DEB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56DEB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56DEB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56DEB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56DEB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56DEB"/>
    <w:pPr>
      <w:numPr>
        <w:numId w:val="15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856DEB"/>
    <w:pPr>
      <w:numPr>
        <w:numId w:val="16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856DEB"/>
    <w:pPr>
      <w:numPr>
        <w:numId w:val="17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856DEB"/>
    <w:pPr>
      <w:numPr>
        <w:numId w:val="18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856DEB"/>
    <w:pPr>
      <w:numPr>
        <w:numId w:val="19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856DE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56DE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56DE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56DEB"/>
    <w:pPr>
      <w:numPr>
        <w:numId w:val="29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856DEB"/>
    <w:pPr>
      <w:numPr>
        <w:numId w:val="28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856DEB"/>
    <w:pPr>
      <w:numPr>
        <w:numId w:val="27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856DEB"/>
    <w:pPr>
      <w:jc w:val="center"/>
    </w:pPr>
  </w:style>
  <w:style w:type="paragraph" w:customStyle="1" w:styleId="Jardin">
    <w:name w:val="Jardin"/>
    <w:basedOn w:val="Normal"/>
    <w:rsid w:val="00856DE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56DE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56DE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56DE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56DEB"/>
    <w:rPr>
      <w:b/>
    </w:rPr>
  </w:style>
  <w:style w:type="paragraph" w:customStyle="1" w:styleId="Annex">
    <w:name w:val="Annex"/>
    <w:basedOn w:val="Normal"/>
    <w:next w:val="Normal"/>
    <w:rsid w:val="00856DE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56DE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56DE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56DE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56DE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856DEB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856DE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856DE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56DE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56DEB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56DEB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856DE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56DEB"/>
    <w:rPr>
      <w:color w:val="808080"/>
    </w:rPr>
  </w:style>
  <w:style w:type="paragraph" w:customStyle="1" w:styleId="ListBullet1">
    <w:name w:val="List Bullet1"/>
    <w:basedOn w:val="Normal"/>
    <w:next w:val="ListBullet"/>
    <w:uiPriority w:val="99"/>
    <w:unhideWhenUsed/>
    <w:rsid w:val="00856DEB"/>
    <w:pPr>
      <w:widowControl/>
      <w:numPr>
        <w:numId w:val="31"/>
      </w:numPr>
      <w:tabs>
        <w:tab w:val="num" w:pos="643"/>
      </w:tabs>
      <w:spacing w:before="120" w:after="120"/>
      <w:ind w:left="643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856DEB"/>
    <w:pPr>
      <w:widowControl/>
      <w:numPr>
        <w:numId w:val="32"/>
      </w:numPr>
      <w:tabs>
        <w:tab w:val="num" w:pos="926"/>
      </w:tabs>
      <w:spacing w:before="120" w:after="120"/>
      <w:ind w:left="926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856DEB"/>
    <w:pPr>
      <w:widowControl/>
      <w:numPr>
        <w:numId w:val="33"/>
      </w:numPr>
      <w:tabs>
        <w:tab w:val="num" w:pos="1209"/>
      </w:tabs>
      <w:spacing w:before="120" w:after="120"/>
      <w:ind w:left="1209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856DEB"/>
    <w:pPr>
      <w:widowControl/>
      <w:numPr>
        <w:numId w:val="34"/>
      </w:numPr>
      <w:tabs>
        <w:tab w:val="num" w:pos="1492"/>
      </w:tabs>
      <w:spacing w:before="120" w:after="120"/>
      <w:ind w:left="1492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56DEB"/>
    <w:rPr>
      <w:color w:val="800080"/>
      <w:u w:val="single"/>
    </w:rPr>
  </w:style>
  <w:style w:type="paragraph" w:styleId="ListNumber3">
    <w:name w:val="List Number 3"/>
    <w:basedOn w:val="Text3"/>
    <w:uiPriority w:val="1"/>
    <w:rsid w:val="00856DEB"/>
    <w:pPr>
      <w:numPr>
        <w:numId w:val="35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856DEB"/>
    <w:pPr>
      <w:numPr>
        <w:ilvl w:val="1"/>
        <w:numId w:val="35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856DEB"/>
    <w:pPr>
      <w:numPr>
        <w:ilvl w:val="2"/>
        <w:numId w:val="35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856DEB"/>
    <w:pPr>
      <w:numPr>
        <w:ilvl w:val="3"/>
        <w:numId w:val="35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856DEB"/>
    <w:pPr>
      <w:widowControl/>
    </w:pPr>
    <w:rPr>
      <w:rFonts w:ascii="Calibri" w:hAnsi="Calibri" w:cs="Calibri"/>
      <w:sz w:val="20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856DEB"/>
    <w:rPr>
      <w:rFonts w:ascii="Calibri" w:hAnsi="Calibri" w:cs="Calibri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856DEB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56DEB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856DE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856D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856D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856DE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856DEB"/>
    <w:rPr>
      <w:sz w:val="24"/>
      <w:lang w:val="sl-SI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56DEB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856DEB"/>
    <w:rPr>
      <w:rFonts w:ascii="Calibri" w:eastAsia="Calibri" w:hAnsi="Calibri" w:cs="Arial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856DEB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41">
    <w:name w:val="TOC 41"/>
    <w:basedOn w:val="Normal"/>
    <w:next w:val="Normal"/>
    <w:uiPriority w:val="39"/>
    <w:semiHidden/>
    <w:unhideWhenUsed/>
    <w:rsid w:val="00856DE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56DE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56DE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56DE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56DE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56DEB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56D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56DE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56D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56DE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56DE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56DE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56DE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56DE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56DE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56DEB"/>
    <w:pPr>
      <w:numPr>
        <w:numId w:val="30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856DEB"/>
    <w:pPr>
      <w:numPr>
        <w:numId w:val="37"/>
      </w:numPr>
      <w:tabs>
        <w:tab w:val="clear" w:pos="1417"/>
        <w:tab w:val="num" w:pos="360"/>
      </w:tabs>
      <w:ind w:left="360" w:hanging="360"/>
    </w:pPr>
  </w:style>
  <w:style w:type="paragraph" w:customStyle="1" w:styleId="Tiret2">
    <w:name w:val="Tiret 2"/>
    <w:basedOn w:val="Point2"/>
    <w:rsid w:val="00856DEB"/>
    <w:pPr>
      <w:numPr>
        <w:numId w:val="38"/>
      </w:numPr>
      <w:tabs>
        <w:tab w:val="clear" w:pos="1984"/>
        <w:tab w:val="num" w:pos="643"/>
      </w:tabs>
      <w:ind w:left="643" w:hanging="360"/>
    </w:pPr>
  </w:style>
  <w:style w:type="paragraph" w:customStyle="1" w:styleId="Tiret3">
    <w:name w:val="Tiret 3"/>
    <w:basedOn w:val="Point3"/>
    <w:rsid w:val="00856DEB"/>
    <w:pPr>
      <w:numPr>
        <w:numId w:val="39"/>
      </w:numPr>
      <w:tabs>
        <w:tab w:val="clear" w:pos="2551"/>
        <w:tab w:val="num" w:pos="926"/>
      </w:tabs>
      <w:ind w:left="926" w:hanging="360"/>
    </w:pPr>
  </w:style>
  <w:style w:type="paragraph" w:customStyle="1" w:styleId="Tiret4">
    <w:name w:val="Tiret 4"/>
    <w:basedOn w:val="Point4"/>
    <w:rsid w:val="00856DEB"/>
    <w:pPr>
      <w:numPr>
        <w:numId w:val="40"/>
      </w:numPr>
      <w:tabs>
        <w:tab w:val="clear" w:pos="3118"/>
        <w:tab w:val="num" w:pos="1209"/>
      </w:tabs>
      <w:ind w:left="1209" w:hanging="360"/>
    </w:pPr>
  </w:style>
  <w:style w:type="paragraph" w:customStyle="1" w:styleId="Tiret5">
    <w:name w:val="Tiret 5"/>
    <w:basedOn w:val="Point5"/>
    <w:rsid w:val="00856DEB"/>
    <w:pPr>
      <w:numPr>
        <w:numId w:val="41"/>
      </w:numPr>
      <w:tabs>
        <w:tab w:val="clear" w:pos="3685"/>
        <w:tab w:val="num" w:pos="1492"/>
      </w:tabs>
      <w:ind w:left="1492" w:hanging="360"/>
    </w:pPr>
  </w:style>
  <w:style w:type="paragraph" w:customStyle="1" w:styleId="PointDouble0">
    <w:name w:val="PointDouble 0"/>
    <w:basedOn w:val="Normal"/>
    <w:rsid w:val="00856DE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56DE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56DE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56DE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56DE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56DE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56DE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56DE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56DE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56DE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56DEB"/>
    <w:pPr>
      <w:widowControl/>
      <w:numPr>
        <w:numId w:val="4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56DEB"/>
    <w:pPr>
      <w:widowControl/>
      <w:numPr>
        <w:ilvl w:val="1"/>
        <w:numId w:val="4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56DEB"/>
    <w:pPr>
      <w:widowControl/>
      <w:numPr>
        <w:ilvl w:val="2"/>
        <w:numId w:val="4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56DEB"/>
    <w:pPr>
      <w:widowControl/>
      <w:numPr>
        <w:ilvl w:val="3"/>
        <w:numId w:val="4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56DEB"/>
    <w:pPr>
      <w:widowControl/>
      <w:numPr>
        <w:ilvl w:val="4"/>
        <w:numId w:val="42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56DEB"/>
    <w:pPr>
      <w:widowControl/>
      <w:numPr>
        <w:ilvl w:val="5"/>
        <w:numId w:val="42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56DEB"/>
    <w:pPr>
      <w:widowControl/>
      <w:numPr>
        <w:ilvl w:val="6"/>
        <w:numId w:val="42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56DE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56DE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56DE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56DE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56DE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56DE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56DE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56DE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56DE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56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56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56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56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56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56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56DE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56DE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56DE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56DE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856DE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56DEB"/>
    <w:pPr>
      <w:widowControl/>
      <w:numPr>
        <w:numId w:val="36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56DEB"/>
    <w:pPr>
      <w:widowControl/>
      <w:numPr>
        <w:ilvl w:val="2"/>
        <w:numId w:val="36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56DEB"/>
    <w:pPr>
      <w:widowControl/>
      <w:numPr>
        <w:ilvl w:val="4"/>
        <w:numId w:val="36"/>
      </w:numPr>
      <w:tabs>
        <w:tab w:val="clear" w:pos="1984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56DEB"/>
    <w:pPr>
      <w:widowControl/>
      <w:numPr>
        <w:ilvl w:val="6"/>
        <w:numId w:val="36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56DEB"/>
    <w:pPr>
      <w:widowControl/>
      <w:numPr>
        <w:ilvl w:val="1"/>
        <w:numId w:val="36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56DEB"/>
    <w:pPr>
      <w:widowControl/>
      <w:numPr>
        <w:ilvl w:val="3"/>
        <w:numId w:val="36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56DEB"/>
    <w:pPr>
      <w:widowControl/>
      <w:numPr>
        <w:ilvl w:val="5"/>
        <w:numId w:val="36"/>
      </w:numPr>
      <w:tabs>
        <w:tab w:val="clear" w:pos="1984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56DEB"/>
    <w:pPr>
      <w:widowControl/>
      <w:numPr>
        <w:ilvl w:val="7"/>
        <w:numId w:val="36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56DEB"/>
    <w:pPr>
      <w:widowControl/>
      <w:numPr>
        <w:ilvl w:val="8"/>
        <w:numId w:val="36"/>
      </w:numPr>
      <w:tabs>
        <w:tab w:val="clear" w:pos="3118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56DEB"/>
    <w:pPr>
      <w:widowControl/>
      <w:numPr>
        <w:numId w:val="43"/>
      </w:numPr>
      <w:tabs>
        <w:tab w:val="clear" w:pos="850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56DE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56DE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56DE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56DE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56DE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56DE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56DE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56DE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56DE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56DE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56DE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56DE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856DE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56DE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56DE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56DEB"/>
    <w:pPr>
      <w:widowControl/>
      <w:numPr>
        <w:numId w:val="44"/>
      </w:numPr>
      <w:tabs>
        <w:tab w:val="clear" w:pos="709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56DE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56DE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56DE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56DEB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856DE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56DE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56DE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56DE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56DE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56DE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56DE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56DE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56DE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56DEB"/>
  </w:style>
  <w:style w:type="paragraph" w:customStyle="1" w:styleId="StatutPagedecouverture">
    <w:name w:val="Statut (Page de couverture)"/>
    <w:basedOn w:val="Statut"/>
    <w:next w:val="TypedudocumentPagedecouverture"/>
    <w:rsid w:val="00856DEB"/>
  </w:style>
  <w:style w:type="paragraph" w:customStyle="1" w:styleId="TitreobjetPagedecouverture">
    <w:name w:val="Titre objet (Page de couverture)"/>
    <w:basedOn w:val="Titreobjet"/>
    <w:next w:val="IntrtEEEPagedecouverture"/>
    <w:rsid w:val="00856DE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56DEB"/>
  </w:style>
  <w:style w:type="paragraph" w:customStyle="1" w:styleId="Volume">
    <w:name w:val="Volume"/>
    <w:basedOn w:val="Normal"/>
    <w:next w:val="Confidentialit"/>
    <w:rsid w:val="00856DE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56DEB"/>
    <w:pPr>
      <w:spacing w:after="240"/>
    </w:pPr>
  </w:style>
  <w:style w:type="paragraph" w:customStyle="1" w:styleId="Accompagnant">
    <w:name w:val="Accompagnant"/>
    <w:basedOn w:val="Normal"/>
    <w:next w:val="Typeacteprincipal"/>
    <w:rsid w:val="00856DE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56DE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56DE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56DEB"/>
  </w:style>
  <w:style w:type="paragraph" w:customStyle="1" w:styleId="AccompagnantPagedecouverture">
    <w:name w:val="Accompagnant (Page de couverture)"/>
    <w:basedOn w:val="Accompagnant"/>
    <w:next w:val="TypeacteprincipalPagedecouverture"/>
    <w:rsid w:val="00856DE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56DEB"/>
  </w:style>
  <w:style w:type="paragraph" w:customStyle="1" w:styleId="ObjetacteprincipalPagedecouverture">
    <w:name w:val="Objet acte principal (Page de couverture)"/>
    <w:basedOn w:val="Objetacteprincipal"/>
    <w:next w:val="Rfrencecroise"/>
    <w:rsid w:val="00856DEB"/>
  </w:style>
  <w:style w:type="paragraph" w:customStyle="1" w:styleId="LanguesfaisantfoiPagedecouverture">
    <w:name w:val="Langues faisant foi (Page de couverture)"/>
    <w:basedOn w:val="Normal"/>
    <w:next w:val="Normal"/>
    <w:rsid w:val="00856DE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856D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character" w:customStyle="1" w:styleId="markedcontent">
    <w:name w:val="markedcontent"/>
    <w:basedOn w:val="DefaultParagraphFont"/>
    <w:rsid w:val="00856DEB"/>
  </w:style>
  <w:style w:type="numbering" w:customStyle="1" w:styleId="NoList11">
    <w:name w:val="No List11"/>
    <w:next w:val="NoList"/>
    <w:uiPriority w:val="99"/>
    <w:semiHidden/>
    <w:unhideWhenUsed/>
    <w:rsid w:val="00856DEB"/>
  </w:style>
  <w:style w:type="paragraph" w:styleId="NormalWeb">
    <w:name w:val="Normal (Web)"/>
    <w:basedOn w:val="Normal"/>
    <w:uiPriority w:val="99"/>
    <w:unhideWhenUsed/>
    <w:rsid w:val="00856DEB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856DEB"/>
  </w:style>
  <w:style w:type="paragraph" w:styleId="BodyText">
    <w:name w:val="Body Text"/>
    <w:basedOn w:val="Normal"/>
    <w:link w:val="BodyTextChar"/>
    <w:uiPriority w:val="1"/>
    <w:qFormat/>
    <w:rsid w:val="00856DEB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56DEB"/>
    <w:rPr>
      <w:sz w:val="22"/>
      <w:szCs w:val="22"/>
      <w:lang w:val="sl-SI" w:eastAsia="en-US"/>
    </w:rPr>
  </w:style>
  <w:style w:type="paragraph" w:styleId="Title">
    <w:name w:val="Title"/>
    <w:basedOn w:val="Normal"/>
    <w:link w:val="TitleChar"/>
    <w:uiPriority w:val="10"/>
    <w:qFormat/>
    <w:rsid w:val="00856DEB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56DEB"/>
    <w:rPr>
      <w:b/>
      <w:bCs/>
      <w:sz w:val="36"/>
      <w:szCs w:val="36"/>
      <w:lang w:val="sl-SI" w:eastAsia="en-US"/>
    </w:rPr>
  </w:style>
  <w:style w:type="paragraph" w:customStyle="1" w:styleId="TableParagraph">
    <w:name w:val="Table Paragraph"/>
    <w:basedOn w:val="Normal"/>
    <w:uiPriority w:val="1"/>
    <w:qFormat/>
    <w:rsid w:val="00856DEB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856DEB"/>
  </w:style>
  <w:style w:type="paragraph" w:customStyle="1" w:styleId="paragraph">
    <w:name w:val="paragraph"/>
    <w:basedOn w:val="Normal"/>
    <w:rsid w:val="00856DEB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856DEB"/>
  </w:style>
  <w:style w:type="paragraph" w:customStyle="1" w:styleId="pf0">
    <w:name w:val="pf0"/>
    <w:basedOn w:val="Normal"/>
    <w:rsid w:val="00856DEB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856DEB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856DEB"/>
  </w:style>
  <w:style w:type="character" w:styleId="Strong">
    <w:name w:val="Strong"/>
    <w:basedOn w:val="DefaultParagraphFont"/>
    <w:uiPriority w:val="22"/>
    <w:qFormat/>
    <w:rsid w:val="00856DEB"/>
    <w:rPr>
      <w:b/>
      <w:bCs/>
    </w:rPr>
  </w:style>
  <w:style w:type="paragraph" w:customStyle="1" w:styleId="Text7">
    <w:name w:val="Text 7"/>
    <w:basedOn w:val="Normal"/>
    <w:rsid w:val="00856DE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56DE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56DE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56DE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56DE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56DE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56DE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56DE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56DE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56DE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56DEB"/>
    <w:pPr>
      <w:widowControl/>
      <w:numPr>
        <w:numId w:val="45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56DEB"/>
    <w:pPr>
      <w:widowControl/>
      <w:numPr>
        <w:numId w:val="46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56DEB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56DEB"/>
    <w:pPr>
      <w:widowControl/>
      <w:numPr>
        <w:numId w:val="4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56DEB"/>
    <w:pPr>
      <w:widowControl/>
      <w:numPr>
        <w:numId w:val="4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56DEB"/>
    <w:pPr>
      <w:widowControl/>
      <w:numPr>
        <w:numId w:val="5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56DEB"/>
    <w:pPr>
      <w:widowControl/>
      <w:numPr>
        <w:numId w:val="5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56DE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56DE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856DE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56DE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56DE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56DE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56DE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56DE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56DE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56DE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56DE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56DE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56DE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56DE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56DE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56DEB"/>
    <w:pPr>
      <w:spacing w:before="240"/>
    </w:pPr>
  </w:style>
  <w:style w:type="paragraph" w:customStyle="1" w:styleId="Accordtitre">
    <w:name w:val="Accord titre"/>
    <w:basedOn w:val="Normal"/>
    <w:rsid w:val="00856DE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56DE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56DE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56DE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56DE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56D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56D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56D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56D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56DE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56DE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56DE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56DE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56DE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56DE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56DE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56DE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56DE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56DE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56DE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56DE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56DE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56DE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56DE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56DE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56DE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56DE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56DE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56DE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56DE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56D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56DE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856DE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56DE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56DEB"/>
    <w:rPr>
      <w:b/>
      <w:i/>
    </w:rPr>
  </w:style>
  <w:style w:type="character" w:customStyle="1" w:styleId="diff-tte-removed">
    <w:name w:val="diff-tte-removed"/>
    <w:basedOn w:val="DefaultParagraphFont"/>
    <w:rsid w:val="00856DEB"/>
    <w:rPr>
      <w:strike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856DEB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856DEB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856DEB"/>
    <w:rPr>
      <w:lang w:val="sl-SI"/>
    </w:rPr>
  </w:style>
  <w:style w:type="paragraph" w:styleId="ListBullet">
    <w:name w:val="List Bullet"/>
    <w:basedOn w:val="Normal"/>
    <w:rsid w:val="00856DEB"/>
    <w:pPr>
      <w:numPr>
        <w:numId w:val="1"/>
      </w:numPr>
      <w:contextualSpacing/>
    </w:pPr>
  </w:style>
  <w:style w:type="paragraph" w:styleId="ListBullet2">
    <w:name w:val="List Bullet 2"/>
    <w:basedOn w:val="Normal"/>
    <w:rsid w:val="00856DEB"/>
    <w:pPr>
      <w:numPr>
        <w:numId w:val="2"/>
      </w:numPr>
      <w:contextualSpacing/>
    </w:pPr>
  </w:style>
  <w:style w:type="paragraph" w:styleId="ListBullet3">
    <w:name w:val="List Bullet 3"/>
    <w:basedOn w:val="Normal"/>
    <w:rsid w:val="00856DEB"/>
    <w:pPr>
      <w:numPr>
        <w:numId w:val="3"/>
      </w:numPr>
      <w:contextualSpacing/>
    </w:pPr>
  </w:style>
  <w:style w:type="paragraph" w:styleId="ListBullet4">
    <w:name w:val="List Bullet 4"/>
    <w:basedOn w:val="Normal"/>
    <w:rsid w:val="00856DEB"/>
    <w:pPr>
      <w:numPr>
        <w:numId w:val="4"/>
      </w:numPr>
      <w:contextualSpacing/>
    </w:pPr>
  </w:style>
  <w:style w:type="character" w:styleId="FollowedHyperlink">
    <w:name w:val="FollowedHyperlink"/>
    <w:basedOn w:val="DefaultParagraphFont"/>
    <w:rsid w:val="00856DEB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1"/>
    <w:rsid w:val="00856DEB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856DEB"/>
    <w:rPr>
      <w:rFonts w:ascii="Consolas" w:hAnsi="Consolas"/>
      <w:sz w:val="21"/>
      <w:szCs w:val="21"/>
      <w:lang w:val="sl-SI"/>
    </w:rPr>
  </w:style>
  <w:style w:type="paragraph" w:styleId="ListNumber">
    <w:name w:val="List Number"/>
    <w:basedOn w:val="Normal"/>
    <w:rsid w:val="00856DEB"/>
    <w:pPr>
      <w:numPr>
        <w:numId w:val="5"/>
      </w:numPr>
      <w:contextualSpacing/>
    </w:pPr>
  </w:style>
  <w:style w:type="paragraph" w:styleId="ListNumber2">
    <w:name w:val="List Number 2"/>
    <w:basedOn w:val="Normal"/>
    <w:rsid w:val="00856DEB"/>
    <w:pPr>
      <w:numPr>
        <w:numId w:val="6"/>
      </w:numPr>
      <w:contextualSpacing/>
    </w:pPr>
  </w:style>
  <w:style w:type="paragraph" w:styleId="ListNumber4">
    <w:name w:val="List Number 4"/>
    <w:basedOn w:val="Normal"/>
    <w:rsid w:val="00856DEB"/>
    <w:pPr>
      <w:numPr>
        <w:numId w:val="7"/>
      </w:numPr>
      <w:contextualSpacing/>
    </w:pPr>
  </w:style>
  <w:style w:type="table" w:styleId="PlainTable1">
    <w:name w:val="Plain Table 1"/>
    <w:basedOn w:val="TableNormal"/>
    <w:uiPriority w:val="41"/>
    <w:rsid w:val="00856D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3A5C2-DD65-429A-93D4-875F16E9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2024-04-23T14:05:00Z</dcterms:created>
  <dcterms:modified xsi:type="dcterms:W3CDTF">2024-09-10T12:27:00Z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A9-0275/2023</vt:lpwstr>
  </property>
  <property fmtid="{D5CDD505-2E9C-101B-9397-08002B2CF9AE}" pid="4" name="&lt;Type&gt;">
    <vt:lpwstr>RR</vt:lpwstr>
  </property>
</Properties>
</file>