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P9_TA(2024)0293</w:t>
      </w:r>
      <w:bookmarkEnd w:id="0"/>
    </w:p>
    <w:p>
      <w:pPr>
        <w:pStyle w:val="ATHeading2"/>
      </w:pPr>
      <w:bookmarkStart w:id="1" w:name="title"/>
      <w:r>
        <w:t>Odovzdávanie trestného konania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A9-0008/2024</w:instrText>
      </w:r>
      <w:bookmarkEnd w:id="2"/>
      <w:r>
        <w:rPr>
          <w:i/>
        </w:rPr>
        <w:instrText xml:space="preserve"> - Spravodajkyňa: Assita Kanko)"\l3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občianske slobody, spravodlivosť a vnútorné veci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PE753.778</w:t>
      </w:r>
      <w:bookmarkEnd w:id="4"/>
    </w:p>
    <w:p>
      <w:pPr>
        <w:pStyle w:val="ATHeading3"/>
      </w:pPr>
      <w:bookmarkStart w:id="5" w:name="Sujet"/>
      <w:r>
        <w:t>Legislatívne uznesenie Európskeho parlamentu z 23. apríla 2024 o návrhu nariadenia Európskeho parlamentu a Rady o odovzdávaní trestného konania</w:t>
      </w:r>
      <w:bookmarkEnd w:id="5"/>
      <w:r>
        <w:t xml:space="preserve"> </w:t>
      </w:r>
      <w:bookmarkStart w:id="6" w:name="References"/>
      <w:r>
        <w:t>(COM(2023)0185 – C9-0128/2023 – 2023/0093(COD))</w:t>
      </w:r>
      <w:bookmarkEnd w:id="6"/>
    </w:p>
    <w:p>
      <w:pPr>
        <w:pStyle w:val="NormalBold"/>
      </w:pPr>
      <w:bookmarkStart w:id="7" w:name="TextBodyBegin"/>
      <w:bookmarkEnd w:id="7"/>
      <w:r>
        <w:t>(Riadny legislatívny postup: prvé čítanie)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Komisie pre Európsky parlament a Radu (COM(2023)0185),</w:t>
      </w:r>
    </w:p>
    <w:p>
      <w:pPr>
        <w:pStyle w:val="NormalHanging12a"/>
      </w:pPr>
      <w:r>
        <w:t>–</w:t>
      </w:r>
      <w:r>
        <w:tab/>
        <w:t>so zreteľom na článok 294 ods. 2 a článok 82 ods. 1 druhý pododsek písm. b) a d) Zmluvy o fungovaní Európskej únie, v súlade s ktorými Komisia predložila návrh Európskemu parlamentu (C9</w:t>
      </w:r>
      <w:r>
        <w:noBreakHyphen/>
        <w:t>0128/2023),</w:t>
      </w:r>
    </w:p>
    <w:p>
      <w:pPr>
        <w:pStyle w:val="NormalHanging12a"/>
      </w:pPr>
      <w:r>
        <w:t>–</w:t>
      </w:r>
      <w:r>
        <w:tab/>
        <w:t>so zreteľom na článok 294 ods. 3 Zmluvy o fungovaní Európskej únie,</w:t>
      </w:r>
    </w:p>
    <w:p>
      <w:pPr>
        <w:pStyle w:val="Normal12Hanging"/>
      </w:pPr>
      <w:r>
        <w:t>–</w:t>
      </w:r>
      <w:r>
        <w:tab/>
        <w:t>so zreteľom na stanovisko Európskeho hospodárskeho a sociálneho výboru z 20. septembra 2023</w:t>
      </w:r>
      <w:r>
        <w:rPr>
          <w:rStyle w:val="FootnoteReference"/>
        </w:rPr>
        <w:footnoteReference w:id="1"/>
      </w:r>
      <w:r>
        <w:t>,</w:t>
      </w:r>
    </w:p>
    <w:p>
      <w:pPr>
        <w:pStyle w:val="Normal12Hanging"/>
      </w:pPr>
      <w:r>
        <w:t>–</w:t>
      </w:r>
      <w:r>
        <w:tab/>
        <w:t>so zreteľom na predbežnú dohodu schválenú gestorským výborom podľa článku 74 ods. 4 rokovacieho poriadku, a na záväzok zástupcu Rady, vyjadrený v liste z 20. marca 2024, schváliť pozíciu Európskeho parlamentu v súlade s článkom 294 ods. 4 Zmluvy o fungovaní Európskej únie,</w:t>
      </w:r>
    </w:p>
    <w:p>
      <w:pPr>
        <w:pStyle w:val="NormalHanging12a"/>
      </w:pPr>
      <w:r>
        <w:t>–</w:t>
      </w:r>
      <w:r>
        <w:tab/>
        <w:t>so zreteľom na článok 59 rokovacieho poriadku,</w:t>
      </w:r>
    </w:p>
    <w:p>
      <w:pPr>
        <w:pStyle w:val="NormalHanging12a"/>
      </w:pPr>
      <w:r>
        <w:t>–</w:t>
      </w:r>
      <w:r>
        <w:tab/>
        <w:t>so zreteľom na správu Výboru pre občianske slobody, spravodlivosť a vnútorné veci (A9-0008/2024),</w:t>
      </w:r>
    </w:p>
    <w:p>
      <w:pPr>
        <w:pStyle w:val="NormalHanging12a"/>
      </w:pPr>
      <w:r>
        <w:t>1.</w:t>
      </w:r>
      <w:r>
        <w:tab/>
        <w:t>prijíma nasledujúcu pozíciu v prvom čítaní;</w:t>
      </w:r>
    </w:p>
    <w:p>
      <w:pPr>
        <w:pStyle w:val="NormalHanging12a"/>
        <w:rPr>
          <w:szCs w:val="24"/>
        </w:rPr>
      </w:pPr>
      <w:r>
        <w:t>2.</w:t>
      </w:r>
      <w:r>
        <w:tab/>
        <w:t>žiada Komisiu, aby mu vec znovu predložila, ak nahrádza, podstatne mení alebo má v úmysle podstatne zmeniť svoj návrh;</w:t>
      </w:r>
    </w:p>
    <w:p>
      <w:pPr>
        <w:pStyle w:val="NormalHanging12a"/>
      </w:pPr>
      <w:r>
        <w:lastRenderedPageBreak/>
        <w:t>3.</w:t>
      </w:r>
      <w:r>
        <w:tab/>
        <w:t>poveruje svoju predsedníčku, aby postúpila túto pozíciu Rade, Komisii a národným parlamentom.</w:t>
      </w:r>
    </w:p>
    <w:p>
      <w:pPr>
        <w:pStyle w:val="NormalHanging12a"/>
        <w:sectPr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>
      <w:pPr>
        <w:pStyle w:val="Institutionquiagit"/>
        <w:keepNext w:val="0"/>
        <w:spacing w:before="0" w:after="240"/>
        <w:outlineLvl w:val="0"/>
        <w:rPr>
          <w:b/>
        </w:rPr>
      </w:pPr>
      <w:r>
        <w:rPr>
          <w:b/>
        </w:rPr>
        <w:lastRenderedPageBreak/>
        <w:t>P9_TC1-COD(2023)0093</w:t>
      </w:r>
    </w:p>
    <w:p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>
        <w:rPr>
          <w:b/>
        </w:rPr>
        <w:t xml:space="preserve">Pozícia Európskeho parlamentu prijatá v prvom čítaní 23. apríla 2024 na účely prijatia nariadenia Európskeho parlamentu a Rady (EÚ) 2024/... </w:t>
      </w:r>
      <w:r>
        <w:rPr>
          <w:rFonts w:eastAsia="Calibri"/>
          <w:b/>
          <w:szCs w:val="22"/>
          <w:lang w:eastAsia="en-US"/>
        </w:rPr>
        <w:t>o odovzdávaní trestného konania</w:t>
      </w:r>
    </w:p>
    <w:p>
      <w:bookmarkStart w:id="8" w:name="_GoBack"/>
      <w:bookmarkEnd w:id="8"/>
      <w:r>
        <w:rPr>
          <w:i/>
          <w:iCs/>
        </w:rPr>
        <w:t xml:space="preserve">(Keďže bola dosiahnutá dohoda medzi Európskym parlamentom a Radou, pozícia Európskeho parlamentu zodpovedá záverečnému legislatívnemu aktu, nariadeniu </w:t>
      </w:r>
      <w:r>
        <w:rPr>
          <w:i/>
          <w:iCs/>
        </w:rPr>
        <w:t>(EÚ) 2024/3011</w:t>
      </w:r>
      <w:r>
        <w:rPr>
          <w:i/>
          <w:iCs/>
        </w:rPr>
        <w:t>.)</w:t>
      </w:r>
    </w:p>
    <w:p/>
    <w:p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</w:p>
    <w:sectPr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 xml:space="preserve">Ú. v. EÚ C, </w:t>
      </w:r>
      <w:r>
        <w:rPr>
          <w:iCs/>
          <w:sz w:val="24"/>
          <w:szCs w:val="24"/>
          <w:shd w:val="clear" w:color="auto" w:fill="FFFFFF"/>
          <w:lang w:val="sk-SK"/>
        </w:rPr>
        <w:t xml:space="preserve">C/2023/869, 8.12.2023, ELI: </w:t>
      </w:r>
      <w:hyperlink r:id="rId1" w:history="1">
        <w:r>
          <w:rPr>
            <w:rStyle w:val="Hyperlink"/>
            <w:iCs/>
            <w:sz w:val="24"/>
            <w:szCs w:val="24"/>
            <w:shd w:val="clear" w:color="auto" w:fill="FFFFFF"/>
            <w:lang w:val="sk-SK"/>
          </w:rPr>
          <w:t>http://data.europa.eu/eli/C/2023/869/oj</w:t>
        </w:r>
      </w:hyperlink>
      <w:r>
        <w:rPr>
          <w:sz w:val="24"/>
          <w:szCs w:val="24"/>
          <w:lang w:val="sk-S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1F57907"/>
    <w:multiLevelType w:val="hybridMultilevel"/>
    <w:tmpl w:val="4FBEBBBE"/>
    <w:lvl w:ilvl="0" w:tplc="72FA5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1" w15:restartNumberingAfterBreak="0">
    <w:nsid w:val="471D6B42"/>
    <w:multiLevelType w:val="hybridMultilevel"/>
    <w:tmpl w:val="4EAC94BC"/>
    <w:lvl w:ilvl="0" w:tplc="401036DE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u w:val="none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2" w15:restartNumberingAfterBreak="0">
    <w:nsid w:val="6D5762A8"/>
    <w:multiLevelType w:val="hybridMultilevel"/>
    <w:tmpl w:val="362EE26A"/>
    <w:lvl w:ilvl="0" w:tplc="96828110">
      <w:start w:val="1"/>
      <w:numFmt w:val="upperLetter"/>
      <w:lvlText w:val="%1)"/>
      <w:lvlJc w:val="left"/>
      <w:pPr>
        <w:ind w:left="1440" w:hanging="360"/>
      </w:pPr>
      <w:rPr>
        <w:rFonts w:hint="default"/>
        <w:b/>
        <w:bCs/>
        <w:i w:val="0"/>
        <w:iCs w:val="0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5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4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5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16"/>
  </w:num>
  <w:num w:numId="3">
    <w:abstractNumId w:val="33"/>
  </w:num>
  <w:num w:numId="4">
    <w:abstractNumId w:val="1"/>
  </w:num>
  <w:num w:numId="5">
    <w:abstractNumId w:val="34"/>
  </w:num>
  <w:num w:numId="6">
    <w:abstractNumId w:val="29"/>
  </w:num>
  <w:num w:numId="7">
    <w:abstractNumId w:val="3"/>
  </w:num>
  <w:num w:numId="8">
    <w:abstractNumId w:val="38"/>
  </w:num>
  <w:num w:numId="9">
    <w:abstractNumId w:val="43"/>
  </w:num>
  <w:num w:numId="10">
    <w:abstractNumId w:val="26"/>
  </w:num>
  <w:num w:numId="11">
    <w:abstractNumId w:val="36"/>
  </w:num>
  <w:num w:numId="12">
    <w:abstractNumId w:val="30"/>
  </w:num>
  <w:num w:numId="13">
    <w:abstractNumId w:val="20"/>
  </w:num>
  <w:num w:numId="14">
    <w:abstractNumId w:val="11"/>
  </w:num>
  <w:num w:numId="15">
    <w:abstractNumId w:val="9"/>
  </w:num>
  <w:num w:numId="16">
    <w:abstractNumId w:val="31"/>
  </w:num>
  <w:num w:numId="17">
    <w:abstractNumId w:val="39"/>
  </w:num>
  <w:num w:numId="18">
    <w:abstractNumId w:val="0"/>
  </w:num>
  <w:num w:numId="19">
    <w:abstractNumId w:val="13"/>
  </w:num>
  <w:num w:numId="20">
    <w:abstractNumId w:val="8"/>
  </w:num>
  <w:num w:numId="21">
    <w:abstractNumId w:val="14"/>
  </w:num>
  <w:num w:numId="22">
    <w:abstractNumId w:val="27"/>
  </w:num>
  <w:num w:numId="23">
    <w:abstractNumId w:val="7"/>
  </w:num>
  <w:num w:numId="24">
    <w:abstractNumId w:val="22"/>
  </w:num>
  <w:num w:numId="25">
    <w:abstractNumId w:val="25"/>
  </w:num>
  <w:num w:numId="26">
    <w:abstractNumId w:val="24"/>
  </w:num>
  <w:num w:numId="27">
    <w:abstractNumId w:val="44"/>
  </w:num>
  <w:num w:numId="28">
    <w:abstractNumId w:val="17"/>
  </w:num>
  <w:num w:numId="29">
    <w:abstractNumId w:val="18"/>
  </w:num>
  <w:num w:numId="30">
    <w:abstractNumId w:val="19"/>
  </w:num>
  <w:num w:numId="31">
    <w:abstractNumId w:val="23"/>
  </w:num>
  <w:num w:numId="32">
    <w:abstractNumId w:val="10"/>
  </w:num>
  <w:num w:numId="33">
    <w:abstractNumId w:val="45"/>
  </w:num>
  <w:num w:numId="34">
    <w:abstractNumId w:val="15"/>
  </w:num>
  <w:num w:numId="35">
    <w:abstractNumId w:val="28"/>
  </w:num>
  <w:num w:numId="36">
    <w:abstractNumId w:val="41"/>
  </w:num>
  <w:num w:numId="37">
    <w:abstractNumId w:val="40"/>
  </w:num>
  <w:num w:numId="38">
    <w:abstractNumId w:val="42"/>
  </w:num>
  <w:num w:numId="39">
    <w:abstractNumId w:val="6"/>
  </w:num>
  <w:num w:numId="40">
    <w:abstractNumId w:val="21"/>
  </w:num>
  <w:num w:numId="41">
    <w:abstractNumId w:val="12"/>
  </w:num>
  <w:num w:numId="42">
    <w:abstractNumId w:val="32"/>
  </w:num>
  <w:num w:numId="43">
    <w:abstractNumId w:val="5"/>
  </w:num>
  <w:num w:numId="44">
    <w:abstractNumId w:val="4"/>
  </w:num>
  <w:num w:numId="45">
    <w:abstractNumId w:val="37"/>
  </w:num>
  <w:num w:numId="46">
    <w:abstractNumId w:val="35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8/2024"/>
    <w:docVar w:name="dvlangue" w:val="SK"/>
    <w:docVar w:name="dvnumam" w:val="72"/>
    <w:docVar w:name="dvpe" w:val="753.778"/>
    <w:docVar w:name="dvrapporteur" w:val="Spravodajkyňa: "/>
    <w:docVar w:name="dvstar" w:val="***I"/>
    <w:docVar w:name="dvtitre" w:val="Legislatívne uznesenie Európskeho parlamentu z xx. apríla 2024 o návrhu nariadenia Európskeho parlamentu a Rady o odovzdávaní trestného konania(COM(2023)0185 – C9-0128/2023 – 2023/0093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8B2A30-558A-4FDF-8FE7-477A8B267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uiPriority w:val="39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val="sk-SK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pPr>
      <w:jc w:val="right"/>
    </w:pPr>
    <w:rPr>
      <w:lang w:val="sk-SK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sk-SK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lang w:val="sk-SK"/>
    </w:rPr>
  </w:style>
  <w:style w:type="paragraph" w:styleId="Revision">
    <w:name w:val="Revision"/>
    <w:hidden/>
    <w:uiPriority w:val="99"/>
    <w:semiHidden/>
    <w:rPr>
      <w:sz w:val="24"/>
      <w:lang w:val="sk-SK"/>
    </w:rPr>
  </w:style>
  <w:style w:type="paragraph" w:customStyle="1" w:styleId="Normal24a">
    <w:name w:val="Normal24a"/>
    <w:basedOn w:val="Normal"/>
    <w:pPr>
      <w:spacing w:after="480"/>
    </w:pPr>
  </w:style>
  <w:style w:type="paragraph" w:customStyle="1" w:styleId="NormalBoldCenter">
    <w:name w:val="NormalBoldCenter"/>
    <w:basedOn w:val="Normal"/>
    <w:pPr>
      <w:jc w:val="center"/>
    </w:pPr>
    <w:rPr>
      <w:b/>
    </w:rPr>
  </w:style>
  <w:style w:type="character" w:customStyle="1" w:styleId="ng-star-inserted">
    <w:name w:val="ng-star-inserted"/>
    <w:basedOn w:val="DefaultParagraphFont"/>
  </w:style>
  <w:style w:type="character" w:customStyle="1" w:styleId="highlight-diff">
    <w:name w:val="highlight-diff"/>
    <w:basedOn w:val="DefaultParagraphFont"/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RollCallVotes">
    <w:name w:val="RollCallVotes"/>
    <w:basedOn w:val="Normal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pPr>
      <w:spacing w:before="120" w:after="120"/>
    </w:pPr>
    <w:rPr>
      <w:snapToGrid w:val="0"/>
      <w:sz w:val="16"/>
      <w:lang w:eastAsia="en-US"/>
    </w:rPr>
  </w:style>
  <w:style w:type="character" w:customStyle="1" w:styleId="PageHeadingNotTOCChar">
    <w:name w:val="PageHeadingNotTOC Char"/>
    <w:basedOn w:val="DefaultParagraphFont"/>
    <w:link w:val="PageHeadingNotTOC"/>
    <w:locked/>
    <w:rPr>
      <w:rFonts w:ascii="Arial" w:hAnsi="Arial" w:cs="Arial"/>
      <w:b/>
      <w:sz w:val="24"/>
    </w:rPr>
  </w:style>
  <w:style w:type="paragraph" w:customStyle="1" w:styleId="PageHeadingNotTOC">
    <w:name w:val="PageHeadingNotTOC"/>
    <w:basedOn w:val="Normal"/>
    <w:link w:val="PageHeadingNotTOCChar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oj-doc-ti">
    <w:name w:val="oj-doc-ti"/>
    <w:basedOn w:val="Normal"/>
    <w:pPr>
      <w:widowControl/>
      <w:spacing w:before="100" w:beforeAutospacing="1" w:after="100" w:afterAutospacing="1"/>
    </w:pPr>
    <w:rPr>
      <w:szCs w:val="24"/>
      <w:lang w:eastAsia="cs-CZ"/>
    </w:rPr>
  </w:style>
  <w:style w:type="paragraph" w:customStyle="1" w:styleId="Normal12Hanging">
    <w:name w:val="Normal12Hanging"/>
    <w:basedOn w:val="Normal"/>
    <w:pPr>
      <w:spacing w:after="240"/>
      <w:ind w:left="567" w:hanging="567"/>
    </w:pPr>
    <w:rPr>
      <w:lang w:eastAsia="sk-SK" w:bidi="sk-SK"/>
    </w:rPr>
  </w:style>
  <w:style w:type="paragraph" w:customStyle="1" w:styleId="AmDocTypeTab">
    <w:name w:val="AmDocTypeTab"/>
    <w:basedOn w:val="Normal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AmDateTab">
    <w:name w:val="AmDateTab"/>
    <w:basedOn w:val="Normal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</w:style>
  <w:style w:type="paragraph" w:customStyle="1" w:styleId="NormalCentered">
    <w:name w:val="Normal Centered"/>
    <w:basedOn w:val="Normal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pPr>
      <w:jc w:val="center"/>
    </w:pPr>
  </w:style>
  <w:style w:type="paragraph" w:customStyle="1" w:styleId="Jardin">
    <w:name w:val="Jardin"/>
    <w:basedOn w:val="Normal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Pr>
      <w:b/>
    </w:rPr>
  </w:style>
  <w:style w:type="paragraph" w:customStyle="1" w:styleId="Annex">
    <w:name w:val="Annex"/>
    <w:basedOn w:val="Normal"/>
    <w:next w:val="Normal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Pr>
      <w:rFonts w:eastAsia="Calibri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Pr>
      <w:rFonts w:eastAsia="Calibri"/>
      <w:sz w:val="24"/>
      <w:szCs w:val="22"/>
      <w:lang w:val="sk-SK" w:eastAsia="en-US"/>
    </w:rPr>
  </w:style>
  <w:style w:type="character" w:customStyle="1" w:styleId="HeaderCouncilLargeChar">
    <w:name w:val="Header Council Large Char"/>
    <w:basedOn w:val="TechnicalBlockChar"/>
    <w:link w:val="HeaderCouncilLarge"/>
    <w:rPr>
      <w:rFonts w:eastAsia="Calibri"/>
      <w:sz w:val="2"/>
      <w:szCs w:val="22"/>
      <w:lang w:val="sk-SK" w:eastAsia="en-US"/>
    </w:rPr>
  </w:style>
  <w:style w:type="paragraph" w:customStyle="1" w:styleId="FooterText">
    <w:name w:val="Footer Text"/>
    <w:basedOn w:val="Normal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OC4">
    <w:name w:val="toc 4"/>
    <w:basedOn w:val="Normal"/>
    <w:next w:val="Normal"/>
    <w:uiPriority w:val="39"/>
    <w:unhideWhenUsed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pPr>
      <w:widowControl/>
      <w:numPr>
        <w:numId w:val="2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pPr>
      <w:widowControl/>
      <w:numPr>
        <w:numId w:val="24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pPr>
      <w:widowControl/>
      <w:numPr>
        <w:numId w:val="25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pPr>
      <w:widowControl/>
      <w:numPr>
        <w:numId w:val="26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pPr>
      <w:widowControl/>
      <w:numPr>
        <w:numId w:val="27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pPr>
      <w:widowControl/>
      <w:numPr>
        <w:numId w:val="28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pPr>
      <w:widowControl/>
      <w:numPr>
        <w:numId w:val="29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pPr>
      <w:widowControl/>
      <w:numPr>
        <w:numId w:val="30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pPr>
      <w:widowControl/>
      <w:numPr>
        <w:numId w:val="31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pPr>
      <w:widowControl/>
      <w:numPr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pPr>
      <w:widowControl/>
      <w:numPr>
        <w:ilvl w:val="1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pPr>
      <w:widowControl/>
      <w:numPr>
        <w:ilvl w:val="2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pPr>
      <w:widowControl/>
      <w:numPr>
        <w:ilvl w:val="3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pPr>
      <w:widowControl/>
      <w:numPr>
        <w:ilvl w:val="4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pPr>
      <w:widowControl/>
      <w:numPr>
        <w:ilvl w:val="5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pPr>
      <w:widowControl/>
      <w:numPr>
        <w:ilvl w:val="6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pPr>
      <w:widowControl/>
      <w:numPr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pPr>
      <w:widowControl/>
      <w:numPr>
        <w:ilvl w:val="2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pPr>
      <w:widowControl/>
      <w:numPr>
        <w:ilvl w:val="4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pPr>
      <w:widowControl/>
      <w:numPr>
        <w:ilvl w:val="6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pPr>
      <w:widowControl/>
      <w:numPr>
        <w:ilvl w:val="1"/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pPr>
      <w:widowControl/>
      <w:numPr>
        <w:ilvl w:val="3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pPr>
      <w:widowControl/>
      <w:numPr>
        <w:ilvl w:val="5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pPr>
      <w:widowControl/>
      <w:numPr>
        <w:ilvl w:val="7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pPr>
      <w:widowControl/>
      <w:numPr>
        <w:ilvl w:val="8"/>
        <w:numId w:val="33"/>
      </w:numPr>
      <w:tabs>
        <w:tab w:val="clear" w:pos="3118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pPr>
      <w:widowControl/>
      <w:numPr>
        <w:numId w:val="34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pPr>
      <w:widowControl/>
      <w:numPr>
        <w:numId w:val="35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pPr>
      <w:widowControl/>
      <w:numPr>
        <w:numId w:val="36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pPr>
      <w:widowControl/>
      <w:numPr>
        <w:numId w:val="39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pPr>
      <w:spacing w:before="240"/>
    </w:pPr>
  </w:style>
  <w:style w:type="paragraph" w:customStyle="1" w:styleId="Accordtitre">
    <w:name w:val="Accord titre"/>
    <w:basedOn w:val="Normal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nnexetitre">
    <w:name w:val="Annexe titre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Pr>
      <w:b/>
      <w:i/>
    </w:rPr>
  </w:style>
  <w:style w:type="character" w:customStyle="1" w:styleId="diff-tte-removed">
    <w:name w:val="diff-tte-removed"/>
    <w:basedOn w:val="DefaultParagraphFont"/>
    <w:rPr>
      <w:strike/>
    </w:rPr>
  </w:style>
  <w:style w:type="paragraph" w:customStyle="1" w:styleId="ListParagraph1">
    <w:name w:val="List Paragraph1"/>
    <w:basedOn w:val="Normal"/>
    <w:next w:val="ListParagraph"/>
    <w:uiPriority w:val="34"/>
    <w:qFormat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BodyText1">
    <w:name w:val="Body Text1"/>
    <w:basedOn w:val="Normal"/>
    <w:next w:val="BodyText"/>
    <w:link w:val="BodyTextChar"/>
    <w:uiPriority w:val="99"/>
    <w:unhideWhenUsed/>
    <w:pPr>
      <w:widowControl/>
      <w:spacing w:after="120" w:line="280" w:lineRule="exact"/>
    </w:pPr>
    <w:rPr>
      <w:rFonts w:ascii="Arial" w:hAnsi="Arial"/>
      <w:sz w:val="21"/>
      <w:szCs w:val="24"/>
      <w:lang w:val="en-GB"/>
    </w:rPr>
  </w:style>
  <w:style w:type="character" w:customStyle="1" w:styleId="BodyTextChar">
    <w:name w:val="Body Text Char"/>
    <w:basedOn w:val="DefaultParagraphFont"/>
    <w:link w:val="BodyText1"/>
    <w:uiPriority w:val="99"/>
    <w:rPr>
      <w:rFonts w:ascii="Arial" w:hAnsi="Arial"/>
      <w:sz w:val="21"/>
      <w:szCs w:val="24"/>
    </w:rPr>
  </w:style>
  <w:style w:type="paragraph" w:customStyle="1" w:styleId="pf0">
    <w:name w:val="pf0"/>
    <w:basedOn w:val="Normal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cf01">
    <w:name w:val="cf01"/>
    <w:basedOn w:val="DefaultParagraphFont"/>
    <w:rPr>
      <w:rFonts w:ascii="Segoe UI" w:hAnsi="Segoe UI" w:cs="Segoe UI" w:hint="default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sk-SK" w:eastAsia="en-US"/>
    </w:rPr>
  </w:style>
  <w:style w:type="paragraph" w:customStyle="1" w:styleId="CharChar">
    <w:name w:val="Char Char"/>
    <w:basedOn w:val="Normal"/>
    <w:pPr>
      <w:widowControl/>
    </w:pPr>
    <w:rPr>
      <w:szCs w:val="24"/>
      <w:lang w:eastAsia="pl-PL"/>
    </w:rPr>
  </w:style>
  <w:style w:type="character" w:customStyle="1" w:styleId="Hyperlink1">
    <w:name w:val="Hyperlink1"/>
    <w:basedOn w:val="DefaultParagraphFont"/>
    <w:uiPriority w:val="99"/>
    <w:unhideWhenUsed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">
    <w:name w:val="Body Text"/>
    <w:basedOn w:val="Normal"/>
    <w:link w:val="BodyTextChar1"/>
    <w:pPr>
      <w:spacing w:after="120"/>
    </w:pPr>
  </w:style>
  <w:style w:type="character" w:customStyle="1" w:styleId="BodyTextChar1">
    <w:name w:val="Body Text Char1"/>
    <w:basedOn w:val="DefaultParagraphFont"/>
    <w:link w:val="BodyText"/>
    <w:rPr>
      <w:sz w:val="24"/>
      <w:lang w:val="sk-SK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pPr>
      <w:jc w:val="center"/>
    </w:pPr>
  </w:style>
  <w:style w:type="paragraph" w:customStyle="1" w:styleId="LineSingle">
    <w:name w:val="LineSingle"/>
    <w:basedOn w:val="Normal"/>
    <w:next w:val="Normal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oterChar1">
    <w:name w:val="Footer Char1"/>
    <w:uiPriority w:val="99"/>
    <w:rPr>
      <w:sz w:val="24"/>
      <w:szCs w:val="24"/>
      <w:lang w:val="sk-SK" w:eastAsia="en-US"/>
    </w:rPr>
  </w:style>
  <w:style w:type="paragraph" w:customStyle="1" w:styleId="pj">
    <w:name w:val="p.j."/>
    <w:basedOn w:val="Normal"/>
    <w:link w:val="pjChar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DefaultParagraphFont"/>
    <w:link w:val="pj"/>
    <w:rPr>
      <w:rFonts w:eastAsia="Calibri"/>
      <w:sz w:val="24"/>
      <w:szCs w:val="22"/>
      <w:lang w:val="sk-SK" w:eastAsia="en-US"/>
    </w:rPr>
  </w:style>
  <w:style w:type="paragraph" w:customStyle="1" w:styleId="nbbordered">
    <w:name w:val="nb bordered"/>
    <w:basedOn w:val="Normal"/>
    <w:link w:val="nbborderedChar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DefaultParagraphFont"/>
    <w:link w:val="nbbordered"/>
    <w:rPr>
      <w:rFonts w:eastAsia="Calibri"/>
      <w:b/>
      <w:sz w:val="24"/>
      <w:szCs w:val="22"/>
      <w:lang w:val="sk-SK" w:eastAsia="en-US"/>
    </w:rPr>
  </w:style>
  <w:style w:type="character" w:customStyle="1" w:styleId="cf11">
    <w:name w:val="cf11"/>
    <w:basedOn w:val="DefaultParagraphFont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01C4A-2FAE-46F6-B381-E0A179DC3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1720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2025-01-28T10:12:00Z</dcterms:created>
  <dcterms:modified xsi:type="dcterms:W3CDTF">2025-01-28T10:12:00Z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P9_TA(2024)0293_</vt:lpwstr>
  </property>
  <property fmtid="{D5CDD505-2E9C-101B-9397-08002B2CF9AE}" pid="4" name="&lt;Type&gt;">
    <vt:lpwstr>RR</vt:lpwstr>
  </property>
</Properties>
</file>