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6761" w14:paraId="124ECD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834499" w14:textId="77777777" w:rsidR="00751A4A" w:rsidRPr="009C6761" w:rsidRDefault="005B50B0" w:rsidP="0010095E">
            <w:pPr>
              <w:pStyle w:val="EPName"/>
            </w:pPr>
            <w:r w:rsidRPr="009C6761">
              <w:t>Europa-Parlamentet</w:t>
            </w:r>
          </w:p>
          <w:p w14:paraId="49EB8F47" w14:textId="77777777" w:rsidR="00751A4A" w:rsidRPr="009C67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1194">
              <w:t>2019</w:t>
            </w:r>
            <w:r w:rsidRPr="009C6761">
              <w:t>-</w:t>
            </w:r>
            <w:r w:rsidRPr="00D41194">
              <w:t>2024</w:t>
            </w:r>
          </w:p>
        </w:tc>
        <w:tc>
          <w:tcPr>
            <w:tcW w:w="2268" w:type="dxa"/>
            <w:shd w:val="clear" w:color="auto" w:fill="auto"/>
          </w:tcPr>
          <w:p w14:paraId="6CE46DA2" w14:textId="77777777" w:rsidR="00751A4A" w:rsidRPr="009C6761" w:rsidRDefault="00187494" w:rsidP="0010095E">
            <w:pPr>
              <w:pStyle w:val="EPLogo"/>
            </w:pPr>
            <w:r w:rsidRPr="009C6761">
              <w:rPr>
                <w:noProof/>
                <w:lang w:val="en-GB"/>
              </w:rPr>
              <w:drawing>
                <wp:inline distT="0" distB="0" distL="0" distR="0" wp14:anchorId="02D68264" wp14:editId="7A54F1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360A97" w14:textId="77777777" w:rsidR="00D058B8" w:rsidRPr="009C6761" w:rsidRDefault="00D058B8" w:rsidP="004C5D52">
      <w:pPr>
        <w:pStyle w:val="LineTop"/>
      </w:pPr>
    </w:p>
    <w:p w14:paraId="58413665" w14:textId="77777777" w:rsidR="00680577" w:rsidRPr="009C6761" w:rsidRDefault="005B50B0" w:rsidP="00680577">
      <w:pPr>
        <w:pStyle w:val="EPBodyTA1"/>
      </w:pPr>
      <w:r w:rsidRPr="009C6761">
        <w:t>VEDTAGNE TEKSTER</w:t>
      </w:r>
    </w:p>
    <w:p w14:paraId="58D09E20" w14:textId="77777777" w:rsidR="00D058B8" w:rsidRPr="009C6761" w:rsidRDefault="00D058B8" w:rsidP="00D058B8">
      <w:pPr>
        <w:pStyle w:val="LineBottom"/>
      </w:pPr>
    </w:p>
    <w:p w14:paraId="564F1EDF" w14:textId="4B224DBC" w:rsidR="005B50B0" w:rsidRPr="009C6761" w:rsidRDefault="005B50B0" w:rsidP="005B50B0">
      <w:pPr>
        <w:pStyle w:val="ATHeading1"/>
      </w:pPr>
      <w:bookmarkStart w:id="0" w:name="TANumber"/>
      <w:r w:rsidRPr="009C6761">
        <w:t>P</w:t>
      </w:r>
      <w:r w:rsidRPr="00D41194">
        <w:t>9</w:t>
      </w:r>
      <w:r w:rsidRPr="009C6761">
        <w:t>_TA(</w:t>
      </w:r>
      <w:r w:rsidRPr="00D41194">
        <w:t>2024</w:t>
      </w:r>
      <w:r w:rsidRPr="009C6761">
        <w:t>)</w:t>
      </w:r>
      <w:r w:rsidRPr="00D41194">
        <w:t>0</w:t>
      </w:r>
      <w:bookmarkEnd w:id="0"/>
      <w:r w:rsidR="004E0895" w:rsidRPr="00D41194">
        <w:t>295</w:t>
      </w:r>
    </w:p>
    <w:p w14:paraId="34602468" w14:textId="77777777" w:rsidR="005B50B0" w:rsidRPr="009C6761" w:rsidRDefault="00F16F3D" w:rsidP="005B50B0">
      <w:pPr>
        <w:pStyle w:val="ATHeading2"/>
      </w:pPr>
      <w:r w:rsidRPr="00F16F3D">
        <w:t>Ændring af Solvens II-direktivet</w:t>
      </w:r>
    </w:p>
    <w:p w14:paraId="676189FD" w14:textId="77777777" w:rsidR="005B50B0" w:rsidRPr="009C6761" w:rsidRDefault="005B50B0" w:rsidP="005B50B0">
      <w:pPr>
        <w:rPr>
          <w:i/>
          <w:vanish/>
        </w:rPr>
      </w:pPr>
      <w:r w:rsidRPr="009C6761">
        <w:rPr>
          <w:i/>
        </w:rPr>
        <w:fldChar w:fldCharType="begin"/>
      </w:r>
      <w:r w:rsidRPr="009C6761">
        <w:rPr>
          <w:i/>
        </w:rPr>
        <w:instrText xml:space="preserve"> TC"(</w:instrText>
      </w:r>
      <w:bookmarkStart w:id="1" w:name="DocNumber"/>
      <w:r w:rsidRPr="009C6761">
        <w:rPr>
          <w:i/>
        </w:rPr>
        <w:instrText>A</w:instrText>
      </w:r>
      <w:r w:rsidRPr="00D41194">
        <w:rPr>
          <w:i/>
        </w:rPr>
        <w:instrText>9</w:instrText>
      </w:r>
      <w:r w:rsidRPr="009C6761">
        <w:rPr>
          <w:i/>
        </w:rPr>
        <w:instrText>-</w:instrText>
      </w:r>
      <w:r w:rsidRPr="00D41194">
        <w:rPr>
          <w:i/>
        </w:rPr>
        <w:instrText>0256</w:instrText>
      </w:r>
      <w:r w:rsidRPr="009C6761">
        <w:rPr>
          <w:i/>
        </w:rPr>
        <w:instrText>/</w:instrText>
      </w:r>
      <w:r w:rsidRPr="00D41194">
        <w:rPr>
          <w:i/>
        </w:rPr>
        <w:instrText>2023</w:instrText>
      </w:r>
      <w:bookmarkEnd w:id="1"/>
      <w:r w:rsidRPr="009C6761">
        <w:rPr>
          <w:i/>
        </w:rPr>
        <w:instrText xml:space="preserve"> - Ordfører: Markus Ferber)"\l</w:instrText>
      </w:r>
      <w:r w:rsidRPr="00D41194">
        <w:rPr>
          <w:i/>
        </w:rPr>
        <w:instrText>3</w:instrText>
      </w:r>
      <w:r w:rsidRPr="009C6761">
        <w:rPr>
          <w:i/>
        </w:rPr>
        <w:instrText xml:space="preserve"> \n&gt; \* MERGEFORMAT </w:instrText>
      </w:r>
      <w:r w:rsidRPr="009C6761">
        <w:rPr>
          <w:i/>
        </w:rPr>
        <w:fldChar w:fldCharType="end"/>
      </w:r>
    </w:p>
    <w:p w14:paraId="23F79171" w14:textId="77777777" w:rsidR="005B50B0" w:rsidRPr="009C6761" w:rsidRDefault="005B50B0" w:rsidP="005B50B0">
      <w:pPr>
        <w:rPr>
          <w:vanish/>
        </w:rPr>
      </w:pPr>
      <w:bookmarkStart w:id="2" w:name="Commission"/>
      <w:r w:rsidRPr="009C6761">
        <w:rPr>
          <w:vanish/>
        </w:rPr>
        <w:t>Økonomi- og Valutaudvalget</w:t>
      </w:r>
      <w:bookmarkEnd w:id="2"/>
    </w:p>
    <w:p w14:paraId="6B93706B" w14:textId="77777777" w:rsidR="005B50B0" w:rsidRPr="009C6761" w:rsidRDefault="005B50B0" w:rsidP="005B50B0">
      <w:pPr>
        <w:rPr>
          <w:vanish/>
        </w:rPr>
      </w:pPr>
      <w:bookmarkStart w:id="3" w:name="PE"/>
      <w:r w:rsidRPr="009C6761">
        <w:rPr>
          <w:vanish/>
        </w:rPr>
        <w:t>PE</w:t>
      </w:r>
      <w:r w:rsidRPr="00D41194">
        <w:rPr>
          <w:vanish/>
        </w:rPr>
        <w:t>732</w:t>
      </w:r>
      <w:r w:rsidRPr="009C6761">
        <w:rPr>
          <w:vanish/>
        </w:rPr>
        <w:t>.</w:t>
      </w:r>
      <w:r w:rsidRPr="00D41194">
        <w:rPr>
          <w:vanish/>
        </w:rPr>
        <w:t>668</w:t>
      </w:r>
      <w:bookmarkEnd w:id="3"/>
    </w:p>
    <w:p w14:paraId="124CA6F2" w14:textId="7761F75F" w:rsidR="005B50B0" w:rsidRPr="009C6761" w:rsidRDefault="005B50B0" w:rsidP="005B50B0">
      <w:pPr>
        <w:pStyle w:val="ATHeading3"/>
      </w:pPr>
      <w:bookmarkStart w:id="4" w:name="Sujet"/>
      <w:r w:rsidRPr="009C6761">
        <w:t xml:space="preserve">Europa-Parlamentets lovgivningsmæssige beslutning af </w:t>
      </w:r>
      <w:r w:rsidR="00F16F3D" w:rsidRPr="00D41194">
        <w:t>23</w:t>
      </w:r>
      <w:r w:rsidRPr="009C6761">
        <w:t>.</w:t>
      </w:r>
      <w:r w:rsidR="00F16F3D">
        <w:t xml:space="preserve"> april</w:t>
      </w:r>
      <w:r w:rsidRPr="009C6761">
        <w:t xml:space="preserve"> </w:t>
      </w:r>
      <w:r w:rsidRPr="00D41194">
        <w:t>2024</w:t>
      </w:r>
      <w:r w:rsidRPr="009C6761">
        <w:t xml:space="preserve"> om forslag til Europa-Parlamentets og Rådets direktiv om ændring af direktiv </w:t>
      </w:r>
      <w:r w:rsidRPr="00D41194">
        <w:t>2009</w:t>
      </w:r>
      <w:r w:rsidRPr="009C6761">
        <w:t>/</w:t>
      </w:r>
      <w:r w:rsidRPr="00D41194">
        <w:t>138</w:t>
      </w:r>
      <w:r w:rsidRPr="009C6761">
        <w:t>/EF for så vidt angår proportionalitet, kvaliteten af tilsynet, rapportering, foranstaltninger vedrørende langsigtede garantier, makroprudentielle værktøjer, bæredygtighedsrisici og tilsyn med koncerner og grænseoverskridende tilsyn</w:t>
      </w:r>
      <w:bookmarkEnd w:id="4"/>
      <w:r w:rsidRPr="009C6761">
        <w:t xml:space="preserve"> </w:t>
      </w:r>
      <w:bookmarkStart w:id="5" w:name="References"/>
      <w:r w:rsidRPr="009C6761">
        <w:t>(COM(</w:t>
      </w:r>
      <w:r w:rsidRPr="00D41194">
        <w:t>2021</w:t>
      </w:r>
      <w:r w:rsidRPr="009C6761">
        <w:t>)</w:t>
      </w:r>
      <w:r w:rsidRPr="00D41194">
        <w:t>0581</w:t>
      </w:r>
      <w:r w:rsidRPr="009C6761">
        <w:t xml:space="preserve"> – C</w:t>
      </w:r>
      <w:r w:rsidRPr="00D41194">
        <w:t>9</w:t>
      </w:r>
      <w:r w:rsidRPr="009C6761">
        <w:t>-</w:t>
      </w:r>
      <w:r w:rsidRPr="00D41194">
        <w:t>0367</w:t>
      </w:r>
      <w:r w:rsidRPr="009C6761">
        <w:t>/</w:t>
      </w:r>
      <w:r w:rsidRPr="00D41194">
        <w:t>2021</w:t>
      </w:r>
      <w:r w:rsidRPr="009C6761">
        <w:t xml:space="preserve"> – </w:t>
      </w:r>
      <w:r w:rsidRPr="00D41194">
        <w:t>2021</w:t>
      </w:r>
      <w:r w:rsidRPr="009C6761">
        <w:t>/</w:t>
      </w:r>
      <w:r w:rsidRPr="00D41194">
        <w:t>0295</w:t>
      </w:r>
      <w:r w:rsidRPr="009C6761">
        <w:t>(COD))</w:t>
      </w:r>
      <w:bookmarkEnd w:id="5"/>
    </w:p>
    <w:p w14:paraId="0E54AA20" w14:textId="77777777" w:rsidR="00DF086E" w:rsidRPr="009C6761" w:rsidRDefault="00DF086E" w:rsidP="00DF086E">
      <w:pPr>
        <w:pStyle w:val="NormalBold"/>
      </w:pPr>
      <w:bookmarkStart w:id="6" w:name="TextBodyBegin"/>
      <w:bookmarkEnd w:id="6"/>
      <w:r w:rsidRPr="009C6761">
        <w:t>(Almindelig lovgivningsprocedure: førstebehandling)</w:t>
      </w:r>
    </w:p>
    <w:p w14:paraId="610F49CA" w14:textId="77777777" w:rsidR="00DF086E" w:rsidRPr="009C6761" w:rsidRDefault="00DF086E" w:rsidP="00DF086E">
      <w:pPr>
        <w:pStyle w:val="EPComma"/>
      </w:pPr>
      <w:r w:rsidRPr="009C6761">
        <w:rPr>
          <w:i/>
        </w:rPr>
        <w:t>Europa-Parlamentet</w:t>
      </w:r>
      <w:r w:rsidRPr="009C6761">
        <w:t>,</w:t>
      </w:r>
    </w:p>
    <w:p w14:paraId="228EC51E" w14:textId="77777777" w:rsidR="00DF086E" w:rsidRPr="009C6761" w:rsidRDefault="00DF086E" w:rsidP="00DF086E">
      <w:pPr>
        <w:pStyle w:val="NormalHanging12a"/>
      </w:pPr>
      <w:r w:rsidRPr="009C6761">
        <w:t>–</w:t>
      </w:r>
      <w:r w:rsidRPr="009C6761">
        <w:tab/>
        <w:t>der henviser til Kommissionens forslag til Europa-Parlamentet og Rådet (COM(</w:t>
      </w:r>
      <w:r w:rsidRPr="00D41194">
        <w:t>2021</w:t>
      </w:r>
      <w:r w:rsidRPr="009C6761">
        <w:t>)</w:t>
      </w:r>
      <w:r w:rsidRPr="00D41194">
        <w:t>0581</w:t>
      </w:r>
      <w:r w:rsidRPr="009C6761">
        <w:t>),</w:t>
      </w:r>
    </w:p>
    <w:p w14:paraId="5A2CD79B" w14:textId="77777777" w:rsidR="00DF086E" w:rsidRPr="009C6761" w:rsidRDefault="00DF086E" w:rsidP="00DF086E">
      <w:pPr>
        <w:pStyle w:val="NormalHanging12a"/>
      </w:pPr>
      <w:r w:rsidRPr="009C6761">
        <w:t>–</w:t>
      </w:r>
      <w:r w:rsidRPr="009C6761">
        <w:tab/>
        <w:t>der henviser til artikel </w:t>
      </w:r>
      <w:r w:rsidRPr="00D41194">
        <w:t>294</w:t>
      </w:r>
      <w:r w:rsidRPr="009C6761">
        <w:t>, stk. </w:t>
      </w:r>
      <w:r w:rsidRPr="00D41194">
        <w:t>2</w:t>
      </w:r>
      <w:r w:rsidRPr="009C6761">
        <w:t>, og artikel </w:t>
      </w:r>
      <w:r w:rsidRPr="00D41194">
        <w:t>53</w:t>
      </w:r>
      <w:r w:rsidRPr="009C6761">
        <w:t>, stk. </w:t>
      </w:r>
      <w:r w:rsidRPr="00D41194">
        <w:t>1</w:t>
      </w:r>
      <w:r w:rsidRPr="009C6761">
        <w:t>, artikel </w:t>
      </w:r>
      <w:r w:rsidRPr="00D41194">
        <w:t>62</w:t>
      </w:r>
      <w:r w:rsidRPr="009C6761">
        <w:t xml:space="preserve"> og artikel </w:t>
      </w:r>
      <w:r w:rsidRPr="00D41194">
        <w:t>114</w:t>
      </w:r>
      <w:r w:rsidRPr="009C6761">
        <w:t xml:space="preserve"> i traktaten om Den Europæiske Unions funktionsmåde, på grundlag af hvilke Kommissionen har forelagt forslaget for Parlamentet (C</w:t>
      </w:r>
      <w:r w:rsidRPr="00D41194">
        <w:t>9</w:t>
      </w:r>
      <w:r w:rsidRPr="009C6761">
        <w:noBreakHyphen/>
      </w:r>
      <w:r w:rsidRPr="00D41194">
        <w:t>0367</w:t>
      </w:r>
      <w:r w:rsidRPr="009C6761">
        <w:t>/</w:t>
      </w:r>
      <w:r w:rsidRPr="00D41194">
        <w:t>2021</w:t>
      </w:r>
      <w:r w:rsidRPr="009C6761">
        <w:t>),</w:t>
      </w:r>
    </w:p>
    <w:p w14:paraId="055828A2" w14:textId="77777777" w:rsidR="00DF086E" w:rsidRPr="009C6761" w:rsidRDefault="00DF086E" w:rsidP="00DF086E">
      <w:pPr>
        <w:pStyle w:val="NormalHanging12a"/>
      </w:pPr>
      <w:r w:rsidRPr="009C6761">
        <w:t>–</w:t>
      </w:r>
      <w:r w:rsidRPr="009C6761">
        <w:tab/>
        <w:t>der henviser til artikel </w:t>
      </w:r>
      <w:r w:rsidRPr="00D41194">
        <w:t>294</w:t>
      </w:r>
      <w:r w:rsidRPr="009C6761">
        <w:t>, stk. </w:t>
      </w:r>
      <w:r w:rsidRPr="00D41194">
        <w:t>3</w:t>
      </w:r>
      <w:r w:rsidRPr="009C6761">
        <w:t>, i traktaten om Den Europæiske Unions funktionsmåde,</w:t>
      </w:r>
    </w:p>
    <w:p w14:paraId="221B81BB" w14:textId="727A9BD7" w:rsidR="00DF086E" w:rsidRDefault="00DF086E" w:rsidP="00DF086E">
      <w:pPr>
        <w:pStyle w:val="NormalHanging12a"/>
      </w:pPr>
      <w:r w:rsidRPr="009C6761">
        <w:t>–</w:t>
      </w:r>
      <w:r w:rsidRPr="009C6761">
        <w:tab/>
        <w:t xml:space="preserve">der henviser til udtalelse af </w:t>
      </w:r>
      <w:r w:rsidRPr="00D41194">
        <w:t>23</w:t>
      </w:r>
      <w:r w:rsidRPr="009C6761">
        <w:t xml:space="preserve">. februar </w:t>
      </w:r>
      <w:r w:rsidRPr="00D41194">
        <w:t>2022</w:t>
      </w:r>
      <w:r w:rsidRPr="009C6761">
        <w:t xml:space="preserve"> fra Det Europæiske Økonomiske og Sociale Udvalg</w:t>
      </w:r>
      <w:r w:rsidRPr="009C6761">
        <w:rPr>
          <w:rStyle w:val="FootnoteReference"/>
          <w:szCs w:val="24"/>
        </w:rPr>
        <w:footnoteReference w:id="1"/>
      </w:r>
      <w:r w:rsidRPr="009C6761">
        <w:t>,</w:t>
      </w:r>
    </w:p>
    <w:p w14:paraId="64B97CBE" w14:textId="769559B9" w:rsidR="00733843" w:rsidRPr="009C6761" w:rsidRDefault="00733843" w:rsidP="00DF086E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D41194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D41194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D41194">
        <w:rPr>
          <w:noProof/>
          <w:szCs w:val="24"/>
        </w:rPr>
        <w:t>24</w:t>
      </w:r>
      <w:r>
        <w:rPr>
          <w:noProof/>
          <w:szCs w:val="24"/>
        </w:rPr>
        <w:t xml:space="preserve">. januar </w:t>
      </w:r>
      <w:r w:rsidRPr="00D41194">
        <w:rPr>
          <w:noProof/>
          <w:szCs w:val="24"/>
        </w:rPr>
        <w:t>2024</w:t>
      </w:r>
      <w:r>
        <w:rPr>
          <w:noProof/>
          <w:szCs w:val="24"/>
        </w:rPr>
        <w:t xml:space="preserve"> forpligtede sig til at godkende Europa-Parlamentets holdning, jf. artikel </w:t>
      </w:r>
      <w:r w:rsidRPr="00D41194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D41194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funktionsmåde,</w:t>
      </w:r>
    </w:p>
    <w:p w14:paraId="144CA33A" w14:textId="77777777" w:rsidR="00DF086E" w:rsidRPr="009C6761" w:rsidRDefault="00DF086E" w:rsidP="00DF086E">
      <w:pPr>
        <w:pStyle w:val="NormalHanging12a"/>
      </w:pPr>
      <w:r w:rsidRPr="009C6761">
        <w:t>–</w:t>
      </w:r>
      <w:r w:rsidRPr="009C6761">
        <w:tab/>
        <w:t xml:space="preserve">der henviser til forretningsordenens artikel </w:t>
      </w:r>
      <w:r w:rsidRPr="00D41194">
        <w:t>59</w:t>
      </w:r>
      <w:r w:rsidRPr="009C6761">
        <w:t>,</w:t>
      </w:r>
    </w:p>
    <w:p w14:paraId="5B1E95B3" w14:textId="77777777" w:rsidR="00DF086E" w:rsidRPr="009C6761" w:rsidRDefault="00DF086E" w:rsidP="00DF086E">
      <w:pPr>
        <w:pStyle w:val="NormalHanging12a"/>
      </w:pPr>
      <w:r w:rsidRPr="009C6761">
        <w:t>–</w:t>
      </w:r>
      <w:r w:rsidRPr="009C6761">
        <w:tab/>
        <w:t>der henviser til betænkning fra Økonomi- og Valutaudvalget (A</w:t>
      </w:r>
      <w:r w:rsidRPr="00D41194">
        <w:t>9</w:t>
      </w:r>
      <w:r w:rsidRPr="009C6761">
        <w:t>-</w:t>
      </w:r>
      <w:r w:rsidRPr="00D41194">
        <w:t>0256</w:t>
      </w:r>
      <w:r w:rsidRPr="009C6761">
        <w:t>/</w:t>
      </w:r>
      <w:r w:rsidRPr="00D41194">
        <w:t>2023</w:t>
      </w:r>
      <w:r w:rsidRPr="009C6761">
        <w:t>),</w:t>
      </w:r>
    </w:p>
    <w:p w14:paraId="3F61E59E" w14:textId="77777777" w:rsidR="00DF086E" w:rsidRPr="009C6761" w:rsidRDefault="00DF086E" w:rsidP="00DF086E">
      <w:pPr>
        <w:pStyle w:val="NormalHanging12a"/>
      </w:pPr>
      <w:r w:rsidRPr="00D41194">
        <w:lastRenderedPageBreak/>
        <w:t>1</w:t>
      </w:r>
      <w:r w:rsidRPr="009C6761">
        <w:t>.</w:t>
      </w:r>
      <w:r w:rsidRPr="009C6761">
        <w:tab/>
        <w:t>vedtager nedenstående holdning ved førstebehandling;</w:t>
      </w:r>
    </w:p>
    <w:p w14:paraId="29B2C653" w14:textId="77777777" w:rsidR="00DF086E" w:rsidRPr="009C6761" w:rsidRDefault="00DF086E" w:rsidP="00DF086E">
      <w:pPr>
        <w:pStyle w:val="NormalHanging12a"/>
      </w:pPr>
      <w:r w:rsidRPr="00D41194">
        <w:t>2</w:t>
      </w:r>
      <w:r w:rsidRPr="009C6761">
        <w:t>.</w:t>
      </w:r>
      <w:r w:rsidRPr="009C6761">
        <w:tab/>
        <w:t>anmoder om fornyet forelæggelse, hvis Kommissionen erstatter, i væsentlig grad ændrer eller agter i væsentlig grad at ændre sit forslag;</w:t>
      </w:r>
    </w:p>
    <w:p w14:paraId="4A6F3585" w14:textId="77777777" w:rsidR="00DF086E" w:rsidRPr="009C6761" w:rsidRDefault="00DF086E" w:rsidP="00DF086E">
      <w:pPr>
        <w:ind w:left="567" w:hanging="567"/>
      </w:pPr>
      <w:r w:rsidRPr="00D41194">
        <w:t>3</w:t>
      </w:r>
      <w:r w:rsidRPr="009C6761">
        <w:t>.</w:t>
      </w:r>
      <w:r w:rsidRPr="009C6761">
        <w:tab/>
        <w:t>pålægger sin formand at sende Parlamentets holdning til Rådet og Kommissionen samt til de nationale parlamenter.</w:t>
      </w:r>
    </w:p>
    <w:p w14:paraId="08780DD7" w14:textId="77777777" w:rsidR="00733843" w:rsidRDefault="00733843" w:rsidP="00733843">
      <w:pPr>
        <w:pStyle w:val="ATHeading3"/>
        <w:sectPr w:rsidR="00733843" w:rsidSect="009C67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93928A6" w14:textId="3F285A34" w:rsidR="00733843" w:rsidRDefault="00733843" w:rsidP="00733843">
      <w:pPr>
        <w:pStyle w:val="ATHeading3"/>
      </w:pPr>
      <w:r>
        <w:lastRenderedPageBreak/>
        <w:t>P</w:t>
      </w:r>
      <w:r w:rsidRPr="00D41194">
        <w:t>9</w:t>
      </w:r>
      <w:r>
        <w:t>_TC</w:t>
      </w:r>
      <w:r w:rsidRPr="00D41194">
        <w:t>1</w:t>
      </w:r>
      <w:r>
        <w:t>-COD(</w:t>
      </w:r>
      <w:r w:rsidRPr="00D41194">
        <w:t>2021</w:t>
      </w:r>
      <w:r>
        <w:t>)</w:t>
      </w:r>
      <w:r w:rsidRPr="00D41194">
        <w:t>0295</w:t>
      </w:r>
    </w:p>
    <w:p w14:paraId="10D92992" w14:textId="7C7E6BB6" w:rsidR="00733843" w:rsidRPr="00671414" w:rsidRDefault="00733843" w:rsidP="00733843">
      <w:pPr>
        <w:pStyle w:val="Typedudocument"/>
        <w:spacing w:before="240" w:after="240"/>
        <w:jc w:val="left"/>
      </w:pPr>
      <w:r>
        <w:t xml:space="preserve">Europa-Parlamentets holdning fastlagt ved førstebehandlingen den </w:t>
      </w:r>
      <w:r w:rsidRPr="00D41194">
        <w:t>23</w:t>
      </w:r>
      <w:r>
        <w:t xml:space="preserve">. april </w:t>
      </w:r>
      <w:r w:rsidRPr="00D41194">
        <w:t>2024</w:t>
      </w:r>
      <w:r>
        <w:t xml:space="preserve"> med henblik på vedtagelse af Europa-Parlamentets og Rådets </w:t>
      </w:r>
      <w:r>
        <w:rPr>
          <w:rFonts w:eastAsia="Calibri"/>
        </w:rPr>
        <w:t>direktiv</w:t>
      </w:r>
      <w:r>
        <w:t xml:space="preserve"> (EU) </w:t>
      </w:r>
      <w:r w:rsidRPr="00D41194">
        <w:rPr>
          <w:rFonts w:eastAsia="Calibri"/>
        </w:rPr>
        <w:t>202</w:t>
      </w:r>
      <w:r w:rsidR="00671414">
        <w:rPr>
          <w:rFonts w:eastAsia="Calibri"/>
        </w:rPr>
        <w:t>5</w:t>
      </w:r>
      <w:r>
        <w:rPr>
          <w:rFonts w:eastAsia="Calibri"/>
        </w:rPr>
        <w:t xml:space="preserve">/... om </w:t>
      </w:r>
      <w:r w:rsidR="00BD3CAC" w:rsidRPr="00BD3CAC">
        <w:t xml:space="preserve">ændring af direktiv 2009/138/EF for så vidt angår proportionalitet, kvaliteten af tilsyn, indberetning, foranstaltninger vedrørende langsigtede garantier, makroprudentielle redskaber, bæredygtighedsrisici og koncerntilsyn og grænseoverskridende tilsyn </w:t>
      </w:r>
      <w:r w:rsidR="00BD3CAC" w:rsidRPr="00671414">
        <w:t>og om ændring af direktiv 2002/87/EF og 2013/34/EU</w:t>
      </w:r>
      <w:bookmarkStart w:id="7" w:name="_GoBack"/>
      <w:bookmarkEnd w:id="7"/>
    </w:p>
    <w:p w14:paraId="299C5396" w14:textId="5200CCF3" w:rsidR="00671414" w:rsidRPr="00671414" w:rsidRDefault="00671414" w:rsidP="00671414">
      <w:pPr>
        <w:pStyle w:val="Titreobjet"/>
        <w:jc w:val="left"/>
      </w:pPr>
      <w:r w:rsidRPr="00671414">
        <w:rPr>
          <w:rFonts w:eastAsia="Calibri"/>
          <w:b w:val="0"/>
          <w:i/>
          <w:szCs w:val="24"/>
        </w:rPr>
        <w:t xml:space="preserve">(Eftersom der var indgået en aftale mellem Parlamentet og Rådet, svarer Parlamentets holdning til den endelige retsakt, </w:t>
      </w:r>
      <w:r w:rsidRPr="00671414">
        <w:rPr>
          <w:rFonts w:eastAsia="Calibri"/>
          <w:b w:val="0"/>
          <w:i/>
          <w:szCs w:val="24"/>
        </w:rPr>
        <w:t>direktiv</w:t>
      </w:r>
      <w:r w:rsidRPr="00671414">
        <w:rPr>
          <w:rFonts w:eastAsia="Calibri"/>
          <w:b w:val="0"/>
          <w:i/>
          <w:szCs w:val="24"/>
        </w:rPr>
        <w:t xml:space="preserve"> (EU) </w:t>
      </w:r>
      <w:r w:rsidRPr="00671414">
        <w:rPr>
          <w:rFonts w:eastAsia="Calibri"/>
          <w:b w:val="0"/>
          <w:i/>
          <w:szCs w:val="24"/>
        </w:rPr>
        <w:t>2025/2</w:t>
      </w:r>
      <w:r w:rsidRPr="00671414">
        <w:rPr>
          <w:rFonts w:eastAsia="Calibri"/>
          <w:b w:val="0"/>
          <w:i/>
          <w:szCs w:val="24"/>
        </w:rPr>
        <w:t>.)</w:t>
      </w:r>
    </w:p>
    <w:sectPr w:rsidR="00671414" w:rsidRPr="00671414" w:rsidSect="009C676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24F2B" w14:textId="77777777" w:rsidR="005B50B0" w:rsidRPr="009C6761" w:rsidRDefault="005B50B0">
      <w:r w:rsidRPr="009C6761">
        <w:separator/>
      </w:r>
    </w:p>
  </w:endnote>
  <w:endnote w:type="continuationSeparator" w:id="0">
    <w:p w14:paraId="032CCFE9" w14:textId="77777777" w:rsidR="005B50B0" w:rsidRPr="009C6761" w:rsidRDefault="005B50B0">
      <w:r w:rsidRPr="009C6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5DAE0" w14:textId="77777777" w:rsidR="00064002" w:rsidRPr="009C67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CBEC5" w14:textId="77777777" w:rsidR="00064002" w:rsidRPr="009C67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6F5D7" w14:textId="77777777" w:rsidR="00064002" w:rsidRPr="009C67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2640F" w14:textId="77777777" w:rsidR="005B50B0" w:rsidRPr="009C6761" w:rsidRDefault="005B50B0">
      <w:r w:rsidRPr="009C6761">
        <w:separator/>
      </w:r>
    </w:p>
  </w:footnote>
  <w:footnote w:type="continuationSeparator" w:id="0">
    <w:p w14:paraId="2A8053DD" w14:textId="77777777" w:rsidR="005B50B0" w:rsidRPr="009C6761" w:rsidRDefault="005B50B0">
      <w:r w:rsidRPr="009C6761">
        <w:continuationSeparator/>
      </w:r>
    </w:p>
  </w:footnote>
  <w:footnote w:id="1">
    <w:p w14:paraId="33C4BAFD" w14:textId="77777777" w:rsidR="00DF086E" w:rsidRPr="00170792" w:rsidRDefault="00DF086E" w:rsidP="009C6761">
      <w:pPr>
        <w:pStyle w:val="FootnoteText"/>
        <w:ind w:left="567" w:hanging="567"/>
        <w:rPr>
          <w:sz w:val="24"/>
          <w:szCs w:val="24"/>
          <w:lang w:val="da-DK"/>
        </w:rPr>
      </w:pPr>
      <w:r w:rsidRPr="00170792">
        <w:rPr>
          <w:rStyle w:val="FootnoteReference"/>
          <w:sz w:val="24"/>
          <w:szCs w:val="24"/>
          <w:lang w:val="da-DK"/>
        </w:rPr>
        <w:footnoteRef/>
      </w:r>
      <w:r w:rsidR="009C6761" w:rsidRPr="00170792">
        <w:rPr>
          <w:sz w:val="24"/>
          <w:szCs w:val="24"/>
          <w:lang w:val="da-DK"/>
        </w:rPr>
        <w:t xml:space="preserve"> </w:t>
      </w:r>
      <w:r w:rsidR="009C6761" w:rsidRPr="00170792">
        <w:rPr>
          <w:sz w:val="24"/>
          <w:szCs w:val="24"/>
          <w:lang w:val="da-DK"/>
        </w:rPr>
        <w:tab/>
      </w:r>
      <w:r w:rsidRPr="00170792">
        <w:rPr>
          <w:sz w:val="24"/>
          <w:szCs w:val="24"/>
          <w:lang w:val="da-DK"/>
        </w:rPr>
        <w:t>EUT C 275 af 18.7.2022, s. 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A3765" w14:textId="77777777" w:rsidR="00064002" w:rsidRPr="009C67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B652C" w14:textId="77777777" w:rsidR="00064002" w:rsidRPr="009C67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9AEC2" w14:textId="77777777" w:rsidR="00064002" w:rsidRPr="009C67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99EFB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8"/>
    <w:multiLevelType w:val="singleLevel"/>
    <w:tmpl w:val="0B7A8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EA858AA"/>
    <w:multiLevelType w:val="hybridMultilevel"/>
    <w:tmpl w:val="E5BE6D5A"/>
    <w:lvl w:ilvl="0" w:tplc="CE484D16">
      <w:start w:val="1"/>
      <w:numFmt w:val="lowerRoman"/>
      <w:pStyle w:val="item"/>
      <w:lvlText w:val="(%1)"/>
      <w:lvlJc w:val="left"/>
      <w:pPr>
        <w:ind w:left="2137" w:hanging="720"/>
      </w:pPr>
    </w:lvl>
    <w:lvl w:ilvl="1" w:tplc="AF386AEE">
      <w:start w:val="1"/>
      <w:numFmt w:val="lowerLetter"/>
      <w:lvlText w:val="%2."/>
      <w:lvlJc w:val="left"/>
      <w:pPr>
        <w:ind w:left="2497" w:hanging="360"/>
      </w:pPr>
    </w:lvl>
    <w:lvl w:ilvl="2" w:tplc="9D2AE74A">
      <w:start w:val="1"/>
      <w:numFmt w:val="lowerRoman"/>
      <w:lvlText w:val="%3."/>
      <w:lvlJc w:val="right"/>
      <w:pPr>
        <w:ind w:left="3217" w:hanging="180"/>
      </w:pPr>
    </w:lvl>
    <w:lvl w:ilvl="3" w:tplc="815A02BA">
      <w:start w:val="1"/>
      <w:numFmt w:val="decimal"/>
      <w:lvlText w:val="%4."/>
      <w:lvlJc w:val="left"/>
      <w:pPr>
        <w:ind w:left="3937" w:hanging="360"/>
      </w:pPr>
    </w:lvl>
    <w:lvl w:ilvl="4" w:tplc="D5D610F4">
      <w:start w:val="1"/>
      <w:numFmt w:val="lowerLetter"/>
      <w:lvlText w:val="%5."/>
      <w:lvlJc w:val="left"/>
      <w:pPr>
        <w:ind w:left="4657" w:hanging="360"/>
      </w:pPr>
    </w:lvl>
    <w:lvl w:ilvl="5" w:tplc="9D4E2112">
      <w:start w:val="1"/>
      <w:numFmt w:val="lowerRoman"/>
      <w:lvlText w:val="%6."/>
      <w:lvlJc w:val="right"/>
      <w:pPr>
        <w:ind w:left="5377" w:hanging="180"/>
      </w:pPr>
    </w:lvl>
    <w:lvl w:ilvl="6" w:tplc="184A4634">
      <w:start w:val="1"/>
      <w:numFmt w:val="decimal"/>
      <w:lvlText w:val="%7."/>
      <w:lvlJc w:val="left"/>
      <w:pPr>
        <w:ind w:left="6097" w:hanging="360"/>
      </w:pPr>
    </w:lvl>
    <w:lvl w:ilvl="7" w:tplc="D0445226">
      <w:start w:val="1"/>
      <w:numFmt w:val="lowerLetter"/>
      <w:lvlText w:val="%8."/>
      <w:lvlJc w:val="left"/>
      <w:pPr>
        <w:ind w:left="6817" w:hanging="360"/>
      </w:pPr>
    </w:lvl>
    <w:lvl w:ilvl="8" w:tplc="E6DC18CC">
      <w:start w:val="1"/>
      <w:numFmt w:val="lowerRoman"/>
      <w:lvlText w:val="%9."/>
      <w:lvlJc w:val="right"/>
      <w:pPr>
        <w:ind w:left="7537" w:hanging="180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16"/>
  </w:num>
  <w:num w:numId="3">
    <w:abstractNumId w:val="32"/>
  </w:num>
  <w:num w:numId="4">
    <w:abstractNumId w:val="19"/>
  </w:num>
  <w:num w:numId="5">
    <w:abstractNumId w:val="15"/>
  </w:num>
  <w:num w:numId="6">
    <w:abstractNumId w:val="20"/>
  </w:num>
  <w:num w:numId="7">
    <w:abstractNumId w:val="2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30"/>
  </w:num>
  <w:num w:numId="12">
    <w:abstractNumId w:val="31"/>
  </w:num>
  <w:num w:numId="13">
    <w:abstractNumId w:val="14"/>
  </w:num>
  <w:num w:numId="14">
    <w:abstractNumId w:val="25"/>
  </w:num>
  <w:num w:numId="15">
    <w:abstractNumId w:val="48"/>
    <w:lvlOverride w:ilvl="0">
      <w:startOverride w:val="1"/>
    </w:lvlOverride>
  </w:num>
  <w:num w:numId="16">
    <w:abstractNumId w:val="3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0"/>
  </w:num>
  <w:num w:numId="20">
    <w:abstractNumId w:val="38"/>
  </w:num>
  <w:num w:numId="21">
    <w:abstractNumId w:val="3"/>
  </w:num>
  <w:num w:numId="22">
    <w:abstractNumId w:val="40"/>
  </w:num>
  <w:num w:numId="23">
    <w:abstractNumId w:val="33"/>
  </w:num>
  <w:num w:numId="24">
    <w:abstractNumId w:val="5"/>
  </w:num>
  <w:num w:numId="25">
    <w:abstractNumId w:val="42"/>
  </w:num>
  <w:num w:numId="26">
    <w:abstractNumId w:val="47"/>
  </w:num>
  <w:num w:numId="27">
    <w:abstractNumId w:val="26"/>
  </w:num>
  <w:num w:numId="28">
    <w:abstractNumId w:val="41"/>
  </w:num>
  <w:num w:numId="29">
    <w:abstractNumId w:val="35"/>
  </w:num>
  <w:num w:numId="30">
    <w:abstractNumId w:val="22"/>
  </w:num>
  <w:num w:numId="31">
    <w:abstractNumId w:val="10"/>
  </w:num>
  <w:num w:numId="32">
    <w:abstractNumId w:val="7"/>
  </w:num>
  <w:num w:numId="33">
    <w:abstractNumId w:val="37"/>
  </w:num>
  <w:num w:numId="34">
    <w:abstractNumId w:val="43"/>
  </w:num>
  <w:num w:numId="35">
    <w:abstractNumId w:val="2"/>
  </w:num>
  <w:num w:numId="36">
    <w:abstractNumId w:val="12"/>
  </w:num>
  <w:num w:numId="37">
    <w:abstractNumId w:val="6"/>
  </w:num>
  <w:num w:numId="38">
    <w:abstractNumId w:val="13"/>
  </w:num>
  <w:num w:numId="39">
    <w:abstractNumId w:val="27"/>
  </w:num>
  <w:num w:numId="40">
    <w:abstractNumId w:val="34"/>
  </w:num>
  <w:num w:numId="41">
    <w:abstractNumId w:val="29"/>
  </w:num>
  <w:num w:numId="42">
    <w:abstractNumId w:val="39"/>
  </w:num>
  <w:num w:numId="43">
    <w:abstractNumId w:val="17"/>
  </w:num>
  <w:num w:numId="44">
    <w:abstractNumId w:val="18"/>
  </w:num>
  <w:num w:numId="45">
    <w:abstractNumId w:val="24"/>
  </w:num>
  <w:num w:numId="46">
    <w:abstractNumId w:val="28"/>
  </w:num>
  <w:num w:numId="47">
    <w:abstractNumId w:val="45"/>
  </w:num>
  <w:num w:numId="48">
    <w:abstractNumId w:val="44"/>
  </w:num>
  <w:num w:numId="49">
    <w:abstractNumId w:val="4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DA"/>
    <w:docVar w:name="dvnumam" w:val="0"/>
    <w:docVar w:name="dvpe" w:val="732.668"/>
    <w:docVar w:name="dvrapporteur" w:val="Ordfører: "/>
    <w:docVar w:name="dvstar" w:val="***I"/>
    <w:docVar w:name="dvtitre" w:val="Europa-Parlamentets lovgivningsmæssige beslutning af xx.xx 2024 om forslag til Europa-Parlamentets og Rådets direktiv om ændring af direktiv 2009/138/EF for så vidt angår proportionalitet, kvaliteten af tilsynet, rapportering, foranstaltninger vedrørende langsigtede garantier, makroprudentielle værktøjer, bæredygtighedsrisici og tilsyn med koncerner og grænseoverskridende tilsyn(COM(2021)0581 – C9-0367/2021 – 2021/0295(COD))"/>
  </w:docVars>
  <w:rsids>
    <w:rsidRoot w:val="005B50B0"/>
    <w:rsid w:val="00000921"/>
    <w:rsid w:val="00002272"/>
    <w:rsid w:val="00064002"/>
    <w:rsid w:val="000677B9"/>
    <w:rsid w:val="000831BA"/>
    <w:rsid w:val="000A42CC"/>
    <w:rsid w:val="000E7DD9"/>
    <w:rsid w:val="0010095E"/>
    <w:rsid w:val="00125B37"/>
    <w:rsid w:val="0017079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895"/>
    <w:rsid w:val="0050519A"/>
    <w:rsid w:val="005072A1"/>
    <w:rsid w:val="00514517"/>
    <w:rsid w:val="00545827"/>
    <w:rsid w:val="00556E98"/>
    <w:rsid w:val="00560270"/>
    <w:rsid w:val="005B50B0"/>
    <w:rsid w:val="005C2568"/>
    <w:rsid w:val="006037C0"/>
    <w:rsid w:val="006631B6"/>
    <w:rsid w:val="00671414"/>
    <w:rsid w:val="00680577"/>
    <w:rsid w:val="0069788F"/>
    <w:rsid w:val="006F74FA"/>
    <w:rsid w:val="00731ADD"/>
    <w:rsid w:val="00733843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0F6"/>
    <w:rsid w:val="00930C23"/>
    <w:rsid w:val="0093193B"/>
    <w:rsid w:val="009509D8"/>
    <w:rsid w:val="00950B64"/>
    <w:rsid w:val="00981893"/>
    <w:rsid w:val="009C6761"/>
    <w:rsid w:val="00A1687D"/>
    <w:rsid w:val="00A4206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CAC"/>
    <w:rsid w:val="00BD48FE"/>
    <w:rsid w:val="00BD7BD8"/>
    <w:rsid w:val="00BE6ADC"/>
    <w:rsid w:val="00C05BFE"/>
    <w:rsid w:val="00C23CD4"/>
    <w:rsid w:val="00C264EB"/>
    <w:rsid w:val="00C61C0C"/>
    <w:rsid w:val="00C941CB"/>
    <w:rsid w:val="00CC2357"/>
    <w:rsid w:val="00CF071A"/>
    <w:rsid w:val="00D058B8"/>
    <w:rsid w:val="00D41194"/>
    <w:rsid w:val="00D56C11"/>
    <w:rsid w:val="00D834A0"/>
    <w:rsid w:val="00D872DF"/>
    <w:rsid w:val="00D91E21"/>
    <w:rsid w:val="00DA7FCD"/>
    <w:rsid w:val="00DF086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F3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1D0DB"/>
  <w15:chartTrackingRefBased/>
  <w15:docId w15:val="{1C6A3638-02D3-4ED9-8E73-1BCD5C8D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Body Text" w:uiPriority="99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F086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F086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F086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DF086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F086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F086E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rsid w:val="00DF086E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DF086E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DF086E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DF086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F08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F086E"/>
    <w:pPr>
      <w:spacing w:before="480" w:after="240"/>
    </w:pPr>
  </w:style>
  <w:style w:type="paragraph" w:customStyle="1" w:styleId="TOCPage">
    <w:name w:val="TOC Page"/>
    <w:basedOn w:val="Normal"/>
    <w:next w:val="TOC1"/>
    <w:rsid w:val="00DF086E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F086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F086E"/>
    <w:rPr>
      <w:b/>
    </w:rPr>
  </w:style>
  <w:style w:type="paragraph" w:customStyle="1" w:styleId="NormalBold12a">
    <w:name w:val="NormalBold12a"/>
    <w:basedOn w:val="Normal"/>
    <w:rsid w:val="00DF086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F086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F086E"/>
    <w:pPr>
      <w:spacing w:after="480"/>
      <w:ind w:left="1417"/>
    </w:pPr>
  </w:style>
  <w:style w:type="paragraph" w:customStyle="1" w:styleId="CoverNormal">
    <w:name w:val="CoverNormal"/>
    <w:basedOn w:val="Normal"/>
    <w:rsid w:val="00DF086E"/>
    <w:pPr>
      <w:ind w:left="1418"/>
    </w:pPr>
  </w:style>
  <w:style w:type="paragraph" w:customStyle="1" w:styleId="NormalCenter12a">
    <w:name w:val="NormalCenter12a"/>
    <w:basedOn w:val="Normal"/>
    <w:rsid w:val="00DF086E"/>
    <w:pPr>
      <w:spacing w:after="240"/>
      <w:jc w:val="center"/>
    </w:pPr>
  </w:style>
  <w:style w:type="paragraph" w:customStyle="1" w:styleId="CoverReference">
    <w:name w:val="CoverReference"/>
    <w:basedOn w:val="Normal"/>
    <w:rsid w:val="00DF086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F086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F086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F086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F08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86E"/>
    <w:rPr>
      <w:sz w:val="24"/>
      <w:lang w:val="da-DK"/>
    </w:rPr>
  </w:style>
  <w:style w:type="paragraph" w:customStyle="1" w:styleId="AmNumberTabs">
    <w:name w:val="AmNumberTabs"/>
    <w:basedOn w:val="Normal"/>
    <w:rsid w:val="00DF08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F086E"/>
    <w:pPr>
      <w:spacing w:before="720" w:after="240"/>
      <w:jc w:val="center"/>
    </w:pPr>
  </w:style>
  <w:style w:type="paragraph" w:customStyle="1" w:styleId="EPBody">
    <w:name w:val="EPBody"/>
    <w:basedOn w:val="Normal"/>
    <w:rsid w:val="00DF086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F08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DF086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F086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F086E"/>
    <w:rPr>
      <w:sz w:val="18"/>
    </w:rPr>
  </w:style>
  <w:style w:type="character" w:styleId="Hyperlink">
    <w:name w:val="Hyperlink"/>
    <w:unhideWhenUsed/>
    <w:rsid w:val="00DF08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DF086E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DF086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F086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DF086E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F086E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DF086E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F086E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F086E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DF086E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F086E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DF086E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F086E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86E"/>
    <w:rPr>
      <w:rFonts w:eastAsiaTheme="minorHAnsi"/>
      <w:lang w:val="da-DK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F086E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086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DF086E"/>
    <w:rPr>
      <w:sz w:val="24"/>
      <w:lang w:val="da-DK"/>
    </w:rPr>
  </w:style>
  <w:style w:type="paragraph" w:styleId="TableofFigures">
    <w:name w:val="table of figures"/>
    <w:basedOn w:val="Normal"/>
    <w:next w:val="Normal"/>
    <w:uiPriority w:val="99"/>
    <w:unhideWhenUsed/>
    <w:rsid w:val="00DF086E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DF086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DF086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DF086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DF086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DF086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DF086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DF086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DF086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F086E"/>
    <w:rPr>
      <w:rFonts w:eastAsiaTheme="minorHAnsi"/>
      <w:b/>
      <w:bCs/>
      <w:lang w:val="da-DK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F086E"/>
    <w:rPr>
      <w:b/>
      <w:bCs/>
    </w:rPr>
  </w:style>
  <w:style w:type="character" w:customStyle="1" w:styleId="CommentSubjectChar1">
    <w:name w:val="Comment Subject Char1"/>
    <w:basedOn w:val="CommentTextChar"/>
    <w:rsid w:val="00DF086E"/>
    <w:rPr>
      <w:rFonts w:eastAsiaTheme="minorHAnsi"/>
      <w:b/>
      <w:bCs/>
      <w:lang w:val="da-DK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F086E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DF086E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DF086E"/>
    <w:rPr>
      <w:rFonts w:ascii="Segoe UI" w:hAnsi="Segoe UI" w:cs="Segoe UI"/>
      <w:sz w:val="18"/>
      <w:szCs w:val="18"/>
      <w:lang w:val="da-DK"/>
    </w:rPr>
  </w:style>
  <w:style w:type="paragraph" w:styleId="Revision">
    <w:name w:val="Revision"/>
    <w:uiPriority w:val="99"/>
    <w:rsid w:val="00DF086E"/>
    <w:rPr>
      <w:rFonts w:eastAsiaTheme="minorHAnsi"/>
      <w:sz w:val="24"/>
      <w:szCs w:val="22"/>
      <w:lang w:val="da-DK" w:eastAsia="en-US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  <w:rsid w:val="00DF086E"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"/>
    <w:basedOn w:val="Normal"/>
    <w:link w:val="ListParagraphChar"/>
    <w:uiPriority w:val="34"/>
    <w:qFormat/>
    <w:rsid w:val="00DF086E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DF086E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DF086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DF086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DF086E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DF086E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DF086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DF086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DF086E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DF08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a-DK" w:eastAsia="en-US"/>
    </w:rPr>
  </w:style>
  <w:style w:type="character" w:customStyle="1" w:styleId="hllevel3Char">
    <w:name w:val="hl level 3 Char"/>
    <w:basedOn w:val="DefaultParagraphFont"/>
    <w:link w:val="hllevel3"/>
    <w:locked/>
    <w:rsid w:val="00DF086E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DF086E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DF086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DF086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DF086E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DF086E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DF086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F086E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F086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F086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F086E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F086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DF086E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DF086E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F086E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F086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F086E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F086E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F086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F08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F086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F086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F086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F086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DF086E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F086E"/>
    <w:pPr>
      <w:numPr>
        <w:numId w:val="3"/>
      </w:numPr>
    </w:pPr>
  </w:style>
  <w:style w:type="paragraph" w:customStyle="1" w:styleId="Tiret1">
    <w:name w:val="Tiret 1"/>
    <w:basedOn w:val="Point1"/>
    <w:rsid w:val="00DF086E"/>
    <w:pPr>
      <w:numPr>
        <w:numId w:val="4"/>
      </w:numPr>
    </w:pPr>
  </w:style>
  <w:style w:type="paragraph" w:customStyle="1" w:styleId="Tiret3">
    <w:name w:val="Tiret 3"/>
    <w:basedOn w:val="Point3"/>
    <w:rsid w:val="00DF086E"/>
    <w:pPr>
      <w:numPr>
        <w:numId w:val="5"/>
      </w:numPr>
    </w:pPr>
  </w:style>
  <w:style w:type="paragraph" w:customStyle="1" w:styleId="Tiret4">
    <w:name w:val="Tiret 4"/>
    <w:basedOn w:val="Point4"/>
    <w:rsid w:val="00DF086E"/>
    <w:pPr>
      <w:numPr>
        <w:numId w:val="6"/>
      </w:numPr>
    </w:pPr>
  </w:style>
  <w:style w:type="paragraph" w:customStyle="1" w:styleId="Tiret5">
    <w:name w:val="Tiret 5"/>
    <w:basedOn w:val="Point5"/>
    <w:rsid w:val="00DF086E"/>
    <w:pPr>
      <w:numPr>
        <w:numId w:val="7"/>
      </w:numPr>
    </w:pPr>
  </w:style>
  <w:style w:type="paragraph" w:customStyle="1" w:styleId="PointDouble0">
    <w:name w:val="PointDouble 0"/>
    <w:basedOn w:val="Normal"/>
    <w:rsid w:val="00DF086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F086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F086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F086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F086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F086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F086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F086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F086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F086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DF086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F086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F086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F086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DF086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F086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F086E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F08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F08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F08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F08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F086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F086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F086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F086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F086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F086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F086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F086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F086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F086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F086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F086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F086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F086E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F086E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DF086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F086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F086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F086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F086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F086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F086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F086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F086E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F086E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F086E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F086E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F086E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F086E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F086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F086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F086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F086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F086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F086E"/>
    <w:pPr>
      <w:spacing w:after="240"/>
    </w:pPr>
  </w:style>
  <w:style w:type="paragraph" w:customStyle="1" w:styleId="Languesfaisantfoi">
    <w:name w:val="Langues faisant foi"/>
    <w:basedOn w:val="Normal"/>
    <w:next w:val="Normal"/>
    <w:rsid w:val="00DF086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F086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F086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F086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F086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F086E"/>
  </w:style>
  <w:style w:type="paragraph" w:customStyle="1" w:styleId="TitreobjetPagedecouverture">
    <w:name w:val="Titre objet (Page de couverture)"/>
    <w:basedOn w:val="Titreobjet"/>
    <w:next w:val="IntrtEEEPagedecouverture"/>
    <w:rsid w:val="00DF086E"/>
  </w:style>
  <w:style w:type="paragraph" w:customStyle="1" w:styleId="IntrtEEEPagedecouverture">
    <w:name w:val="Intérêt EEE (Page de couverture)"/>
    <w:basedOn w:val="IntrtEEE"/>
    <w:next w:val="Rfrencecroise"/>
    <w:rsid w:val="00DF086E"/>
  </w:style>
  <w:style w:type="paragraph" w:customStyle="1" w:styleId="Rfrencecroise">
    <w:name w:val="Référence croisée"/>
    <w:basedOn w:val="Normal"/>
    <w:rsid w:val="00DF086E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F086E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F086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F086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F086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DF086E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DF086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F086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F086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F086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F086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F086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F086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F086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F086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F086E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F086E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DF086E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F086E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F086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F086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DF086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F086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F086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F086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DF086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F086E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F086E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F086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F086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F086E"/>
  </w:style>
  <w:style w:type="paragraph" w:customStyle="1" w:styleId="StatutPagedecouverture">
    <w:name w:val="Statut (Page de couverture)"/>
    <w:basedOn w:val="Statut"/>
    <w:next w:val="TypedudocumentPagedecouverture"/>
    <w:rsid w:val="00DF086E"/>
  </w:style>
  <w:style w:type="paragraph" w:customStyle="1" w:styleId="Volume">
    <w:name w:val="Volume"/>
    <w:basedOn w:val="Normal"/>
    <w:next w:val="Confidentialit"/>
    <w:rsid w:val="00DF086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F086E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F086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DF086E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F086E"/>
  </w:style>
  <w:style w:type="paragraph" w:customStyle="1" w:styleId="ObjetacteprincipalPagedecouverture">
    <w:name w:val="Objet acte principal (Page de couverture)"/>
    <w:basedOn w:val="Objetacteprincipal"/>
    <w:next w:val="Rfrencecroise"/>
    <w:rsid w:val="00DF086E"/>
  </w:style>
  <w:style w:type="paragraph" w:customStyle="1" w:styleId="AccompagnantPagedecouverture">
    <w:name w:val="Accompagnant (Page de couverture)"/>
    <w:basedOn w:val="Accompagnant"/>
    <w:next w:val="TypeacteprincipalPagedecouverture"/>
    <w:rsid w:val="00DF086E"/>
  </w:style>
  <w:style w:type="paragraph" w:customStyle="1" w:styleId="LanguesfaisantfoiPagedecouverture">
    <w:name w:val="Langues faisant foi (Page de couverture)"/>
    <w:basedOn w:val="Normal"/>
    <w:next w:val="Normal"/>
    <w:rsid w:val="00DF086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DF086E"/>
    <w:rPr>
      <w:sz w:val="16"/>
      <w:szCs w:val="16"/>
    </w:rPr>
  </w:style>
  <w:style w:type="character" w:customStyle="1" w:styleId="italic">
    <w:name w:val="italic"/>
    <w:basedOn w:val="DefaultParagraphFont"/>
    <w:rsid w:val="00DF086E"/>
  </w:style>
  <w:style w:type="character" w:customStyle="1" w:styleId="sub">
    <w:name w:val="sub"/>
    <w:basedOn w:val="DefaultParagraphFont"/>
    <w:rsid w:val="00DF086E"/>
  </w:style>
  <w:style w:type="character" w:customStyle="1" w:styleId="italics">
    <w:name w:val="italics"/>
    <w:basedOn w:val="DefaultParagraphFont"/>
    <w:rsid w:val="00DF086E"/>
  </w:style>
  <w:style w:type="character" w:customStyle="1" w:styleId="normaltextrun">
    <w:name w:val="normaltextrun"/>
    <w:basedOn w:val="DefaultParagraphFont"/>
    <w:rsid w:val="00DF086E"/>
  </w:style>
  <w:style w:type="character" w:customStyle="1" w:styleId="Marker">
    <w:name w:val="Marker"/>
    <w:basedOn w:val="DefaultParagraphFont"/>
    <w:rsid w:val="00DF086E"/>
    <w:rPr>
      <w:color w:val="0000FF"/>
    </w:rPr>
  </w:style>
  <w:style w:type="character" w:customStyle="1" w:styleId="Marker1">
    <w:name w:val="Marker1"/>
    <w:basedOn w:val="DefaultParagraphFont"/>
    <w:rsid w:val="00DF086E"/>
    <w:rPr>
      <w:color w:val="008000"/>
    </w:rPr>
  </w:style>
  <w:style w:type="character" w:customStyle="1" w:styleId="Marker2">
    <w:name w:val="Marker2"/>
    <w:basedOn w:val="DefaultParagraphFont"/>
    <w:rsid w:val="00DF086E"/>
    <w:rPr>
      <w:color w:val="FF0000"/>
    </w:rPr>
  </w:style>
  <w:style w:type="character" w:customStyle="1" w:styleId="Added">
    <w:name w:val="Added"/>
    <w:basedOn w:val="DefaultParagraphFont"/>
    <w:rsid w:val="00DF086E"/>
    <w:rPr>
      <w:b/>
      <w:bCs w:val="0"/>
      <w:u w:val="single"/>
    </w:rPr>
  </w:style>
  <w:style w:type="character" w:customStyle="1" w:styleId="Deleted">
    <w:name w:val="Deleted"/>
    <w:basedOn w:val="DefaultParagraphFont"/>
    <w:rsid w:val="00DF086E"/>
    <w:rPr>
      <w:strike/>
    </w:rPr>
  </w:style>
  <w:style w:type="paragraph" w:customStyle="1" w:styleId="Point">
    <w:name w:val="Point"/>
    <w:basedOn w:val="Point2number"/>
    <w:rsid w:val="00DF086E"/>
  </w:style>
  <w:style w:type="paragraph" w:customStyle="1" w:styleId="LowlTitreobjet">
    <w:name w:val="LowlTitre objet"/>
    <w:basedOn w:val="Titreobjet"/>
    <w:uiPriority w:val="99"/>
    <w:rsid w:val="00DF086E"/>
  </w:style>
  <w:style w:type="paragraph" w:customStyle="1" w:styleId="Tiret2">
    <w:name w:val="Tiret 2"/>
    <w:basedOn w:val="Point2"/>
    <w:rsid w:val="00DF086E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DF086E"/>
    <w:pPr>
      <w:numPr>
        <w:numId w:val="17"/>
      </w:numPr>
    </w:pPr>
  </w:style>
  <w:style w:type="paragraph" w:customStyle="1" w:styleId="ProjRap">
    <w:name w:val="ProjRap"/>
    <w:basedOn w:val="Normal"/>
    <w:rsid w:val="00DF086E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sid w:val="00DF086E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086E"/>
    <w:rPr>
      <w:lang w:val="da-DK"/>
    </w:rPr>
  </w:style>
  <w:style w:type="character" w:styleId="EndnoteReference">
    <w:name w:val="endnote reference"/>
    <w:basedOn w:val="DefaultParagraphFont"/>
    <w:uiPriority w:val="99"/>
    <w:rsid w:val="00DF086E"/>
    <w:rPr>
      <w:vertAlign w:val="superscript"/>
    </w:rPr>
  </w:style>
  <w:style w:type="paragraph" w:customStyle="1" w:styleId="PELeft">
    <w:name w:val="PELeft"/>
    <w:basedOn w:val="Normal"/>
    <w:rsid w:val="00DF086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DF086E"/>
    <w:pPr>
      <w:spacing w:after="240"/>
    </w:pPr>
  </w:style>
  <w:style w:type="paragraph" w:customStyle="1" w:styleId="RollCallVotes">
    <w:name w:val="RollCallVotes"/>
    <w:basedOn w:val="Normal"/>
    <w:rsid w:val="00DF086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F086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F086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F086E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33843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733843"/>
    <w:pPr>
      <w:spacing w:before="240" w:after="240"/>
      <w:jc w:val="right"/>
    </w:pPr>
  </w:style>
  <w:style w:type="paragraph" w:customStyle="1" w:styleId="AmDateTab">
    <w:name w:val="AmDateTab"/>
    <w:basedOn w:val="Normal"/>
    <w:rsid w:val="0073384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33843"/>
  </w:style>
  <w:style w:type="paragraph" w:customStyle="1" w:styleId="NormalJustified">
    <w:name w:val="Normal Justified"/>
    <w:basedOn w:val="Normal"/>
    <w:rsid w:val="0073384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3384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3384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3384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3384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3384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73384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3384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3384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3384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3384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3384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3384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3384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3384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3384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33843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33843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33843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33843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33843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33843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33843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33843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33843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33843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33843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33843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33843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33843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33843"/>
    <w:pPr>
      <w:widowControl/>
      <w:numPr>
        <w:numId w:val="30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33843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33843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33843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33843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33843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33843"/>
    <w:pPr>
      <w:numPr>
        <w:numId w:val="25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33843"/>
    <w:pPr>
      <w:numPr>
        <w:numId w:val="26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33843"/>
    <w:pPr>
      <w:numPr>
        <w:numId w:val="27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33843"/>
    <w:pPr>
      <w:numPr>
        <w:numId w:val="28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33843"/>
    <w:pPr>
      <w:numPr>
        <w:numId w:val="29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73384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33843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33843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33843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33843"/>
    <w:pPr>
      <w:jc w:val="center"/>
    </w:pPr>
  </w:style>
  <w:style w:type="paragraph" w:customStyle="1" w:styleId="Jardin">
    <w:name w:val="Jardin"/>
    <w:basedOn w:val="Normal"/>
    <w:rsid w:val="0073384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3384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3384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3384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33843"/>
    <w:rPr>
      <w:b/>
    </w:rPr>
  </w:style>
  <w:style w:type="paragraph" w:customStyle="1" w:styleId="Annex">
    <w:name w:val="Annex"/>
    <w:basedOn w:val="Normal"/>
    <w:next w:val="Normal"/>
    <w:rsid w:val="0073384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3384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3384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3384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3384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3384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33843"/>
    <w:rPr>
      <w:rFonts w:eastAsia="Calibr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33843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73384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733843"/>
    <w:rPr>
      <w:color w:val="808080"/>
    </w:rPr>
  </w:style>
  <w:style w:type="character" w:customStyle="1" w:styleId="rynqvb">
    <w:name w:val="rynqvb"/>
    <w:basedOn w:val="DefaultParagraphFont"/>
    <w:rsid w:val="00733843"/>
  </w:style>
  <w:style w:type="character" w:customStyle="1" w:styleId="Hyperlink1">
    <w:name w:val="Hyperlink1"/>
    <w:basedOn w:val="DefaultParagraphFont"/>
    <w:uiPriority w:val="99"/>
    <w:unhideWhenUsed/>
    <w:rsid w:val="0073384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3843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733843"/>
  </w:style>
  <w:style w:type="character" w:customStyle="1" w:styleId="highlight">
    <w:name w:val="highlight"/>
    <w:basedOn w:val="DefaultParagraphFont"/>
    <w:rsid w:val="00733843"/>
  </w:style>
  <w:style w:type="character" w:customStyle="1" w:styleId="ui-provider">
    <w:name w:val="ui-provider"/>
    <w:basedOn w:val="DefaultParagraphFont"/>
    <w:rsid w:val="00733843"/>
  </w:style>
  <w:style w:type="paragraph" w:styleId="BodyText">
    <w:name w:val="Body Text"/>
    <w:basedOn w:val="Normal"/>
    <w:link w:val="BodyTextChar"/>
    <w:uiPriority w:val="99"/>
    <w:unhideWhenUsed/>
    <w:rsid w:val="00733843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733843"/>
    <w:rPr>
      <w:rFonts w:ascii="Calibri" w:eastAsia="Calibri" w:hAnsi="Calibri" w:cs="Calibri"/>
      <w:sz w:val="25"/>
      <w:szCs w:val="25"/>
      <w:lang w:val="da-DK" w:eastAsia="en-US"/>
    </w:rPr>
  </w:style>
  <w:style w:type="paragraph" w:customStyle="1" w:styleId="modref">
    <w:name w:val="modref"/>
    <w:basedOn w:val="Normal"/>
    <w:rsid w:val="00733843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733843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733843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733843"/>
    <w:rPr>
      <w:rFonts w:ascii="Calibri" w:hAnsi="Calibri"/>
      <w:szCs w:val="21"/>
      <w:lang w:val="da-DK"/>
    </w:rPr>
  </w:style>
  <w:style w:type="paragraph" w:customStyle="1" w:styleId="numberedparagraph">
    <w:name w:val="numbered paragraph"/>
    <w:basedOn w:val="Normal"/>
    <w:qFormat/>
    <w:rsid w:val="00733843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733843"/>
  </w:style>
  <w:style w:type="character" w:styleId="Strong">
    <w:name w:val="Strong"/>
    <w:basedOn w:val="DefaultParagraphFont"/>
    <w:uiPriority w:val="22"/>
    <w:qFormat/>
    <w:rsid w:val="00733843"/>
    <w:rPr>
      <w:b/>
    </w:rPr>
  </w:style>
  <w:style w:type="character" w:customStyle="1" w:styleId="eop">
    <w:name w:val="eop"/>
    <w:basedOn w:val="DefaultParagraphFont"/>
    <w:rsid w:val="00733843"/>
  </w:style>
  <w:style w:type="paragraph" w:customStyle="1" w:styleId="xmsonormal">
    <w:name w:val="x_msonormal"/>
    <w:basedOn w:val="Normal"/>
    <w:uiPriority w:val="99"/>
    <w:rsid w:val="00733843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733843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733843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733843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733843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733843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733843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733843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733843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733843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733843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733843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733843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733843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73384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73384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73384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733843"/>
    <w:rPr>
      <w:rFonts w:eastAsia="Calibri" w:cs="Calibri"/>
      <w:sz w:val="24"/>
      <w:szCs w:val="22"/>
      <w:lang w:val="da-DK" w:eastAsia="en-US"/>
    </w:rPr>
  </w:style>
  <w:style w:type="paragraph" w:customStyle="1" w:styleId="nbbordered">
    <w:name w:val="nb bordered"/>
    <w:basedOn w:val="Normal"/>
    <w:rsid w:val="0073384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733843"/>
    <w:rPr>
      <w:rFonts w:eastAsia="Calibri" w:cs="Calibri"/>
      <w:b/>
      <w:sz w:val="24"/>
      <w:szCs w:val="22"/>
      <w:lang w:val="da-DK" w:eastAsia="en-US"/>
    </w:rPr>
  </w:style>
  <w:style w:type="paragraph" w:customStyle="1" w:styleId="DeltaViewTableHeading">
    <w:name w:val="DeltaView Table Heading"/>
    <w:basedOn w:val="Normal"/>
    <w:uiPriority w:val="99"/>
    <w:rsid w:val="00733843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733843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733843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da-DK" w:eastAsia="fr-BE"/>
    </w:rPr>
  </w:style>
  <w:style w:type="character" w:customStyle="1" w:styleId="DeltaViewInsertion">
    <w:name w:val="DeltaView Insertion"/>
    <w:uiPriority w:val="99"/>
    <w:rsid w:val="00733843"/>
    <w:rPr>
      <w:b/>
      <w:i/>
      <w:color w:val="FF0000"/>
    </w:rPr>
  </w:style>
  <w:style w:type="character" w:customStyle="1" w:styleId="DeltaViewDeletion">
    <w:name w:val="DeltaView Deletion"/>
    <w:uiPriority w:val="99"/>
    <w:rsid w:val="00733843"/>
    <w:rPr>
      <w:strike/>
      <w:color w:val="000000"/>
    </w:rPr>
  </w:style>
  <w:style w:type="character" w:customStyle="1" w:styleId="DeltaViewMoveSource">
    <w:name w:val="DeltaView Move Source"/>
    <w:uiPriority w:val="99"/>
    <w:rsid w:val="00733843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33843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733843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33843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733843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733843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733843"/>
    <w:rPr>
      <w:color w:val="000000"/>
    </w:rPr>
  </w:style>
  <w:style w:type="character" w:customStyle="1" w:styleId="DeltaViewMovedDeletion">
    <w:name w:val="DeltaView Moved Deletion"/>
    <w:uiPriority w:val="99"/>
    <w:rsid w:val="00733843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33843"/>
    <w:rPr>
      <w:color w:val="000000"/>
    </w:rPr>
  </w:style>
  <w:style w:type="character" w:customStyle="1" w:styleId="DeltaViewStyleChangeText">
    <w:name w:val="DeltaView Style Change Text"/>
    <w:uiPriority w:val="99"/>
    <w:rsid w:val="00733843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33843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33843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33843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33843"/>
    <w:rPr>
      <w:color w:val="000000"/>
    </w:rPr>
  </w:style>
  <w:style w:type="paragraph" w:customStyle="1" w:styleId="Normale">
    <w:name w:val="Normale"/>
    <w:qFormat/>
    <w:rsid w:val="00733843"/>
    <w:pPr>
      <w:spacing w:before="120" w:after="120" w:line="360" w:lineRule="auto"/>
      <w:jc w:val="both"/>
    </w:pPr>
    <w:rPr>
      <w:rFonts w:eastAsia="Calibri"/>
      <w:sz w:val="24"/>
      <w:szCs w:val="22"/>
      <w:lang w:val="da-DK" w:eastAsia="en-US"/>
    </w:rPr>
  </w:style>
  <w:style w:type="character" w:customStyle="1" w:styleId="Italic0">
    <w:name w:val="Italic"/>
    <w:uiPriority w:val="1"/>
    <w:qFormat/>
    <w:rsid w:val="00733843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733843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73384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3384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3384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3384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3384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3384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3384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3384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3384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3384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33843"/>
    <w:pPr>
      <w:widowControl/>
      <w:numPr>
        <w:numId w:val="43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33843"/>
    <w:pPr>
      <w:widowControl/>
      <w:numPr>
        <w:numId w:val="4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33843"/>
    <w:pPr>
      <w:widowControl/>
      <w:numPr>
        <w:numId w:val="45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33843"/>
    <w:pPr>
      <w:widowControl/>
      <w:numPr>
        <w:numId w:val="46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33843"/>
    <w:pPr>
      <w:widowControl/>
      <w:numPr>
        <w:numId w:val="47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33843"/>
    <w:pPr>
      <w:widowControl/>
      <w:numPr>
        <w:numId w:val="48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33843"/>
    <w:pPr>
      <w:widowControl/>
      <w:numPr>
        <w:numId w:val="4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3384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3384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73384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3384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3384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3384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3384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3384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3384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3384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3384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3384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3384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33843"/>
    <w:pPr>
      <w:spacing w:before="240"/>
    </w:pPr>
  </w:style>
  <w:style w:type="paragraph" w:customStyle="1" w:styleId="Accordtitre">
    <w:name w:val="Accord titre"/>
    <w:basedOn w:val="Normal"/>
    <w:rsid w:val="0073384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3384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3384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3384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3384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3384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3384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3384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3384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3384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3384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3384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3384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3384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3384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3384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3384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3384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3384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3384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3384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3384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3384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3384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3384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3384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3384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3384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3384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3384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3384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3384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73384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3384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33843"/>
    <w:rPr>
      <w:b/>
      <w:i/>
    </w:rPr>
  </w:style>
  <w:style w:type="character" w:customStyle="1" w:styleId="diff-tte-removed">
    <w:name w:val="diff-tte-removed"/>
    <w:basedOn w:val="DefaultParagraphFont"/>
    <w:rsid w:val="00733843"/>
    <w:rPr>
      <w:strike/>
    </w:rPr>
  </w:style>
  <w:style w:type="paragraph" w:customStyle="1" w:styleId="point30">
    <w:name w:val="point3"/>
    <w:basedOn w:val="Normal"/>
    <w:rsid w:val="00733843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33843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733843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3843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rsid w:val="00733843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733843"/>
    <w:rPr>
      <w:rFonts w:ascii="Consolas" w:hAnsi="Consolas"/>
      <w:sz w:val="21"/>
      <w:szCs w:val="21"/>
      <w:lang w:val="da-DK"/>
    </w:rPr>
  </w:style>
  <w:style w:type="paragraph" w:styleId="DocumentMap">
    <w:name w:val="Document Map"/>
    <w:basedOn w:val="Normal"/>
    <w:link w:val="DocumentMapChar1"/>
    <w:rsid w:val="00733843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733843"/>
    <w:rPr>
      <w:rFonts w:ascii="Segoe UI" w:hAnsi="Segoe UI" w:cs="Segoe UI"/>
      <w:sz w:val="16"/>
      <w:szCs w:val="16"/>
      <w:lang w:val="da-DK"/>
    </w:rPr>
  </w:style>
  <w:style w:type="paragraph" w:customStyle="1" w:styleId="HeadingDocType24a">
    <w:name w:val="HeadingDocType24a"/>
    <w:basedOn w:val="Normal"/>
    <w:rsid w:val="00BD3CA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BD3CA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BD3CAC"/>
    <w:pPr>
      <w:jc w:val="center"/>
    </w:pPr>
  </w:style>
  <w:style w:type="paragraph" w:customStyle="1" w:styleId="Normal24a">
    <w:name w:val="Normal24a"/>
    <w:basedOn w:val="Normal"/>
    <w:rsid w:val="00BD3CAC"/>
    <w:pPr>
      <w:spacing w:after="480"/>
    </w:pPr>
  </w:style>
  <w:style w:type="paragraph" w:customStyle="1" w:styleId="LineSingle">
    <w:name w:val="LineSingle"/>
    <w:basedOn w:val="Normal"/>
    <w:next w:val="Normal"/>
    <w:rsid w:val="00BD3CA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BD3CAC"/>
    <w:pPr>
      <w:spacing w:before="240" w:after="240"/>
    </w:pPr>
  </w:style>
  <w:style w:type="character" w:customStyle="1" w:styleId="Mention1">
    <w:name w:val="Mention1"/>
    <w:basedOn w:val="DefaultParagraphFont"/>
    <w:uiPriority w:val="99"/>
    <w:unhideWhenUsed/>
    <w:rsid w:val="00BD3CAC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D3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E7D4A-9FE3-44C8-BE4C-FE57A56BD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2025-01-27T08:21:00Z</dcterms:created>
  <dcterms:modified xsi:type="dcterms:W3CDTF">2025-01-27T08:21:00Z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