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15EFE" w14:paraId="1310BC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771663" w14:textId="77777777" w:rsidR="00751A4A" w:rsidRPr="00915EFE" w:rsidRDefault="006B5378" w:rsidP="00FB2722">
            <w:pPr>
              <w:pStyle w:val="EPName"/>
            </w:pPr>
            <w:r w:rsidRPr="00915EFE">
              <w:t>Parlaimint na hEorpa</w:t>
            </w:r>
          </w:p>
          <w:p w14:paraId="64A2A64F" w14:textId="77777777" w:rsidR="00751A4A" w:rsidRPr="00915EFE" w:rsidRDefault="00817416" w:rsidP="00FB272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15EF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ED31671" w14:textId="77777777" w:rsidR="00751A4A" w:rsidRPr="00915EFE" w:rsidRDefault="00187494" w:rsidP="00FB2722">
            <w:pPr>
              <w:pStyle w:val="EPLogo"/>
            </w:pPr>
            <w:r w:rsidRPr="00915EFE">
              <w:rPr>
                <w:noProof/>
                <w:lang w:val="en-GB"/>
              </w:rPr>
              <w:drawing>
                <wp:inline distT="0" distB="0" distL="0" distR="0" wp14:anchorId="0DBC4F71" wp14:editId="0C4060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1E3C5A" w14:textId="77777777" w:rsidR="00D058B8" w:rsidRPr="00915EFE" w:rsidRDefault="00D058B8" w:rsidP="00FB2722">
      <w:pPr>
        <w:pStyle w:val="LineTop"/>
      </w:pPr>
    </w:p>
    <w:p w14:paraId="16FDF4FB" w14:textId="77777777" w:rsidR="00680577" w:rsidRPr="00915EFE" w:rsidRDefault="006B5378" w:rsidP="00FB2722">
      <w:pPr>
        <w:pStyle w:val="EPBodyTA1"/>
      </w:pPr>
      <w:r w:rsidRPr="00915EFE">
        <w:t>TÉACSANNA ARNA nGLACADH</w:t>
      </w:r>
    </w:p>
    <w:p w14:paraId="27AC0213" w14:textId="77777777" w:rsidR="00D058B8" w:rsidRPr="00915EFE" w:rsidRDefault="00D058B8" w:rsidP="00FB2722">
      <w:pPr>
        <w:pStyle w:val="LineBottom"/>
      </w:pPr>
    </w:p>
    <w:p w14:paraId="0CD851EC" w14:textId="742C62E2" w:rsidR="006B5378" w:rsidRPr="00915EFE" w:rsidRDefault="006B5378" w:rsidP="00FB2722">
      <w:pPr>
        <w:pStyle w:val="ATHeading1"/>
        <w:rPr>
          <w:lang w:val="sv-SE"/>
        </w:rPr>
      </w:pPr>
      <w:bookmarkStart w:id="0" w:name="TANumber"/>
      <w:r w:rsidRPr="00915EFE">
        <w:t>P9_TA(2024)0</w:t>
      </w:r>
      <w:bookmarkEnd w:id="0"/>
      <w:r w:rsidR="00DB5B00" w:rsidRPr="00915EFE">
        <w:rPr>
          <w:lang w:val="sv-SE"/>
        </w:rPr>
        <w:t>295</w:t>
      </w:r>
    </w:p>
    <w:p w14:paraId="61CB74FE" w14:textId="0F0AEC4E" w:rsidR="006B5378" w:rsidRPr="00915EFE" w:rsidRDefault="00B41E67" w:rsidP="00FB2722">
      <w:pPr>
        <w:pStyle w:val="ATHeading2"/>
      </w:pPr>
      <w:bookmarkStart w:id="1" w:name="title"/>
      <w:r w:rsidRPr="00915EFE">
        <w:t>Leasuithe a</w:t>
      </w:r>
      <w:r w:rsidR="005E5DD2" w:rsidRPr="00915EFE">
        <w:t>r Threoir Shócmhainneacht II</w:t>
      </w:r>
      <w:bookmarkEnd w:id="1"/>
    </w:p>
    <w:p w14:paraId="55541F32" w14:textId="77777777" w:rsidR="006B5378" w:rsidRPr="00915EFE" w:rsidRDefault="006B5378" w:rsidP="00FB2722">
      <w:pPr>
        <w:rPr>
          <w:i/>
          <w:vanish/>
        </w:rPr>
      </w:pPr>
      <w:r w:rsidRPr="00915EFE">
        <w:rPr>
          <w:i/>
        </w:rPr>
        <w:fldChar w:fldCharType="begin"/>
      </w:r>
      <w:r w:rsidRPr="00915EFE">
        <w:rPr>
          <w:i/>
        </w:rPr>
        <w:instrText xml:space="preserve"> TC"(</w:instrText>
      </w:r>
      <w:bookmarkStart w:id="2" w:name="DocNumber"/>
      <w:r w:rsidRPr="00915EFE">
        <w:rPr>
          <w:i/>
        </w:rPr>
        <w:instrText>A9-0256/2023</w:instrText>
      </w:r>
      <w:bookmarkEnd w:id="2"/>
      <w:r w:rsidRPr="00915EFE">
        <w:rPr>
          <w:i/>
        </w:rPr>
        <w:instrText xml:space="preserve"> -  Rapóirtéir:Markus Ferber)"\l3 \n&gt; \* MERGEFORMAT </w:instrText>
      </w:r>
      <w:r w:rsidRPr="00915EFE">
        <w:rPr>
          <w:i/>
        </w:rPr>
        <w:fldChar w:fldCharType="end"/>
      </w:r>
    </w:p>
    <w:p w14:paraId="173DA2B9" w14:textId="77777777" w:rsidR="006B5378" w:rsidRPr="00915EFE" w:rsidRDefault="006B5378" w:rsidP="00FB2722">
      <w:pPr>
        <w:rPr>
          <w:vanish/>
        </w:rPr>
      </w:pPr>
      <w:bookmarkStart w:id="3" w:name="Commission"/>
      <w:r w:rsidRPr="00915EFE">
        <w:rPr>
          <w:vanish/>
        </w:rPr>
        <w:t>An Coiste um Ghnóthaí Eacnamaíochta agus Airgeadaíochta</w:t>
      </w:r>
      <w:bookmarkEnd w:id="3"/>
    </w:p>
    <w:p w14:paraId="329859B7" w14:textId="77777777" w:rsidR="006B5378" w:rsidRPr="00915EFE" w:rsidRDefault="006B5378" w:rsidP="00FB2722">
      <w:pPr>
        <w:rPr>
          <w:vanish/>
        </w:rPr>
      </w:pPr>
      <w:bookmarkStart w:id="4" w:name="PE"/>
      <w:r w:rsidRPr="00915EFE">
        <w:rPr>
          <w:vanish/>
        </w:rPr>
        <w:t>PE732.668</w:t>
      </w:r>
      <w:bookmarkEnd w:id="4"/>
    </w:p>
    <w:p w14:paraId="19B69866" w14:textId="4F823416" w:rsidR="006B5378" w:rsidRPr="00915EFE" w:rsidRDefault="006B5378" w:rsidP="00FB2722">
      <w:pPr>
        <w:pStyle w:val="ATHeading3"/>
      </w:pPr>
      <w:bookmarkStart w:id="5" w:name="Sujet"/>
      <w:r w:rsidRPr="00915EFE">
        <w:t xml:space="preserve">Rún reachtach ó Pharlaimint na hEorpa an </w:t>
      </w:r>
      <w:r w:rsidR="00B27431" w:rsidRPr="00915EFE">
        <w:t>23</w:t>
      </w:r>
      <w:r w:rsidRPr="00915EFE">
        <w:t xml:space="preserve"> </w:t>
      </w:r>
      <w:r w:rsidR="005E5DD2" w:rsidRPr="00915EFE">
        <w:t xml:space="preserve">Aibreán </w:t>
      </w:r>
      <w:r w:rsidRPr="00915EFE">
        <w:t>2024 ar an togra le haghaidh Treoir ó Pharlaimint na hEorpa agus ón gComhairle lena leasaítear Treoir 2009/138/CE a mhéid a bhaineann le comhréireacht, cáilíocht na maoirseachta, tuairisciú, bearta ráthaíochta fadtéarmacha, uirlisí micreastuamachta, rioscaí inbhuanaitheachta, maoirseacht grúpa agus trasteorann</w:t>
      </w:r>
      <w:bookmarkEnd w:id="5"/>
      <w:r w:rsidRPr="00915EFE">
        <w:t xml:space="preserve"> </w:t>
      </w:r>
      <w:bookmarkStart w:id="6" w:name="References"/>
      <w:r w:rsidRPr="00915EFE">
        <w:t>(COM(2021)0581 – C9-0367/2021 – 2021/0295(COD))</w:t>
      </w:r>
      <w:bookmarkEnd w:id="6"/>
    </w:p>
    <w:p w14:paraId="0653E886" w14:textId="77777777" w:rsidR="00C86C74" w:rsidRPr="00915EFE" w:rsidRDefault="00C86C74" w:rsidP="00FB2722">
      <w:pPr>
        <w:pStyle w:val="NormalBold"/>
      </w:pPr>
      <w:bookmarkStart w:id="7" w:name="TextBodyBegin"/>
      <w:bookmarkEnd w:id="7"/>
      <w:r w:rsidRPr="00915EFE">
        <w:t>(An gnáthnós imeachta reachtach: an chéad léamh)</w:t>
      </w:r>
    </w:p>
    <w:p w14:paraId="5C0C1C4B" w14:textId="77777777" w:rsidR="00C86C74" w:rsidRPr="00915EFE" w:rsidRDefault="00C86C74" w:rsidP="00FB2722">
      <w:pPr>
        <w:pStyle w:val="EPComma"/>
      </w:pPr>
      <w:r w:rsidRPr="00915EFE">
        <w:rPr>
          <w:i/>
        </w:rPr>
        <w:t>Tá Parlaimint na hEorpa</w:t>
      </w:r>
      <w:r w:rsidRPr="00915EFE">
        <w:t>,</w:t>
      </w:r>
    </w:p>
    <w:p w14:paraId="57A64B40" w14:textId="77777777" w:rsidR="00C86C74" w:rsidRPr="00915EFE" w:rsidRDefault="00C86C74" w:rsidP="00FB2722">
      <w:pPr>
        <w:pStyle w:val="NormalHanging12a"/>
      </w:pPr>
      <w:r w:rsidRPr="00915EFE">
        <w:t>–</w:t>
      </w:r>
      <w:r w:rsidRPr="00915EFE">
        <w:tab/>
        <w:t>ag féachaint don togra ón gCoimisiún chuig Parlaimint na hEorpa agus chuig an gComhairle (COM(2021)0581),</w:t>
      </w:r>
    </w:p>
    <w:p w14:paraId="21A1C692" w14:textId="77777777" w:rsidR="00C86C74" w:rsidRPr="00915EFE" w:rsidRDefault="00C86C74" w:rsidP="00FB2722">
      <w:pPr>
        <w:pStyle w:val="NormalHanging12a"/>
      </w:pPr>
      <w:r w:rsidRPr="00915EFE">
        <w:t>–</w:t>
      </w:r>
      <w:r w:rsidRPr="00915EFE">
        <w:tab/>
        <w:t>ag féachaint d’Airteagal 294(2) agus Airteagal 53(1), Airteagal 62 agus Airteagal 114 den Chonradh ar Fheidhmiú an Aontais Eorpaigh, ar dá mbun a thíolaic an Coimisiún an togra do Pharlaimint na hEorpa (C9</w:t>
      </w:r>
      <w:r w:rsidRPr="00915EFE">
        <w:noBreakHyphen/>
        <w:t>0367/2021),</w:t>
      </w:r>
    </w:p>
    <w:p w14:paraId="564B8D3A" w14:textId="77777777" w:rsidR="00C86C74" w:rsidRPr="00915EFE" w:rsidRDefault="00C86C74" w:rsidP="00FB2722">
      <w:pPr>
        <w:pStyle w:val="NormalHanging12a"/>
      </w:pPr>
      <w:r w:rsidRPr="00915EFE">
        <w:t>–</w:t>
      </w:r>
      <w:r w:rsidRPr="00915EFE">
        <w:tab/>
        <w:t>ag féachaint d’Airteagal 294(3) den Chonradh ar Fheidhmiú an Aontais Eorpaigh,</w:t>
      </w:r>
    </w:p>
    <w:p w14:paraId="2B75E122" w14:textId="77777777" w:rsidR="00C86C74" w:rsidRPr="00915EFE" w:rsidRDefault="00C86C74" w:rsidP="00FB2722">
      <w:pPr>
        <w:pStyle w:val="NormalHanging12a"/>
      </w:pPr>
      <w:r w:rsidRPr="00915EFE">
        <w:t>–</w:t>
      </w:r>
      <w:r w:rsidRPr="00915EFE">
        <w:tab/>
        <w:t>ag féachaint do thuairim ó Choiste Eacnamaíoch agus Sóisialta na hEorpa an 23 Feabhra 2022</w:t>
      </w:r>
      <w:r w:rsidRPr="00915EFE">
        <w:rPr>
          <w:rStyle w:val="FootnoteReference"/>
          <w:szCs w:val="24"/>
        </w:rPr>
        <w:footnoteReference w:id="1"/>
      </w:r>
      <w:r w:rsidRPr="00915EFE">
        <w:t>,</w:t>
      </w:r>
    </w:p>
    <w:p w14:paraId="78C3C1D8" w14:textId="1A8E8FEE" w:rsidR="00B27431" w:rsidRPr="00915EFE" w:rsidRDefault="00B27431" w:rsidP="00FB2722">
      <w:pPr>
        <w:pStyle w:val="NormalHanging12a"/>
        <w:widowControl/>
      </w:pPr>
      <w:r w:rsidRPr="00915EFE">
        <w:t>–</w:t>
      </w:r>
      <w:r w:rsidRPr="00915EFE">
        <w:tab/>
        <w:t>ag féachaint don chomhaontú sealadach a d’fhormheas an coiste freagrach faoi Riail 74(4) dá Rialacha Nós Imeachta agus don gheallúint a thug ionadaí na Comhairle i litir dar dáta an 24 Eanáir 2024 go ndéanfadh sí seasamh Pharlaimint na hEorpa a fhormheas, i gcomhréir le hAirteagal 294(4) den Chonradh ar Fheidhmiú an Aontais Eorpaigh,</w:t>
      </w:r>
    </w:p>
    <w:p w14:paraId="644AA0E1" w14:textId="77777777" w:rsidR="00C86C74" w:rsidRPr="00915EFE" w:rsidRDefault="00C86C74" w:rsidP="00FB2722">
      <w:pPr>
        <w:pStyle w:val="NormalHanging12a"/>
      </w:pPr>
      <w:r w:rsidRPr="00915EFE">
        <w:t>–</w:t>
      </w:r>
      <w:r w:rsidRPr="00915EFE">
        <w:tab/>
        <w:t>ag féachaint do Riail 59 dá Rialacha Nós Imeachta,</w:t>
      </w:r>
    </w:p>
    <w:p w14:paraId="1E0AB52D" w14:textId="77777777" w:rsidR="00C86C74" w:rsidRPr="00915EFE" w:rsidRDefault="00C86C74" w:rsidP="00FB2722">
      <w:pPr>
        <w:pStyle w:val="NormalHanging12a"/>
      </w:pPr>
      <w:r w:rsidRPr="00915EFE">
        <w:t>–</w:t>
      </w:r>
      <w:r w:rsidRPr="00915EFE">
        <w:tab/>
        <w:t>ag féachaint don tuarascáil ón gCoiste um Ghnóthaí Eacnamaíochta agus Airgeadaíochta (A9-0256/2023),</w:t>
      </w:r>
    </w:p>
    <w:p w14:paraId="1BD5463B" w14:textId="77777777" w:rsidR="00C86C74" w:rsidRPr="00915EFE" w:rsidRDefault="00C86C74" w:rsidP="00FB2722">
      <w:pPr>
        <w:pStyle w:val="NormalHanging12a"/>
      </w:pPr>
      <w:r w:rsidRPr="00915EFE">
        <w:t>1.</w:t>
      </w:r>
      <w:r w:rsidRPr="00915EFE">
        <w:tab/>
        <w:t>ag glacadh a seasaimh ar an gcéad léamh mar a leagtar amach ina dhiaidh seo é;</w:t>
      </w:r>
    </w:p>
    <w:p w14:paraId="5FF418D4" w14:textId="77777777" w:rsidR="00C86C74" w:rsidRPr="00915EFE" w:rsidRDefault="00C86C74" w:rsidP="00FB2722">
      <w:pPr>
        <w:pStyle w:val="NormalHanging12a"/>
      </w:pPr>
      <w:r w:rsidRPr="00915EFE">
        <w:t>2.</w:t>
      </w:r>
      <w:r w:rsidRPr="00915EFE">
        <w:tab/>
        <w:t xml:space="preserve">á iarraidh ar an gCoimisiún an t-ábhar a tharchur chuig Parlaimint na hEorpa arís má </w:t>
      </w:r>
      <w:r w:rsidRPr="00915EFE">
        <w:lastRenderedPageBreak/>
        <w:t>dhéanann sé téacs eile a chur in ionad a thogra, má dhéanann sé a thogra a leasú go substaintiúil nó má tá sé ar intinn aige a thogra a leasú go substaintiúil;</w:t>
      </w:r>
    </w:p>
    <w:p w14:paraId="32695D3A" w14:textId="77777777" w:rsidR="00C86C74" w:rsidRPr="00915EFE" w:rsidRDefault="00C86C74" w:rsidP="00FB2722">
      <w:pPr>
        <w:ind w:left="567" w:hanging="567"/>
      </w:pPr>
      <w:r w:rsidRPr="00915EFE">
        <w:t>3.</w:t>
      </w:r>
      <w:r w:rsidRPr="00915EFE">
        <w:tab/>
        <w:t>á threorú dá hUachtarán a seasamh a chur ar aghaidh chuig an gComhairle, chuig an gCoimisiún agus chuig na parlaimintí náisiúnta.</w:t>
      </w:r>
    </w:p>
    <w:p w14:paraId="03EC715D" w14:textId="77777777" w:rsidR="00040033" w:rsidRPr="00915EFE" w:rsidRDefault="00040033" w:rsidP="00FB2722">
      <w:pPr>
        <w:widowControl/>
        <w:sectPr w:rsidR="00040033" w:rsidRPr="00915EFE" w:rsidSect="007F6DE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46BDD8B" w14:textId="72C51028" w:rsidR="00B27431" w:rsidRPr="00915EFE" w:rsidRDefault="00B27431" w:rsidP="00FB272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915EFE">
        <w:rPr>
          <w:b/>
          <w:bCs/>
          <w:color w:val="000000"/>
        </w:rPr>
        <w:t>P9_TC1-COD(2021)0295</w:t>
      </w:r>
    </w:p>
    <w:p w14:paraId="25AC16B8" w14:textId="091A4F4A" w:rsidR="00B27431" w:rsidRDefault="00B27431" w:rsidP="00FB2722">
      <w:pPr>
        <w:widowControl/>
        <w:rPr>
          <w:b/>
          <w:bCs/>
        </w:rPr>
      </w:pPr>
      <w:r w:rsidRPr="00915EFE">
        <w:rPr>
          <w:b/>
          <w:bCs/>
        </w:rPr>
        <w:t>Seasamh ó Pharlaimint na hEorpa arna ghlacadh ar an gcéad léamh an 23 Aibreán 2024 chun go nglacfaí Treoir (AE) 202</w:t>
      </w:r>
      <w:r w:rsidR="0032214F" w:rsidRPr="0032214F">
        <w:rPr>
          <w:b/>
          <w:bCs/>
        </w:rPr>
        <w:t>5</w:t>
      </w:r>
      <w:r w:rsidRPr="00915EFE">
        <w:rPr>
          <w:b/>
          <w:bCs/>
        </w:rPr>
        <w:t xml:space="preserve">/... ó Pharlaimint na hEorpa agus ón gComhairle lena leasaítear Treoir 2009/138/CE a mhéid a bhaineann le comhréireacht, cáilíocht na maoirseachta, tuairisciú, bearta ráthaíochta fadtéarmacha, uirlisí macrastuamachta, rioscaí inbhuanaitheachta, maoirseacht ghrúpa agus </w:t>
      </w:r>
      <w:r w:rsidRPr="0032214F">
        <w:rPr>
          <w:b/>
          <w:bCs/>
        </w:rPr>
        <w:t>trasteorann, agus lena leasaítear Treoracha 2002/87/CE agus 2013/34/AE</w:t>
      </w:r>
    </w:p>
    <w:p w14:paraId="51607677" w14:textId="7CAD8FFD" w:rsidR="0032214F" w:rsidRDefault="0032214F" w:rsidP="00FB2722">
      <w:pPr>
        <w:widowControl/>
        <w:rPr>
          <w:b/>
          <w:bCs/>
        </w:rPr>
      </w:pPr>
    </w:p>
    <w:p w14:paraId="2979D82B" w14:textId="7918ED2F" w:rsidR="0032214F" w:rsidRPr="0032214F" w:rsidRDefault="0032214F" w:rsidP="00FB2722">
      <w:pPr>
        <w:widowControl/>
        <w:rPr>
          <w:bCs/>
          <w:i/>
        </w:rPr>
      </w:pPr>
      <w:r w:rsidRPr="0032214F">
        <w:rPr>
          <w:bCs/>
          <w:i/>
        </w:rPr>
        <w:t xml:space="preserve">(Ós rud é gur tháinig an Pharlaimint agus an Chomhairle ar chomhaontú, comhfhreagraíonn seasamh na Parlaiminte don ghníomh reachtach críochnaitheach, Treoir (AE) </w:t>
      </w:r>
      <w:r>
        <w:rPr>
          <w:bCs/>
          <w:i/>
          <w:lang w:val="en-GB"/>
        </w:rPr>
        <w:t>2025/2</w:t>
      </w:r>
      <w:bookmarkStart w:id="8" w:name="_GoBack"/>
      <w:bookmarkEnd w:id="8"/>
      <w:r w:rsidRPr="0032214F">
        <w:rPr>
          <w:bCs/>
          <w:i/>
        </w:rPr>
        <w:t xml:space="preserve">.) </w:t>
      </w:r>
    </w:p>
    <w:sectPr w:rsidR="0032214F" w:rsidRPr="0032214F" w:rsidSect="007F6DE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1F061F" w14:textId="77777777" w:rsidR="000B7016" w:rsidRPr="007F6DEF" w:rsidRDefault="000B7016">
      <w:r w:rsidRPr="007F6DEF">
        <w:separator/>
      </w:r>
    </w:p>
  </w:endnote>
  <w:endnote w:type="continuationSeparator" w:id="0">
    <w:p w14:paraId="46266393" w14:textId="77777777" w:rsidR="000B7016" w:rsidRPr="007F6DEF" w:rsidRDefault="000B7016">
      <w:r w:rsidRPr="007F6D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22F10" w14:textId="77777777" w:rsidR="000B7016" w:rsidRPr="007F6DEF" w:rsidRDefault="000B701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8DB4D" w14:textId="77777777" w:rsidR="000B7016" w:rsidRPr="007F6DEF" w:rsidRDefault="000B701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8ACAB" w14:textId="77777777" w:rsidR="000B7016" w:rsidRPr="007F6DEF" w:rsidRDefault="000B701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76D0C" w14:textId="77777777" w:rsidR="000B7016" w:rsidRPr="007F6DEF" w:rsidRDefault="000B7016">
      <w:r w:rsidRPr="007F6DEF">
        <w:separator/>
      </w:r>
    </w:p>
  </w:footnote>
  <w:footnote w:type="continuationSeparator" w:id="0">
    <w:p w14:paraId="6F34B23B" w14:textId="77777777" w:rsidR="000B7016" w:rsidRPr="007F6DEF" w:rsidRDefault="000B7016">
      <w:r w:rsidRPr="007F6DEF">
        <w:continuationSeparator/>
      </w:r>
    </w:p>
  </w:footnote>
  <w:footnote w:id="1">
    <w:p w14:paraId="09D56879" w14:textId="77777777" w:rsidR="000B7016" w:rsidRPr="00040033" w:rsidRDefault="000B7016" w:rsidP="00040033">
      <w:pPr>
        <w:pStyle w:val="FootnoteText"/>
        <w:ind w:left="851" w:hanging="851"/>
        <w:rPr>
          <w:sz w:val="24"/>
          <w:lang w:val="ga-IE"/>
        </w:rPr>
      </w:pPr>
      <w:r w:rsidRPr="00040033">
        <w:rPr>
          <w:rStyle w:val="FootnoteReference"/>
          <w:sz w:val="24"/>
          <w:lang w:val="ga-IE"/>
        </w:rPr>
        <w:footnoteRef/>
      </w:r>
      <w:r w:rsidRPr="00040033">
        <w:rPr>
          <w:sz w:val="24"/>
          <w:lang w:val="ga-IE"/>
        </w:rPr>
        <w:t xml:space="preserve"> </w:t>
      </w:r>
      <w:r w:rsidRPr="00040033">
        <w:rPr>
          <w:sz w:val="24"/>
          <w:lang w:val="ga-IE"/>
        </w:rPr>
        <w:tab/>
        <w:t xml:space="preserve">IO C </w:t>
      </w:r>
      <w:r w:rsidRPr="00C013E9">
        <w:rPr>
          <w:sz w:val="24"/>
          <w:lang w:val="ga-IE"/>
        </w:rPr>
        <w:t>275</w:t>
      </w:r>
      <w:r w:rsidRPr="00040033">
        <w:rPr>
          <w:sz w:val="24"/>
          <w:lang w:val="ga-IE"/>
        </w:rPr>
        <w:t xml:space="preserve">, </w:t>
      </w:r>
      <w:r w:rsidRPr="00C013E9">
        <w:rPr>
          <w:sz w:val="24"/>
          <w:lang w:val="ga-IE"/>
        </w:rPr>
        <w:t>18</w:t>
      </w:r>
      <w:r w:rsidRPr="00040033">
        <w:rPr>
          <w:sz w:val="24"/>
          <w:lang w:val="ga-IE"/>
        </w:rPr>
        <w:t>.</w:t>
      </w:r>
      <w:r w:rsidRPr="00C013E9">
        <w:rPr>
          <w:sz w:val="24"/>
          <w:lang w:val="ga-IE"/>
        </w:rPr>
        <w:t>7</w:t>
      </w:r>
      <w:r w:rsidRPr="00040033">
        <w:rPr>
          <w:sz w:val="24"/>
          <w:lang w:val="ga-IE"/>
        </w:rPr>
        <w:t>.</w:t>
      </w:r>
      <w:r w:rsidRPr="00C013E9">
        <w:rPr>
          <w:sz w:val="24"/>
          <w:lang w:val="ga-IE"/>
        </w:rPr>
        <w:t>2022</w:t>
      </w:r>
      <w:r w:rsidRPr="00040033">
        <w:rPr>
          <w:sz w:val="24"/>
          <w:lang w:val="ga-IE"/>
        </w:rPr>
        <w:t xml:space="preserve">, lch. </w:t>
      </w:r>
      <w:r w:rsidRPr="00C013E9">
        <w:rPr>
          <w:sz w:val="24"/>
          <w:lang w:val="ga-IE"/>
        </w:rPr>
        <w:t>45</w:t>
      </w:r>
      <w:r w:rsidRPr="00040033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A30A5" w14:textId="77777777" w:rsidR="000B7016" w:rsidRPr="007F6DEF" w:rsidRDefault="000B701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4F833" w14:textId="77777777" w:rsidR="000B7016" w:rsidRPr="007F6DEF" w:rsidRDefault="000B701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1D9BA" w14:textId="77777777" w:rsidR="000B7016" w:rsidRPr="007F6DEF" w:rsidRDefault="000B701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EA858AA"/>
    <w:multiLevelType w:val="hybridMultilevel"/>
    <w:tmpl w:val="E5BE6D5A"/>
    <w:lvl w:ilvl="0" w:tplc="765C17AE">
      <w:start w:val="1"/>
      <w:numFmt w:val="lowerRoman"/>
      <w:pStyle w:val="item"/>
      <w:lvlText w:val="(%1)"/>
      <w:lvlJc w:val="left"/>
      <w:pPr>
        <w:ind w:left="2137" w:hanging="720"/>
      </w:pPr>
    </w:lvl>
    <w:lvl w:ilvl="1" w:tplc="EA624F74">
      <w:start w:val="1"/>
      <w:numFmt w:val="lowerLetter"/>
      <w:lvlText w:val="%2."/>
      <w:lvlJc w:val="left"/>
      <w:pPr>
        <w:ind w:left="2497" w:hanging="360"/>
      </w:pPr>
    </w:lvl>
    <w:lvl w:ilvl="2" w:tplc="7780DB02">
      <w:start w:val="1"/>
      <w:numFmt w:val="lowerRoman"/>
      <w:lvlText w:val="%3."/>
      <w:lvlJc w:val="right"/>
      <w:pPr>
        <w:ind w:left="3217" w:hanging="180"/>
      </w:pPr>
    </w:lvl>
    <w:lvl w:ilvl="3" w:tplc="5F8A8F38">
      <w:start w:val="1"/>
      <w:numFmt w:val="decimal"/>
      <w:lvlText w:val="%4."/>
      <w:lvlJc w:val="left"/>
      <w:pPr>
        <w:ind w:left="3937" w:hanging="360"/>
      </w:pPr>
    </w:lvl>
    <w:lvl w:ilvl="4" w:tplc="FF9C920A">
      <w:start w:val="1"/>
      <w:numFmt w:val="lowerLetter"/>
      <w:lvlText w:val="%5."/>
      <w:lvlJc w:val="left"/>
      <w:pPr>
        <w:ind w:left="4657" w:hanging="360"/>
      </w:pPr>
    </w:lvl>
    <w:lvl w:ilvl="5" w:tplc="0EF42C38">
      <w:start w:val="1"/>
      <w:numFmt w:val="lowerRoman"/>
      <w:lvlText w:val="%6."/>
      <w:lvlJc w:val="right"/>
      <w:pPr>
        <w:ind w:left="5377" w:hanging="180"/>
      </w:pPr>
    </w:lvl>
    <w:lvl w:ilvl="6" w:tplc="A8461E38">
      <w:start w:val="1"/>
      <w:numFmt w:val="decimal"/>
      <w:lvlText w:val="%7."/>
      <w:lvlJc w:val="left"/>
      <w:pPr>
        <w:ind w:left="6097" w:hanging="360"/>
      </w:pPr>
    </w:lvl>
    <w:lvl w:ilvl="7" w:tplc="A0C67428">
      <w:start w:val="1"/>
      <w:numFmt w:val="lowerLetter"/>
      <w:lvlText w:val="%8."/>
      <w:lvlJc w:val="left"/>
      <w:pPr>
        <w:ind w:left="6817" w:hanging="360"/>
      </w:pPr>
    </w:lvl>
    <w:lvl w:ilvl="8" w:tplc="C242E27C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8745F3"/>
    <w:multiLevelType w:val="hybridMultilevel"/>
    <w:tmpl w:val="26725694"/>
    <w:lvl w:ilvl="0" w:tplc="A492E5DE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A3D5816"/>
    <w:multiLevelType w:val="hybridMultilevel"/>
    <w:tmpl w:val="6CD0E024"/>
    <w:lvl w:ilvl="0" w:tplc="601A4B8A">
      <w:start w:val="2"/>
      <w:numFmt w:val="lowerLetter"/>
      <w:lvlText w:val="%1."/>
      <w:lvlJc w:val="left"/>
      <w:pPr>
        <w:ind w:left="1415" w:hanging="564"/>
      </w:pPr>
      <w:rPr>
        <w:rFonts w:hint="default"/>
        <w:b/>
        <w:i/>
      </w:rPr>
    </w:lvl>
    <w:lvl w:ilvl="1" w:tplc="083C0019" w:tentative="1">
      <w:start w:val="1"/>
      <w:numFmt w:val="lowerLetter"/>
      <w:lvlText w:val="%2."/>
      <w:lvlJc w:val="left"/>
      <w:pPr>
        <w:ind w:left="1931" w:hanging="360"/>
      </w:pPr>
    </w:lvl>
    <w:lvl w:ilvl="2" w:tplc="083C001B" w:tentative="1">
      <w:start w:val="1"/>
      <w:numFmt w:val="lowerRoman"/>
      <w:lvlText w:val="%3."/>
      <w:lvlJc w:val="right"/>
      <w:pPr>
        <w:ind w:left="2651" w:hanging="180"/>
      </w:pPr>
    </w:lvl>
    <w:lvl w:ilvl="3" w:tplc="083C000F" w:tentative="1">
      <w:start w:val="1"/>
      <w:numFmt w:val="decimal"/>
      <w:lvlText w:val="%4."/>
      <w:lvlJc w:val="left"/>
      <w:pPr>
        <w:ind w:left="3371" w:hanging="360"/>
      </w:pPr>
    </w:lvl>
    <w:lvl w:ilvl="4" w:tplc="083C0019" w:tentative="1">
      <w:start w:val="1"/>
      <w:numFmt w:val="lowerLetter"/>
      <w:lvlText w:val="%5."/>
      <w:lvlJc w:val="left"/>
      <w:pPr>
        <w:ind w:left="4091" w:hanging="360"/>
      </w:pPr>
    </w:lvl>
    <w:lvl w:ilvl="5" w:tplc="083C001B" w:tentative="1">
      <w:start w:val="1"/>
      <w:numFmt w:val="lowerRoman"/>
      <w:lvlText w:val="%6."/>
      <w:lvlJc w:val="right"/>
      <w:pPr>
        <w:ind w:left="4811" w:hanging="180"/>
      </w:pPr>
    </w:lvl>
    <w:lvl w:ilvl="6" w:tplc="083C000F" w:tentative="1">
      <w:start w:val="1"/>
      <w:numFmt w:val="decimal"/>
      <w:lvlText w:val="%7."/>
      <w:lvlJc w:val="left"/>
      <w:pPr>
        <w:ind w:left="5531" w:hanging="360"/>
      </w:pPr>
    </w:lvl>
    <w:lvl w:ilvl="7" w:tplc="083C0019" w:tentative="1">
      <w:start w:val="1"/>
      <w:numFmt w:val="lowerLetter"/>
      <w:lvlText w:val="%8."/>
      <w:lvlJc w:val="left"/>
      <w:pPr>
        <w:ind w:left="6251" w:hanging="360"/>
      </w:pPr>
    </w:lvl>
    <w:lvl w:ilvl="8" w:tplc="083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5" w15:restartNumberingAfterBreak="0">
    <w:nsid w:val="4EA853DA"/>
    <w:multiLevelType w:val="hybridMultilevel"/>
    <w:tmpl w:val="A19A2D0A"/>
    <w:lvl w:ilvl="0" w:tplc="3E800AC8">
      <w:start w:val="1"/>
      <w:numFmt w:val="lowerRoman"/>
      <w:lvlText w:val="(%1)"/>
      <w:lvlJc w:val="left"/>
      <w:pPr>
        <w:ind w:left="2764" w:hanging="720"/>
      </w:pPr>
      <w:rPr>
        <w:rFonts w:hint="default"/>
        <w:b/>
        <w:bCs/>
        <w:i/>
        <w:iCs/>
      </w:rPr>
    </w:lvl>
    <w:lvl w:ilvl="1" w:tplc="083C0019" w:tentative="1">
      <w:start w:val="1"/>
      <w:numFmt w:val="lowerLetter"/>
      <w:lvlText w:val="%2."/>
      <w:lvlJc w:val="left"/>
      <w:pPr>
        <w:ind w:left="3124" w:hanging="360"/>
      </w:pPr>
    </w:lvl>
    <w:lvl w:ilvl="2" w:tplc="083C001B" w:tentative="1">
      <w:start w:val="1"/>
      <w:numFmt w:val="lowerRoman"/>
      <w:lvlText w:val="%3."/>
      <w:lvlJc w:val="right"/>
      <w:pPr>
        <w:ind w:left="3844" w:hanging="180"/>
      </w:pPr>
    </w:lvl>
    <w:lvl w:ilvl="3" w:tplc="083C000F" w:tentative="1">
      <w:start w:val="1"/>
      <w:numFmt w:val="decimal"/>
      <w:lvlText w:val="%4."/>
      <w:lvlJc w:val="left"/>
      <w:pPr>
        <w:ind w:left="4564" w:hanging="360"/>
      </w:pPr>
    </w:lvl>
    <w:lvl w:ilvl="4" w:tplc="083C0019" w:tentative="1">
      <w:start w:val="1"/>
      <w:numFmt w:val="lowerLetter"/>
      <w:lvlText w:val="%5."/>
      <w:lvlJc w:val="left"/>
      <w:pPr>
        <w:ind w:left="5284" w:hanging="360"/>
      </w:pPr>
    </w:lvl>
    <w:lvl w:ilvl="5" w:tplc="083C001B" w:tentative="1">
      <w:start w:val="1"/>
      <w:numFmt w:val="lowerRoman"/>
      <w:lvlText w:val="%6."/>
      <w:lvlJc w:val="right"/>
      <w:pPr>
        <w:ind w:left="6004" w:hanging="180"/>
      </w:pPr>
    </w:lvl>
    <w:lvl w:ilvl="6" w:tplc="083C000F" w:tentative="1">
      <w:start w:val="1"/>
      <w:numFmt w:val="decimal"/>
      <w:lvlText w:val="%7."/>
      <w:lvlJc w:val="left"/>
      <w:pPr>
        <w:ind w:left="6724" w:hanging="360"/>
      </w:pPr>
    </w:lvl>
    <w:lvl w:ilvl="7" w:tplc="083C0019" w:tentative="1">
      <w:start w:val="1"/>
      <w:numFmt w:val="lowerLetter"/>
      <w:lvlText w:val="%8."/>
      <w:lvlJc w:val="left"/>
      <w:pPr>
        <w:ind w:left="7444" w:hanging="360"/>
      </w:pPr>
    </w:lvl>
    <w:lvl w:ilvl="8" w:tplc="083C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26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6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5"/>
  </w:num>
  <w:num w:numId="3">
    <w:abstractNumId w:val="32"/>
  </w:num>
  <w:num w:numId="4">
    <w:abstractNumId w:val="18"/>
  </w:num>
  <w:num w:numId="5">
    <w:abstractNumId w:val="14"/>
  </w:num>
  <w:num w:numId="6">
    <w:abstractNumId w:val="19"/>
  </w:num>
  <w:num w:numId="7">
    <w:abstractNumId w:val="2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30"/>
  </w:num>
  <w:num w:numId="12">
    <w:abstractNumId w:val="31"/>
  </w:num>
  <w:num w:numId="13">
    <w:abstractNumId w:val="13"/>
  </w:num>
  <w:num w:numId="14">
    <w:abstractNumId w:val="26"/>
  </w:num>
  <w:num w:numId="15">
    <w:abstractNumId w:val="46"/>
    <w:lvlOverride w:ilvl="0">
      <w:startOverride w:val="1"/>
    </w:lvlOverride>
  </w:num>
  <w:num w:numId="16">
    <w:abstractNumId w:val="35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</w:num>
  <w:num w:numId="19">
    <w:abstractNumId w:val="1"/>
  </w:num>
  <w:num w:numId="20">
    <w:abstractNumId w:val="38"/>
  </w:num>
  <w:num w:numId="21">
    <w:abstractNumId w:val="33"/>
  </w:num>
  <w:num w:numId="22">
    <w:abstractNumId w:val="3"/>
  </w:num>
  <w:num w:numId="23">
    <w:abstractNumId w:val="40"/>
  </w:num>
  <w:num w:numId="24">
    <w:abstractNumId w:val="45"/>
  </w:num>
  <w:num w:numId="25">
    <w:abstractNumId w:val="27"/>
  </w:num>
  <w:num w:numId="26">
    <w:abstractNumId w:val="39"/>
  </w:num>
  <w:num w:numId="27">
    <w:abstractNumId w:val="34"/>
  </w:num>
  <w:num w:numId="28">
    <w:abstractNumId w:val="21"/>
  </w:num>
  <w:num w:numId="29">
    <w:abstractNumId w:val="0"/>
  </w:num>
  <w:num w:numId="30">
    <w:abstractNumId w:val="10"/>
  </w:num>
  <w:num w:numId="31">
    <w:abstractNumId w:val="4"/>
  </w:num>
  <w:num w:numId="32">
    <w:abstractNumId w:val="12"/>
  </w:num>
  <w:num w:numId="33">
    <w:abstractNumId w:val="28"/>
  </w:num>
  <w:num w:numId="34">
    <w:abstractNumId w:val="16"/>
  </w:num>
  <w:num w:numId="35">
    <w:abstractNumId w:val="17"/>
  </w:num>
  <w:num w:numId="36">
    <w:abstractNumId w:val="24"/>
  </w:num>
  <w:num w:numId="37">
    <w:abstractNumId w:val="29"/>
  </w:num>
  <w:num w:numId="38">
    <w:abstractNumId w:val="43"/>
  </w:num>
  <w:num w:numId="39">
    <w:abstractNumId w:val="42"/>
  </w:num>
  <w:num w:numId="40">
    <w:abstractNumId w:val="44"/>
  </w:num>
  <w:num w:numId="41">
    <w:abstractNumId w:val="11"/>
  </w:num>
  <w:num w:numId="42">
    <w:abstractNumId w:val="25"/>
  </w:num>
  <w:num w:numId="43">
    <w:abstractNumId w:val="23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GA"/>
    <w:docVar w:name="dvnumam" w:val="0"/>
    <w:docVar w:name="dvpe" w:val="732.668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lena leasaítear Treoir 2009/138/CE a mhéid a bhaineann le comhréireacht, cáilíocht na maoirseachta, tuairisciú, bearta ráthaíochta fadtéarmacha, uirlisí micreastuamachta, rioscaí inbhuanaitheachta, maoirseacht grúpa agus trasteorann(COM(2021)0581 – C9-0367/2021 – 2021/0295(COD))"/>
  </w:docVars>
  <w:rsids>
    <w:rsidRoot w:val="006B5378"/>
    <w:rsid w:val="00002272"/>
    <w:rsid w:val="00040033"/>
    <w:rsid w:val="00064002"/>
    <w:rsid w:val="000677B9"/>
    <w:rsid w:val="000831BA"/>
    <w:rsid w:val="000A42CC"/>
    <w:rsid w:val="000B7016"/>
    <w:rsid w:val="000E7DD9"/>
    <w:rsid w:val="0010095E"/>
    <w:rsid w:val="00125B37"/>
    <w:rsid w:val="00187494"/>
    <w:rsid w:val="001F32AE"/>
    <w:rsid w:val="00260103"/>
    <w:rsid w:val="002767FF"/>
    <w:rsid w:val="002B18FE"/>
    <w:rsid w:val="002B5493"/>
    <w:rsid w:val="0032214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5DD2"/>
    <w:rsid w:val="006037C0"/>
    <w:rsid w:val="006631B6"/>
    <w:rsid w:val="00680577"/>
    <w:rsid w:val="006B5378"/>
    <w:rsid w:val="006F6BB2"/>
    <w:rsid w:val="006F74FA"/>
    <w:rsid w:val="00731ADD"/>
    <w:rsid w:val="00734777"/>
    <w:rsid w:val="00747932"/>
    <w:rsid w:val="00751A4A"/>
    <w:rsid w:val="00753EA2"/>
    <w:rsid w:val="00756632"/>
    <w:rsid w:val="00762C74"/>
    <w:rsid w:val="00786EC0"/>
    <w:rsid w:val="007D1690"/>
    <w:rsid w:val="007E22AD"/>
    <w:rsid w:val="007F6DEF"/>
    <w:rsid w:val="00817416"/>
    <w:rsid w:val="00842779"/>
    <w:rsid w:val="00865F67"/>
    <w:rsid w:val="00881A7B"/>
    <w:rsid w:val="008840E5"/>
    <w:rsid w:val="00887B3E"/>
    <w:rsid w:val="008C2AC6"/>
    <w:rsid w:val="008D310C"/>
    <w:rsid w:val="00915EFE"/>
    <w:rsid w:val="00930C23"/>
    <w:rsid w:val="0093193B"/>
    <w:rsid w:val="0094423E"/>
    <w:rsid w:val="009509D8"/>
    <w:rsid w:val="00950B64"/>
    <w:rsid w:val="00981893"/>
    <w:rsid w:val="00A1687D"/>
    <w:rsid w:val="00A43E52"/>
    <w:rsid w:val="00A4678D"/>
    <w:rsid w:val="00A778C7"/>
    <w:rsid w:val="00AA647A"/>
    <w:rsid w:val="00AB441E"/>
    <w:rsid w:val="00AB6293"/>
    <w:rsid w:val="00AE0928"/>
    <w:rsid w:val="00AF3B82"/>
    <w:rsid w:val="00B12E95"/>
    <w:rsid w:val="00B22876"/>
    <w:rsid w:val="00B27431"/>
    <w:rsid w:val="00B41E67"/>
    <w:rsid w:val="00B558F0"/>
    <w:rsid w:val="00BD48FE"/>
    <w:rsid w:val="00BD7BD8"/>
    <w:rsid w:val="00BE6ADC"/>
    <w:rsid w:val="00C013E9"/>
    <w:rsid w:val="00C05BFE"/>
    <w:rsid w:val="00C23CD4"/>
    <w:rsid w:val="00C61C0C"/>
    <w:rsid w:val="00C86C7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B0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722"/>
    <w:rsid w:val="00FB4360"/>
    <w:rsid w:val="00FC690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490113"/>
  <w15:chartTrackingRefBased/>
  <w15:docId w15:val="{14B09018-ACE3-45B5-B1AC-D2248C504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86C7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86C7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C86C7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C86C7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C86C7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C86C74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rsid w:val="00C86C74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C86C74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C86C74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C86C7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86C7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86C74"/>
    <w:pPr>
      <w:spacing w:before="480" w:after="240"/>
    </w:pPr>
  </w:style>
  <w:style w:type="paragraph" w:customStyle="1" w:styleId="TOCPage">
    <w:name w:val="TOC Page"/>
    <w:basedOn w:val="Normal"/>
    <w:next w:val="TOC1"/>
    <w:rsid w:val="00C86C74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C86C7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86C74"/>
    <w:rPr>
      <w:b/>
    </w:rPr>
  </w:style>
  <w:style w:type="paragraph" w:customStyle="1" w:styleId="NormalBold12a">
    <w:name w:val="NormalBold12a"/>
    <w:basedOn w:val="Normal"/>
    <w:rsid w:val="00C86C74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rsid w:val="00C86C7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86C74"/>
    <w:pPr>
      <w:spacing w:after="480"/>
      <w:ind w:left="1417"/>
    </w:pPr>
  </w:style>
  <w:style w:type="paragraph" w:customStyle="1" w:styleId="CoverNormal">
    <w:name w:val="CoverNormal"/>
    <w:basedOn w:val="Normal"/>
    <w:rsid w:val="00C86C74"/>
    <w:pPr>
      <w:ind w:left="1418"/>
    </w:pPr>
  </w:style>
  <w:style w:type="paragraph" w:customStyle="1" w:styleId="NormalCenter12a">
    <w:name w:val="NormalCenter12a"/>
    <w:basedOn w:val="Normal"/>
    <w:rsid w:val="00C86C74"/>
    <w:pPr>
      <w:spacing w:after="240"/>
      <w:jc w:val="center"/>
    </w:pPr>
  </w:style>
  <w:style w:type="paragraph" w:customStyle="1" w:styleId="CoverReference">
    <w:name w:val="CoverReference"/>
    <w:basedOn w:val="Normal"/>
    <w:rsid w:val="00C86C7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86C7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86C7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86C7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86C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C74"/>
    <w:rPr>
      <w:sz w:val="24"/>
      <w:lang w:val="ga-IE"/>
    </w:rPr>
  </w:style>
  <w:style w:type="paragraph" w:customStyle="1" w:styleId="AmNumberTabs">
    <w:name w:val="AmNumberTabs"/>
    <w:basedOn w:val="Normal"/>
    <w:rsid w:val="00C86C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C86C74"/>
    <w:pPr>
      <w:spacing w:before="720" w:after="240"/>
      <w:jc w:val="center"/>
    </w:pPr>
  </w:style>
  <w:style w:type="paragraph" w:customStyle="1" w:styleId="EPBody">
    <w:name w:val="EPBody"/>
    <w:basedOn w:val="Normal"/>
    <w:rsid w:val="00C86C7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86C7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C86C7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86C7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86C74"/>
    <w:rPr>
      <w:sz w:val="18"/>
    </w:rPr>
  </w:style>
  <w:style w:type="character" w:styleId="Hyperlink">
    <w:name w:val="Hyperlink"/>
    <w:uiPriority w:val="99"/>
    <w:unhideWhenUsed/>
    <w:rsid w:val="00C86C7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C86C74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C86C74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C86C7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uiPriority w:val="99"/>
    <w:rsid w:val="00C86C74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C86C74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C86C74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C86C74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C86C74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C86C74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C86C74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C86C74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C86C74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6C74"/>
    <w:rPr>
      <w:rFonts w:eastAsiaTheme="minorHAnsi"/>
      <w:lang w:val="ga-IE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86C74"/>
    <w:rPr>
      <w:rFonts w:eastAsiaTheme="minorHAns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86C74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val="en-GB" w:eastAsia="en-US"/>
    </w:rPr>
  </w:style>
  <w:style w:type="character" w:customStyle="1" w:styleId="FooterChar1">
    <w:name w:val="Footer Char1"/>
    <w:basedOn w:val="DefaultParagraphFont"/>
    <w:rsid w:val="00C86C74"/>
    <w:rPr>
      <w:sz w:val="24"/>
      <w:lang w:val="ga-IE"/>
    </w:rPr>
  </w:style>
  <w:style w:type="paragraph" w:styleId="TableofFigures">
    <w:name w:val="table of figures"/>
    <w:basedOn w:val="Normal"/>
    <w:next w:val="Normal"/>
    <w:uiPriority w:val="99"/>
    <w:unhideWhenUsed/>
    <w:rsid w:val="00C86C74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C86C74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C86C74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C86C7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C86C7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C86C74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C86C74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C86C74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C86C74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86C74"/>
    <w:rPr>
      <w:rFonts w:eastAsiaTheme="minorHAnsi"/>
      <w:b/>
      <w:bCs/>
      <w:lang w:val="ga-I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86C74"/>
    <w:rPr>
      <w:b/>
      <w:bCs/>
    </w:rPr>
  </w:style>
  <w:style w:type="character" w:customStyle="1" w:styleId="CommentSubjectChar1">
    <w:name w:val="Comment Subject Char1"/>
    <w:basedOn w:val="CommentTextChar"/>
    <w:rsid w:val="00C86C74"/>
    <w:rPr>
      <w:rFonts w:eastAsiaTheme="minorHAnsi"/>
      <w:b/>
      <w:bCs/>
      <w:lang w:val="ga-IE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C86C74"/>
    <w:rPr>
      <w:rFonts w:ascii="Segoe UI" w:eastAsiaTheme="minorHAnsi" w:hAnsi="Segoe UI" w:cs="Segoe UI"/>
      <w:sz w:val="18"/>
      <w:szCs w:val="18"/>
      <w:lang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C86C74"/>
    <w:pPr>
      <w:widowControl/>
      <w:jc w:val="both"/>
    </w:pPr>
    <w:rPr>
      <w:rFonts w:ascii="Segoe UI" w:eastAsiaTheme="minorHAnsi" w:hAnsi="Segoe UI" w:cs="Segoe UI"/>
      <w:sz w:val="18"/>
      <w:szCs w:val="18"/>
      <w:lang w:val="en-GB" w:eastAsia="en-US"/>
    </w:rPr>
  </w:style>
  <w:style w:type="character" w:customStyle="1" w:styleId="BalloonTextChar1">
    <w:name w:val="Balloon Text Char1"/>
    <w:basedOn w:val="DefaultParagraphFont"/>
    <w:rsid w:val="00C86C74"/>
    <w:rPr>
      <w:rFonts w:ascii="Segoe UI" w:hAnsi="Segoe UI" w:cs="Segoe UI"/>
      <w:sz w:val="18"/>
      <w:szCs w:val="18"/>
      <w:lang w:val="ga-IE"/>
    </w:rPr>
  </w:style>
  <w:style w:type="paragraph" w:styleId="Revision">
    <w:name w:val="Revision"/>
    <w:uiPriority w:val="99"/>
    <w:rsid w:val="00C86C74"/>
    <w:rPr>
      <w:rFonts w:eastAsiaTheme="minorHAnsi"/>
      <w:sz w:val="24"/>
      <w:szCs w:val="22"/>
      <w:lang w:val="ga-IE" w:eastAsia="en-US"/>
    </w:rPr>
  </w:style>
  <w:style w:type="character" w:customStyle="1" w:styleId="ListParagraphChar">
    <w:name w:val="List Paragraph Char"/>
    <w:aliases w:val="1st level - Bullet List Paragraph Char,3 Char,Colorful List Accent 1 Char,Lettre d'introduction Char,List 1 Char,List Paragraph11 Char,Liste couleur - Accent 11 Char,Normal punkter Char,OBC Bullet Char,Paragraphe EI Char,b Char"/>
    <w:basedOn w:val="DefaultParagraphFont"/>
    <w:link w:val="ListParagraph"/>
    <w:uiPriority w:val="34"/>
    <w:qFormat/>
    <w:locked/>
    <w:rsid w:val="00C86C74"/>
  </w:style>
  <w:style w:type="paragraph" w:styleId="ListParagraph">
    <w:name w:val="List Paragraph"/>
    <w:aliases w:val="1st level - Bullet List Paragraph,3,Colorful List Accent 1,Lettre d'introduction,List 1,List Paragraph11,Liste couleur - Accent 11,Normal punkter,OBC Bullet,Paragraphe EI,Paragraphe de liste1,Paragraphe de liste11,Paragraphe de liste2,b"/>
    <w:basedOn w:val="Normal"/>
    <w:link w:val="ListParagraphChar"/>
    <w:uiPriority w:val="34"/>
    <w:qFormat/>
    <w:rsid w:val="00C86C74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C86C74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C86C74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C86C74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C86C74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C86C74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C86C74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C86C74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2001+ Fußnotenzeichen,Exposant 3 Point,Footnote reference number,Odwołanie przypisu,Superscript 6 Point,number"/>
    <w:basedOn w:val="Normal"/>
    <w:uiPriority w:val="99"/>
    <w:qFormat/>
    <w:rsid w:val="00C86C74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C86C7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ga-IE" w:eastAsia="en-US"/>
    </w:rPr>
  </w:style>
  <w:style w:type="character" w:customStyle="1" w:styleId="hllevel3Char">
    <w:name w:val="hl level 3 Char"/>
    <w:basedOn w:val="DefaultParagraphFont"/>
    <w:link w:val="hllevel3"/>
    <w:locked/>
    <w:rsid w:val="00C86C74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C86C74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C86C7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C86C74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C86C74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C86C74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C86C74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C86C74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C86C74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C86C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86C74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86C74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C86C74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C86C74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C86C74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C86C74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C86C74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C86C74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C86C74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C86C7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C86C7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C86C74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C86C74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C86C74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C86C74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C86C74"/>
    <w:pPr>
      <w:numPr>
        <w:numId w:val="3"/>
      </w:numPr>
    </w:pPr>
  </w:style>
  <w:style w:type="paragraph" w:customStyle="1" w:styleId="Tiret1">
    <w:name w:val="Tiret 1"/>
    <w:basedOn w:val="Point1"/>
    <w:rsid w:val="00C86C74"/>
    <w:pPr>
      <w:numPr>
        <w:numId w:val="4"/>
      </w:numPr>
    </w:pPr>
  </w:style>
  <w:style w:type="paragraph" w:customStyle="1" w:styleId="Tiret3">
    <w:name w:val="Tiret 3"/>
    <w:basedOn w:val="Point3"/>
    <w:rsid w:val="00C86C74"/>
    <w:pPr>
      <w:numPr>
        <w:numId w:val="5"/>
      </w:numPr>
    </w:pPr>
  </w:style>
  <w:style w:type="paragraph" w:customStyle="1" w:styleId="Tiret4">
    <w:name w:val="Tiret 4"/>
    <w:basedOn w:val="Point4"/>
    <w:rsid w:val="00C86C74"/>
    <w:pPr>
      <w:numPr>
        <w:numId w:val="6"/>
      </w:numPr>
    </w:pPr>
  </w:style>
  <w:style w:type="paragraph" w:customStyle="1" w:styleId="Tiret5">
    <w:name w:val="Tiret 5"/>
    <w:basedOn w:val="Point5"/>
    <w:rsid w:val="00C86C74"/>
    <w:pPr>
      <w:numPr>
        <w:numId w:val="7"/>
      </w:numPr>
    </w:pPr>
  </w:style>
  <w:style w:type="paragraph" w:customStyle="1" w:styleId="PointDouble0">
    <w:name w:val="PointDouble 0"/>
    <w:basedOn w:val="Normal"/>
    <w:rsid w:val="00C86C74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C86C74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C86C74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C86C74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C86C74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C86C74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C86C74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C86C74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C86C74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C86C74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C86C7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C86C7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C86C7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C86C7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C86C74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C86C74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C86C74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86C7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86C7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86C7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86C7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86C7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86C7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86C74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C86C74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86C74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86C7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86C7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86C74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86C7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86C7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86C74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86C74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86C74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86C74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86C74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C86C7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C86C74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C86C74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C86C74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C86C7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C86C74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C86C74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C86C74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C86C74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C86C74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C86C74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C86C74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C86C74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C86C74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C86C7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86C7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86C7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86C7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86C74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86C74"/>
    <w:pPr>
      <w:spacing w:after="240"/>
    </w:pPr>
  </w:style>
  <w:style w:type="paragraph" w:customStyle="1" w:styleId="Languesfaisantfoi">
    <w:name w:val="Langues faisant foi"/>
    <w:basedOn w:val="Normal"/>
    <w:next w:val="Normal"/>
    <w:rsid w:val="00C86C7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C86C74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86C74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86C7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86C74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C86C74"/>
  </w:style>
  <w:style w:type="paragraph" w:customStyle="1" w:styleId="TitreobjetPagedecouverture">
    <w:name w:val="Titre objet (Page de couverture)"/>
    <w:basedOn w:val="Titreobjet"/>
    <w:next w:val="IntrtEEEPagedecouverture"/>
    <w:rsid w:val="00C86C74"/>
  </w:style>
  <w:style w:type="paragraph" w:customStyle="1" w:styleId="IntrtEEEPagedecouverture">
    <w:name w:val="Intérêt EEE (Page de couverture)"/>
    <w:basedOn w:val="IntrtEEE"/>
    <w:next w:val="Rfrencecroise"/>
    <w:rsid w:val="00C86C74"/>
  </w:style>
  <w:style w:type="paragraph" w:customStyle="1" w:styleId="Rfrencecroise">
    <w:name w:val="Référence croisée"/>
    <w:basedOn w:val="Normal"/>
    <w:rsid w:val="00C86C74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86C74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C86C7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86C74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C86C74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C86C74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C86C7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86C74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C86C7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86C7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C86C7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C86C7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86C7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86C74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C86C74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86C74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86C74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C86C74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C86C74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86C74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C86C7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C86C7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86C7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86C74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C86C7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C86C74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86C74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C86C74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C86C74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C86C74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C86C74"/>
  </w:style>
  <w:style w:type="paragraph" w:customStyle="1" w:styleId="StatutPagedecouverture">
    <w:name w:val="Statut (Page de couverture)"/>
    <w:basedOn w:val="Statut"/>
    <w:next w:val="TypedudocumentPagedecouverture"/>
    <w:rsid w:val="00C86C74"/>
  </w:style>
  <w:style w:type="paragraph" w:customStyle="1" w:styleId="Volume">
    <w:name w:val="Volume"/>
    <w:basedOn w:val="Normal"/>
    <w:next w:val="Confidentialit"/>
    <w:rsid w:val="00C86C74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C86C74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C86C74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C86C74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C86C74"/>
  </w:style>
  <w:style w:type="paragraph" w:customStyle="1" w:styleId="ObjetacteprincipalPagedecouverture">
    <w:name w:val="Objet acte principal (Page de couverture)"/>
    <w:basedOn w:val="Objetacteprincipal"/>
    <w:next w:val="Rfrencecroise"/>
    <w:rsid w:val="00C86C74"/>
  </w:style>
  <w:style w:type="paragraph" w:customStyle="1" w:styleId="AccompagnantPagedecouverture">
    <w:name w:val="Accompagnant (Page de couverture)"/>
    <w:basedOn w:val="Accompagnant"/>
    <w:next w:val="TypeacteprincipalPagedecouverture"/>
    <w:rsid w:val="00C86C74"/>
  </w:style>
  <w:style w:type="paragraph" w:customStyle="1" w:styleId="LanguesfaisantfoiPagedecouverture">
    <w:name w:val="Langues faisant foi (Page de couverture)"/>
    <w:basedOn w:val="Normal"/>
    <w:next w:val="Normal"/>
    <w:rsid w:val="00C86C74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C86C74"/>
    <w:rPr>
      <w:sz w:val="16"/>
      <w:szCs w:val="16"/>
    </w:rPr>
  </w:style>
  <w:style w:type="character" w:customStyle="1" w:styleId="italic">
    <w:name w:val="italic"/>
    <w:basedOn w:val="DefaultParagraphFont"/>
    <w:rsid w:val="00C86C74"/>
  </w:style>
  <w:style w:type="character" w:customStyle="1" w:styleId="sub">
    <w:name w:val="sub"/>
    <w:basedOn w:val="DefaultParagraphFont"/>
    <w:rsid w:val="00C86C74"/>
  </w:style>
  <w:style w:type="character" w:customStyle="1" w:styleId="italics">
    <w:name w:val="italics"/>
    <w:basedOn w:val="DefaultParagraphFont"/>
    <w:rsid w:val="00C86C74"/>
  </w:style>
  <w:style w:type="character" w:customStyle="1" w:styleId="normaltextrun">
    <w:name w:val="normaltextrun"/>
    <w:basedOn w:val="DefaultParagraphFont"/>
    <w:rsid w:val="00C86C74"/>
  </w:style>
  <w:style w:type="character" w:customStyle="1" w:styleId="Marker">
    <w:name w:val="Marker"/>
    <w:basedOn w:val="DefaultParagraphFont"/>
    <w:rsid w:val="00C86C74"/>
    <w:rPr>
      <w:color w:val="0000FF"/>
    </w:rPr>
  </w:style>
  <w:style w:type="character" w:customStyle="1" w:styleId="Marker1">
    <w:name w:val="Marker1"/>
    <w:basedOn w:val="DefaultParagraphFont"/>
    <w:rsid w:val="00C86C74"/>
    <w:rPr>
      <w:color w:val="008000"/>
    </w:rPr>
  </w:style>
  <w:style w:type="character" w:customStyle="1" w:styleId="Marker2">
    <w:name w:val="Marker2"/>
    <w:basedOn w:val="DefaultParagraphFont"/>
    <w:rsid w:val="00C86C74"/>
    <w:rPr>
      <w:color w:val="FF0000"/>
    </w:rPr>
  </w:style>
  <w:style w:type="character" w:customStyle="1" w:styleId="Added">
    <w:name w:val="Added"/>
    <w:basedOn w:val="DefaultParagraphFont"/>
    <w:rsid w:val="00C86C74"/>
    <w:rPr>
      <w:b/>
      <w:bCs w:val="0"/>
      <w:u w:val="single"/>
    </w:rPr>
  </w:style>
  <w:style w:type="character" w:customStyle="1" w:styleId="Deleted">
    <w:name w:val="Deleted"/>
    <w:basedOn w:val="DefaultParagraphFont"/>
    <w:rsid w:val="00C86C74"/>
    <w:rPr>
      <w:strike/>
    </w:rPr>
  </w:style>
  <w:style w:type="paragraph" w:customStyle="1" w:styleId="Point">
    <w:name w:val="Point"/>
    <w:basedOn w:val="Point2number"/>
    <w:rsid w:val="00C86C74"/>
  </w:style>
  <w:style w:type="paragraph" w:customStyle="1" w:styleId="LowlTitreobjet">
    <w:name w:val="LowlTitre objet"/>
    <w:basedOn w:val="Titreobjet"/>
    <w:uiPriority w:val="99"/>
    <w:rsid w:val="00C86C74"/>
  </w:style>
  <w:style w:type="paragraph" w:customStyle="1" w:styleId="Tiret2">
    <w:name w:val="Tiret 2"/>
    <w:basedOn w:val="Point2"/>
    <w:rsid w:val="00C86C74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C86C74"/>
    <w:pPr>
      <w:numPr>
        <w:numId w:val="17"/>
      </w:numPr>
    </w:pPr>
  </w:style>
  <w:style w:type="paragraph" w:customStyle="1" w:styleId="ProjRap">
    <w:name w:val="ProjRap"/>
    <w:basedOn w:val="Normal"/>
    <w:rsid w:val="00C86C74"/>
    <w:pPr>
      <w:tabs>
        <w:tab w:val="right" w:pos="9356"/>
      </w:tabs>
    </w:pPr>
    <w:rPr>
      <w:b/>
      <w:noProof/>
    </w:rPr>
  </w:style>
  <w:style w:type="paragraph" w:styleId="EndnoteText">
    <w:name w:val="endnote text"/>
    <w:basedOn w:val="Normal"/>
    <w:link w:val="EndnoteTextChar"/>
    <w:uiPriority w:val="99"/>
    <w:rsid w:val="00C86C74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86C74"/>
    <w:rPr>
      <w:lang w:val="ga-IE"/>
    </w:rPr>
  </w:style>
  <w:style w:type="character" w:styleId="EndnoteReference">
    <w:name w:val="endnote reference"/>
    <w:basedOn w:val="DefaultParagraphFont"/>
    <w:uiPriority w:val="99"/>
    <w:rsid w:val="00C86C74"/>
    <w:rPr>
      <w:vertAlign w:val="superscript"/>
    </w:rPr>
  </w:style>
  <w:style w:type="paragraph" w:customStyle="1" w:styleId="PELeft">
    <w:name w:val="PELeft"/>
    <w:basedOn w:val="Normal"/>
    <w:rsid w:val="00C86C7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Normal12a">
    <w:name w:val="Normal12a"/>
    <w:basedOn w:val="Normal"/>
    <w:rsid w:val="00C86C74"/>
    <w:pPr>
      <w:spacing w:after="240"/>
    </w:pPr>
  </w:style>
  <w:style w:type="paragraph" w:customStyle="1" w:styleId="RollCallVotes">
    <w:name w:val="RollCallVotes"/>
    <w:basedOn w:val="Normal"/>
    <w:rsid w:val="00C86C7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86C7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86C7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86C74"/>
    <w:pPr>
      <w:spacing w:before="120" w:after="120"/>
    </w:pPr>
    <w:rPr>
      <w:snapToGrid w:val="0"/>
      <w:sz w:val="16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B27431"/>
    <w:rPr>
      <w:sz w:val="24"/>
      <w:lang w:val="ga-IE"/>
    </w:rPr>
  </w:style>
  <w:style w:type="paragraph" w:customStyle="1" w:styleId="AmDocTypeTab">
    <w:name w:val="AmDocTypeTab"/>
    <w:basedOn w:val="Normal"/>
    <w:rsid w:val="00B27431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B27431"/>
    <w:pPr>
      <w:spacing w:before="240" w:after="240"/>
      <w:jc w:val="right"/>
    </w:pPr>
  </w:style>
  <w:style w:type="paragraph" w:customStyle="1" w:styleId="AmDateTab">
    <w:name w:val="AmDateTab"/>
    <w:basedOn w:val="Normal"/>
    <w:rsid w:val="00B27431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B27431"/>
  </w:style>
  <w:style w:type="paragraph" w:customStyle="1" w:styleId="NormalJustified">
    <w:name w:val="Normal Justified"/>
    <w:basedOn w:val="Normal"/>
    <w:rsid w:val="00B2743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2743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2743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2743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2743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2743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B2743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2743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2743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2743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2743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2743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2743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2743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2743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2743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27431"/>
    <w:pPr>
      <w:widowControl/>
      <w:numPr>
        <w:ilvl w:val="1"/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27431"/>
    <w:pPr>
      <w:widowControl/>
      <w:numPr>
        <w:ilvl w:val="3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27431"/>
    <w:pPr>
      <w:widowControl/>
      <w:numPr>
        <w:ilvl w:val="5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27431"/>
    <w:pPr>
      <w:widowControl/>
      <w:numPr>
        <w:ilvl w:val="7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27431"/>
    <w:pPr>
      <w:widowControl/>
      <w:numPr>
        <w:ilvl w:val="8"/>
        <w:numId w:val="2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27431"/>
    <w:pPr>
      <w:widowControl/>
      <w:numPr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27431"/>
    <w:pPr>
      <w:widowControl/>
      <w:numPr>
        <w:ilvl w:val="2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27431"/>
    <w:pPr>
      <w:widowControl/>
      <w:numPr>
        <w:ilvl w:val="4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27431"/>
    <w:pPr>
      <w:widowControl/>
      <w:numPr>
        <w:ilvl w:val="6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27431"/>
    <w:pPr>
      <w:widowControl/>
      <w:numPr>
        <w:numId w:val="3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27431"/>
    <w:pPr>
      <w:widowControl/>
      <w:numPr>
        <w:ilvl w:val="1"/>
        <w:numId w:val="3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27431"/>
    <w:pPr>
      <w:widowControl/>
      <w:numPr>
        <w:ilvl w:val="2"/>
        <w:numId w:val="3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27431"/>
    <w:pPr>
      <w:widowControl/>
      <w:numPr>
        <w:ilvl w:val="3"/>
        <w:numId w:val="3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27431"/>
    <w:pPr>
      <w:widowControl/>
      <w:numPr>
        <w:ilvl w:val="4"/>
        <w:numId w:val="3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27431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27431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27431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27431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27431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27431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27431"/>
    <w:pPr>
      <w:numPr>
        <w:numId w:val="23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B27431"/>
    <w:pPr>
      <w:numPr>
        <w:numId w:val="24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B27431"/>
    <w:pPr>
      <w:numPr>
        <w:numId w:val="25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B27431"/>
    <w:pPr>
      <w:numPr>
        <w:numId w:val="26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B27431"/>
    <w:pPr>
      <w:numPr>
        <w:numId w:val="27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B2743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27431"/>
    <w:pPr>
      <w:numPr>
        <w:numId w:val="3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B27431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B27431"/>
    <w:pPr>
      <w:numPr>
        <w:numId w:val="3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B27431"/>
    <w:pPr>
      <w:jc w:val="center"/>
    </w:pPr>
  </w:style>
  <w:style w:type="paragraph" w:customStyle="1" w:styleId="Jardin">
    <w:name w:val="Jardin"/>
    <w:basedOn w:val="Normal"/>
    <w:rsid w:val="00B2743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2743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2743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2743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27431"/>
    <w:rPr>
      <w:b/>
    </w:rPr>
  </w:style>
  <w:style w:type="paragraph" w:customStyle="1" w:styleId="Annex">
    <w:name w:val="Annex"/>
    <w:basedOn w:val="Normal"/>
    <w:next w:val="Normal"/>
    <w:rsid w:val="00B2743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2743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2743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2743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2743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B2743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27431"/>
    <w:rPr>
      <w:rFonts w:eastAsia="Calibri"/>
      <w:sz w:val="24"/>
      <w:szCs w:val="22"/>
      <w:lang w:val="ga-IE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27431"/>
    <w:rPr>
      <w:rFonts w:eastAsia="Calibri"/>
      <w:sz w:val="2"/>
      <w:szCs w:val="22"/>
      <w:lang w:val="ga-IE" w:eastAsia="en-US"/>
    </w:rPr>
  </w:style>
  <w:style w:type="paragraph" w:customStyle="1" w:styleId="FooterText">
    <w:name w:val="Footer Text"/>
    <w:basedOn w:val="Normal"/>
    <w:rsid w:val="00B2743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B27431"/>
    <w:rPr>
      <w:color w:val="808080"/>
    </w:rPr>
  </w:style>
  <w:style w:type="character" w:customStyle="1" w:styleId="rynqvb">
    <w:name w:val="rynqvb"/>
    <w:basedOn w:val="DefaultParagraphFont"/>
    <w:rsid w:val="00B27431"/>
  </w:style>
  <w:style w:type="character" w:customStyle="1" w:styleId="Hyperlink1">
    <w:name w:val="Hyperlink1"/>
    <w:basedOn w:val="DefaultParagraphFont"/>
    <w:uiPriority w:val="99"/>
    <w:unhideWhenUsed/>
    <w:rsid w:val="00B27431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7431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B27431"/>
  </w:style>
  <w:style w:type="character" w:customStyle="1" w:styleId="highlight">
    <w:name w:val="highlight"/>
    <w:basedOn w:val="DefaultParagraphFont"/>
    <w:rsid w:val="00B27431"/>
  </w:style>
  <w:style w:type="character" w:customStyle="1" w:styleId="ui-provider">
    <w:name w:val="ui-provider"/>
    <w:basedOn w:val="DefaultParagraphFont"/>
    <w:rsid w:val="00B27431"/>
  </w:style>
  <w:style w:type="paragraph" w:styleId="BodyText">
    <w:name w:val="Body Text"/>
    <w:basedOn w:val="Normal"/>
    <w:link w:val="BodyTextChar"/>
    <w:uiPriority w:val="99"/>
    <w:unhideWhenUsed/>
    <w:rsid w:val="00B27431"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B27431"/>
    <w:rPr>
      <w:rFonts w:ascii="Calibri" w:eastAsia="Calibri" w:hAnsi="Calibri" w:cs="Calibri"/>
      <w:sz w:val="25"/>
      <w:szCs w:val="25"/>
      <w:lang w:val="ga-IE" w:eastAsia="en-US"/>
    </w:rPr>
  </w:style>
  <w:style w:type="paragraph" w:customStyle="1" w:styleId="modref">
    <w:name w:val="modref"/>
    <w:basedOn w:val="Normal"/>
    <w:rsid w:val="00B27431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B27431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B27431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B27431"/>
    <w:rPr>
      <w:rFonts w:ascii="Calibri" w:hAnsi="Calibri"/>
      <w:szCs w:val="21"/>
      <w:lang w:val="ga-IE"/>
    </w:rPr>
  </w:style>
  <w:style w:type="paragraph" w:customStyle="1" w:styleId="numberedparagraph">
    <w:name w:val="numbered paragraph"/>
    <w:basedOn w:val="Normal"/>
    <w:qFormat/>
    <w:rsid w:val="00B27431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B27431"/>
  </w:style>
  <w:style w:type="character" w:styleId="Strong">
    <w:name w:val="Strong"/>
    <w:basedOn w:val="DefaultParagraphFont"/>
    <w:uiPriority w:val="22"/>
    <w:qFormat/>
    <w:rsid w:val="00B27431"/>
    <w:rPr>
      <w:b/>
    </w:rPr>
  </w:style>
  <w:style w:type="character" w:customStyle="1" w:styleId="eop">
    <w:name w:val="eop"/>
    <w:basedOn w:val="DefaultParagraphFont"/>
    <w:rsid w:val="00B27431"/>
  </w:style>
  <w:style w:type="paragraph" w:customStyle="1" w:styleId="xmsonormal">
    <w:name w:val="x_msonormal"/>
    <w:basedOn w:val="Normal"/>
    <w:uiPriority w:val="99"/>
    <w:rsid w:val="00B27431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B27431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B27431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B27431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B27431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B27431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B27431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B27431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B27431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B27431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B27431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B27431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B27431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B27431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B2743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B2743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B27431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sid w:val="00B27431"/>
    <w:rPr>
      <w:rFonts w:eastAsia="Calibri" w:cs="Calibri"/>
      <w:sz w:val="24"/>
      <w:szCs w:val="22"/>
      <w:lang w:val="ga-IE" w:eastAsia="en-US"/>
    </w:rPr>
  </w:style>
  <w:style w:type="paragraph" w:customStyle="1" w:styleId="nbbordered">
    <w:name w:val="nb bordered"/>
    <w:basedOn w:val="Normal"/>
    <w:rsid w:val="00B2743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B27431"/>
    <w:rPr>
      <w:rFonts w:eastAsia="Calibri" w:cs="Calibri"/>
      <w:b/>
      <w:sz w:val="24"/>
      <w:szCs w:val="22"/>
      <w:lang w:val="ga-IE" w:eastAsia="en-US"/>
    </w:rPr>
  </w:style>
  <w:style w:type="paragraph" w:customStyle="1" w:styleId="DeltaViewTableHeading">
    <w:name w:val="DeltaView Table Heading"/>
    <w:basedOn w:val="Normal"/>
    <w:uiPriority w:val="99"/>
    <w:rsid w:val="00B27431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B27431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B27431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ga-IE" w:eastAsia="fr-BE"/>
    </w:rPr>
  </w:style>
  <w:style w:type="character" w:customStyle="1" w:styleId="DeltaViewInsertion">
    <w:name w:val="DeltaView Insertion"/>
    <w:uiPriority w:val="99"/>
    <w:rsid w:val="00B27431"/>
    <w:rPr>
      <w:b/>
      <w:i/>
      <w:color w:val="FF0000"/>
    </w:rPr>
  </w:style>
  <w:style w:type="character" w:customStyle="1" w:styleId="DeltaViewDeletion">
    <w:name w:val="DeltaView Deletion"/>
    <w:uiPriority w:val="99"/>
    <w:rsid w:val="00B27431"/>
    <w:rPr>
      <w:strike/>
      <w:color w:val="000000"/>
    </w:rPr>
  </w:style>
  <w:style w:type="character" w:customStyle="1" w:styleId="DeltaViewMoveSource">
    <w:name w:val="DeltaView Move Source"/>
    <w:uiPriority w:val="99"/>
    <w:rsid w:val="00B27431"/>
    <w:rPr>
      <w:strike/>
      <w:color w:val="000000"/>
    </w:rPr>
  </w:style>
  <w:style w:type="character" w:customStyle="1" w:styleId="DeltaViewMoveDestination">
    <w:name w:val="DeltaView Move Destination"/>
    <w:uiPriority w:val="99"/>
    <w:rsid w:val="00B27431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B27431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B27431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B27431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B27431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B27431"/>
    <w:rPr>
      <w:color w:val="000000"/>
    </w:rPr>
  </w:style>
  <w:style w:type="character" w:customStyle="1" w:styleId="DeltaViewMovedDeletion">
    <w:name w:val="DeltaView Moved Deletion"/>
    <w:uiPriority w:val="99"/>
    <w:rsid w:val="00B27431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B27431"/>
    <w:rPr>
      <w:color w:val="000000"/>
    </w:rPr>
  </w:style>
  <w:style w:type="character" w:customStyle="1" w:styleId="DeltaViewStyleChangeText">
    <w:name w:val="DeltaView Style Change Text"/>
    <w:uiPriority w:val="99"/>
    <w:rsid w:val="00B27431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B27431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B27431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B27431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B27431"/>
    <w:rPr>
      <w:color w:val="000000"/>
    </w:rPr>
  </w:style>
  <w:style w:type="paragraph" w:customStyle="1" w:styleId="Normale">
    <w:name w:val="Normale"/>
    <w:qFormat/>
    <w:rsid w:val="00B27431"/>
    <w:pPr>
      <w:spacing w:before="120" w:after="120" w:line="360" w:lineRule="auto"/>
      <w:jc w:val="both"/>
    </w:pPr>
    <w:rPr>
      <w:rFonts w:eastAsia="Calibri"/>
      <w:sz w:val="24"/>
      <w:szCs w:val="22"/>
      <w:lang w:val="ga-IE" w:eastAsia="en-US"/>
    </w:rPr>
  </w:style>
  <w:style w:type="character" w:customStyle="1" w:styleId="Italic0">
    <w:name w:val="Italic"/>
    <w:uiPriority w:val="1"/>
    <w:qFormat/>
    <w:rsid w:val="00B27431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B27431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B2743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B2743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B2743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B2743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B2743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B2743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B2743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B2743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B27431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B27431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B27431"/>
    <w:pPr>
      <w:widowControl/>
      <w:numPr>
        <w:numId w:val="34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B27431"/>
    <w:pPr>
      <w:widowControl/>
      <w:numPr>
        <w:numId w:val="3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B27431"/>
    <w:pPr>
      <w:widowControl/>
      <w:numPr>
        <w:numId w:val="36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B27431"/>
    <w:pPr>
      <w:widowControl/>
      <w:numPr>
        <w:numId w:val="37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B27431"/>
    <w:pPr>
      <w:widowControl/>
      <w:numPr>
        <w:numId w:val="38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B27431"/>
    <w:pPr>
      <w:widowControl/>
      <w:numPr>
        <w:numId w:val="39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B27431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B2743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B27431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B27431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B2743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B27431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B27431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B27431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B27431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B27431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B27431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B2743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B27431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B27431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B27431"/>
    <w:pPr>
      <w:spacing w:before="240"/>
    </w:pPr>
  </w:style>
  <w:style w:type="paragraph" w:customStyle="1" w:styleId="Accordtitre">
    <w:name w:val="Accord titre"/>
    <w:basedOn w:val="Normal"/>
    <w:rsid w:val="00B27431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B27431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B27431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B27431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B27431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B2743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B2743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B2743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B27431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B27431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B27431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B27431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B27431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B27431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B27431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B27431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B27431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B27431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B27431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B27431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B27431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B27431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B27431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B27431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B27431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B27431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B27431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B27431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B27431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B27431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B2743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B27431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B27431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B27431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27431"/>
    <w:rPr>
      <w:b/>
      <w:i/>
    </w:rPr>
  </w:style>
  <w:style w:type="character" w:customStyle="1" w:styleId="diff-tte-removed">
    <w:name w:val="diff-tte-removed"/>
    <w:basedOn w:val="DefaultParagraphFont"/>
    <w:rsid w:val="00B27431"/>
    <w:rPr>
      <w:strike/>
    </w:rPr>
  </w:style>
  <w:style w:type="paragraph" w:customStyle="1" w:styleId="point30">
    <w:name w:val="point3"/>
    <w:basedOn w:val="Normal"/>
    <w:rsid w:val="00B27431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27431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B27431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2743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1"/>
    <w:uiPriority w:val="99"/>
    <w:rsid w:val="00B27431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B27431"/>
    <w:rPr>
      <w:rFonts w:ascii="Consolas" w:hAnsi="Consolas"/>
      <w:sz w:val="21"/>
      <w:szCs w:val="21"/>
      <w:lang w:val="ga-IE"/>
    </w:rPr>
  </w:style>
  <w:style w:type="paragraph" w:styleId="DocumentMap">
    <w:name w:val="Document Map"/>
    <w:basedOn w:val="Normal"/>
    <w:link w:val="DocumentMapChar1"/>
    <w:uiPriority w:val="99"/>
    <w:rsid w:val="00B27431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B27431"/>
    <w:rPr>
      <w:rFonts w:ascii="Segoe UI" w:hAnsi="Segoe UI" w:cs="Segoe UI"/>
      <w:sz w:val="16"/>
      <w:szCs w:val="16"/>
      <w:lang w:val="ga-IE"/>
    </w:rPr>
  </w:style>
  <w:style w:type="numbering" w:customStyle="1" w:styleId="NoList2">
    <w:name w:val="No List2"/>
    <w:next w:val="NoList"/>
    <w:uiPriority w:val="99"/>
    <w:semiHidden/>
    <w:unhideWhenUsed/>
    <w:rsid w:val="000B7016"/>
  </w:style>
  <w:style w:type="character" w:customStyle="1" w:styleId="Mention1">
    <w:name w:val="Mention1"/>
    <w:basedOn w:val="DefaultParagraphFont"/>
    <w:uiPriority w:val="99"/>
    <w:unhideWhenUsed/>
    <w:rsid w:val="000B7016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B7016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0B7016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0B70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5E191-3577-4313-B432-BBCF227A3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396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2025-01-29T08:39:00Z</dcterms:created>
  <dcterms:modified xsi:type="dcterms:W3CDTF">2025-01-29T08:39:00Z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