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63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6329" w:rsidRDefault="00F4264E" w:rsidP="0010095E">
            <w:pPr>
              <w:pStyle w:val="EPName"/>
            </w:pPr>
            <w:r w:rsidRPr="00756329">
              <w:t>Europski parlament</w:t>
            </w:r>
          </w:p>
          <w:p w:rsidR="00751A4A" w:rsidRPr="007563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04CA">
              <w:t>2019</w:t>
            </w:r>
            <w:r w:rsidRPr="00756329">
              <w:t>-</w:t>
            </w:r>
            <w:r w:rsidRPr="006E04C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56329" w:rsidRDefault="00187494" w:rsidP="0010095E">
            <w:pPr>
              <w:pStyle w:val="EPLogo"/>
            </w:pPr>
            <w:r w:rsidRPr="007563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6329" w:rsidRDefault="00D058B8" w:rsidP="004C5D52">
      <w:pPr>
        <w:pStyle w:val="LineTop"/>
      </w:pPr>
    </w:p>
    <w:p w:rsidR="00680577" w:rsidRPr="00756329" w:rsidRDefault="00F4264E" w:rsidP="00680577">
      <w:pPr>
        <w:pStyle w:val="EPBodyTA1"/>
      </w:pPr>
      <w:r w:rsidRPr="00756329">
        <w:t>USVOJENI TEKSTOVI</w:t>
      </w:r>
    </w:p>
    <w:p w:rsidR="00D058B8" w:rsidRPr="00756329" w:rsidRDefault="00D058B8" w:rsidP="00D058B8">
      <w:pPr>
        <w:pStyle w:val="LineBottom"/>
      </w:pPr>
    </w:p>
    <w:p w:rsidR="00F4264E" w:rsidRPr="00756329" w:rsidRDefault="00F4264E" w:rsidP="00F4264E">
      <w:pPr>
        <w:pStyle w:val="ATHeading1"/>
      </w:pPr>
      <w:bookmarkStart w:id="0" w:name="TANumber"/>
      <w:r w:rsidRPr="00756329">
        <w:t>P</w:t>
      </w:r>
      <w:r w:rsidRPr="006E04CA">
        <w:t>9</w:t>
      </w:r>
      <w:r w:rsidRPr="00756329">
        <w:t>_TA(</w:t>
      </w:r>
      <w:r w:rsidRPr="006E04CA">
        <w:t>2024</w:t>
      </w:r>
      <w:r w:rsidRPr="00756329">
        <w:t>)</w:t>
      </w:r>
      <w:r w:rsidRPr="006E04CA">
        <w:t>0</w:t>
      </w:r>
      <w:r w:rsidR="00B340CC" w:rsidRPr="006E04CA">
        <w:t>295</w:t>
      </w:r>
      <w:bookmarkEnd w:id="0"/>
    </w:p>
    <w:p w:rsidR="00F4264E" w:rsidRPr="00756329" w:rsidRDefault="00F4264E" w:rsidP="00F4264E">
      <w:pPr>
        <w:pStyle w:val="ATHeading2"/>
      </w:pPr>
      <w:bookmarkStart w:id="1" w:name="title"/>
      <w:r w:rsidRPr="00756329">
        <w:t>Izmjen</w:t>
      </w:r>
      <w:r w:rsidR="00060999">
        <w:t>e</w:t>
      </w:r>
      <w:r w:rsidRPr="00756329">
        <w:t xml:space="preserve"> Direktive </w:t>
      </w:r>
      <w:r w:rsidR="00060999">
        <w:t>Solventnost II</w:t>
      </w:r>
      <w:bookmarkEnd w:id="1"/>
    </w:p>
    <w:p w:rsidR="00F4264E" w:rsidRPr="00756329" w:rsidRDefault="00F4264E" w:rsidP="00F4264E">
      <w:pPr>
        <w:rPr>
          <w:i/>
          <w:vanish/>
        </w:rPr>
      </w:pPr>
      <w:r w:rsidRPr="00756329">
        <w:rPr>
          <w:i/>
        </w:rPr>
        <w:fldChar w:fldCharType="begin"/>
      </w:r>
      <w:r w:rsidRPr="00756329">
        <w:rPr>
          <w:i/>
        </w:rPr>
        <w:instrText xml:space="preserve"> TC"(</w:instrText>
      </w:r>
      <w:bookmarkStart w:id="2" w:name="DocNumber"/>
      <w:r w:rsidRPr="00756329">
        <w:rPr>
          <w:i/>
        </w:rPr>
        <w:instrText>A</w:instrText>
      </w:r>
      <w:r w:rsidRPr="006E04CA">
        <w:rPr>
          <w:i/>
        </w:rPr>
        <w:instrText>9</w:instrText>
      </w:r>
      <w:r w:rsidRPr="00756329">
        <w:rPr>
          <w:i/>
        </w:rPr>
        <w:instrText>-</w:instrText>
      </w:r>
      <w:r w:rsidRPr="006E04CA">
        <w:rPr>
          <w:i/>
        </w:rPr>
        <w:instrText>0256</w:instrText>
      </w:r>
      <w:r w:rsidRPr="00756329">
        <w:rPr>
          <w:i/>
        </w:rPr>
        <w:instrText>/</w:instrText>
      </w:r>
      <w:r w:rsidRPr="006E04CA">
        <w:rPr>
          <w:i/>
        </w:rPr>
        <w:instrText>2023</w:instrText>
      </w:r>
      <w:bookmarkEnd w:id="2"/>
      <w:r w:rsidRPr="00756329">
        <w:rPr>
          <w:i/>
        </w:rPr>
        <w:instrText xml:space="preserve"> - Izvjestitelj: </w:instrText>
      </w:r>
      <w:proofErr w:type="spellStart"/>
      <w:r w:rsidRPr="00756329">
        <w:rPr>
          <w:i/>
        </w:rPr>
        <w:instrText>Markus</w:instrText>
      </w:r>
      <w:proofErr w:type="spellEnd"/>
      <w:r w:rsidRPr="00756329">
        <w:rPr>
          <w:i/>
        </w:rPr>
        <w:instrText xml:space="preserve"> </w:instrText>
      </w:r>
      <w:proofErr w:type="spellStart"/>
      <w:r w:rsidRPr="00756329">
        <w:rPr>
          <w:i/>
        </w:rPr>
        <w:instrText>Ferber</w:instrText>
      </w:r>
      <w:proofErr w:type="spellEnd"/>
      <w:r w:rsidRPr="00756329">
        <w:rPr>
          <w:i/>
        </w:rPr>
        <w:instrText>)"\l</w:instrText>
      </w:r>
      <w:r w:rsidRPr="006E04CA">
        <w:rPr>
          <w:i/>
        </w:rPr>
        <w:instrText>3</w:instrText>
      </w:r>
      <w:r w:rsidRPr="00756329">
        <w:rPr>
          <w:i/>
        </w:rPr>
        <w:instrText xml:space="preserve"> \n&gt; \* MERGEFORMAT </w:instrText>
      </w:r>
      <w:r w:rsidRPr="00756329">
        <w:rPr>
          <w:i/>
        </w:rPr>
        <w:fldChar w:fldCharType="end"/>
      </w:r>
    </w:p>
    <w:p w:rsidR="00F4264E" w:rsidRPr="00756329" w:rsidRDefault="00F4264E" w:rsidP="00F4264E">
      <w:pPr>
        <w:rPr>
          <w:vanish/>
        </w:rPr>
      </w:pPr>
      <w:bookmarkStart w:id="3" w:name="Commission"/>
      <w:r w:rsidRPr="00756329">
        <w:rPr>
          <w:vanish/>
        </w:rPr>
        <w:t>Odbor za ekonomsku i monetarnu politiku</w:t>
      </w:r>
      <w:bookmarkEnd w:id="3"/>
    </w:p>
    <w:p w:rsidR="00F4264E" w:rsidRPr="00756329" w:rsidRDefault="00F4264E" w:rsidP="00F4264E">
      <w:pPr>
        <w:rPr>
          <w:vanish/>
        </w:rPr>
      </w:pPr>
      <w:bookmarkStart w:id="4" w:name="PE"/>
      <w:r w:rsidRPr="00756329">
        <w:rPr>
          <w:vanish/>
        </w:rPr>
        <w:t>PE</w:t>
      </w:r>
      <w:r w:rsidRPr="006E04CA">
        <w:rPr>
          <w:vanish/>
        </w:rPr>
        <w:t>732</w:t>
      </w:r>
      <w:r w:rsidRPr="00756329">
        <w:rPr>
          <w:vanish/>
        </w:rPr>
        <w:t>.</w:t>
      </w:r>
      <w:r w:rsidRPr="006E04CA">
        <w:rPr>
          <w:vanish/>
        </w:rPr>
        <w:t>668</w:t>
      </w:r>
      <w:bookmarkEnd w:id="4"/>
    </w:p>
    <w:p w:rsidR="00F4264E" w:rsidRPr="00756329" w:rsidRDefault="00F4264E" w:rsidP="00F4264E">
      <w:pPr>
        <w:pStyle w:val="ATHeading3"/>
      </w:pPr>
      <w:bookmarkStart w:id="5" w:name="Sujet"/>
      <w:r w:rsidRPr="00756329">
        <w:t>Zakonodavna rezolu</w:t>
      </w:r>
      <w:r w:rsidR="00756329">
        <w:t xml:space="preserve">cija Europskog parlamenta od </w:t>
      </w:r>
      <w:r w:rsidR="00756329" w:rsidRPr="006E04CA">
        <w:t>23</w:t>
      </w:r>
      <w:r w:rsidRPr="00756329">
        <w:t xml:space="preserve">. </w:t>
      </w:r>
      <w:r w:rsidR="00756329">
        <w:t xml:space="preserve">travnja </w:t>
      </w:r>
      <w:r w:rsidRPr="006E04CA">
        <w:t>2024</w:t>
      </w:r>
      <w:r w:rsidRPr="00756329">
        <w:t xml:space="preserve">. o Prijedlogu direktive Europskog parlamenta i Vijeća o izmjeni Direktive </w:t>
      </w:r>
      <w:r w:rsidRPr="006E04CA">
        <w:t>2009</w:t>
      </w:r>
      <w:r w:rsidRPr="00756329">
        <w:t>/</w:t>
      </w:r>
      <w:r w:rsidRPr="006E04CA">
        <w:t>138</w:t>
      </w:r>
      <w:r w:rsidRPr="00756329">
        <w:t xml:space="preserve">/EZ u pogledu proporcionalnosti, kvalitete nadzora, izvještavanja, mjera dugoročnih jamstava, </w:t>
      </w:r>
      <w:proofErr w:type="spellStart"/>
      <w:r w:rsidRPr="00756329">
        <w:t>makrobonitetnih</w:t>
      </w:r>
      <w:proofErr w:type="spellEnd"/>
      <w:r w:rsidRPr="00756329">
        <w:t xml:space="preserve"> alata, rizika za održivost, nadzora grupe i prekograničnog nadzora</w:t>
      </w:r>
      <w:bookmarkEnd w:id="5"/>
      <w:r w:rsidRPr="00756329">
        <w:t xml:space="preserve"> </w:t>
      </w:r>
      <w:bookmarkStart w:id="6" w:name="References"/>
      <w:r w:rsidRPr="00756329">
        <w:t>(COM(</w:t>
      </w:r>
      <w:r w:rsidRPr="006E04CA">
        <w:t>2021</w:t>
      </w:r>
      <w:r w:rsidRPr="00756329">
        <w:t>)</w:t>
      </w:r>
      <w:r w:rsidRPr="006E04CA">
        <w:t>0581</w:t>
      </w:r>
      <w:r w:rsidRPr="00756329">
        <w:t xml:space="preserve"> – C</w:t>
      </w:r>
      <w:r w:rsidRPr="006E04CA">
        <w:t>9</w:t>
      </w:r>
      <w:r w:rsidRPr="00756329">
        <w:t>-</w:t>
      </w:r>
      <w:r w:rsidRPr="006E04CA">
        <w:t>0367</w:t>
      </w:r>
      <w:r w:rsidRPr="00756329">
        <w:t>/</w:t>
      </w:r>
      <w:r w:rsidRPr="006E04CA">
        <w:t>2021</w:t>
      </w:r>
      <w:r w:rsidRPr="00756329">
        <w:t xml:space="preserve"> – </w:t>
      </w:r>
      <w:r w:rsidRPr="006E04CA">
        <w:t>2021</w:t>
      </w:r>
      <w:r w:rsidRPr="00756329">
        <w:t>/</w:t>
      </w:r>
      <w:r w:rsidRPr="006E04CA">
        <w:t>0295</w:t>
      </w:r>
      <w:r w:rsidRPr="00756329">
        <w:t>(COD))</w:t>
      </w:r>
      <w:bookmarkEnd w:id="6"/>
    </w:p>
    <w:p w:rsidR="00EC70EE" w:rsidRPr="00756329" w:rsidRDefault="00EC70EE" w:rsidP="00EC70EE">
      <w:pPr>
        <w:pStyle w:val="NormalBold"/>
      </w:pPr>
      <w:bookmarkStart w:id="7" w:name="TextBodyBegin"/>
      <w:bookmarkEnd w:id="7"/>
      <w:r w:rsidRPr="00756329">
        <w:t>(Redovni zakonodavni postupak: prvo čitanje)</w:t>
      </w:r>
    </w:p>
    <w:p w:rsidR="00EC70EE" w:rsidRPr="00756329" w:rsidRDefault="00EC70EE" w:rsidP="00EC70EE">
      <w:pPr>
        <w:pStyle w:val="EPComma"/>
      </w:pPr>
      <w:r w:rsidRPr="00756329">
        <w:rPr>
          <w:i/>
          <w:iCs/>
        </w:rPr>
        <w:t>Europski parlament,</w:t>
      </w:r>
    </w:p>
    <w:p w:rsidR="00EC70EE" w:rsidRPr="00756329" w:rsidRDefault="00EC70EE" w:rsidP="00EC70EE">
      <w:pPr>
        <w:pStyle w:val="NormalHanging12a"/>
      </w:pPr>
      <w:r w:rsidRPr="00756329">
        <w:t>–</w:t>
      </w:r>
      <w:r w:rsidRPr="00756329">
        <w:tab/>
        <w:t>uzimajući u obzir Prijedlog Komisije upućen Europskom parlamentu i Vijeću (COM(</w:t>
      </w:r>
      <w:r w:rsidRPr="006E04CA">
        <w:t>2021</w:t>
      </w:r>
      <w:r w:rsidRPr="00756329">
        <w:t>)</w:t>
      </w:r>
      <w:r w:rsidRPr="006E04CA">
        <w:t>0581</w:t>
      </w:r>
      <w:r w:rsidRPr="00756329">
        <w:t>),</w:t>
      </w:r>
    </w:p>
    <w:p w:rsidR="00EC70EE" w:rsidRPr="00756329" w:rsidRDefault="00EC70EE" w:rsidP="00EC70EE">
      <w:pPr>
        <w:pStyle w:val="NormalHanging12a"/>
      </w:pPr>
      <w:r w:rsidRPr="00756329">
        <w:t>–</w:t>
      </w:r>
      <w:r w:rsidRPr="00756329">
        <w:tab/>
        <w:t>uzimajući u obzir članak </w:t>
      </w:r>
      <w:r w:rsidRPr="006E04CA">
        <w:t>294</w:t>
      </w:r>
      <w:r w:rsidRPr="00756329">
        <w:t>. stavak </w:t>
      </w:r>
      <w:r w:rsidRPr="006E04CA">
        <w:t>2</w:t>
      </w:r>
      <w:r w:rsidRPr="00756329">
        <w:t>., članak </w:t>
      </w:r>
      <w:r w:rsidRPr="006E04CA">
        <w:t>53</w:t>
      </w:r>
      <w:r w:rsidRPr="00756329">
        <w:t>. stavak </w:t>
      </w:r>
      <w:r w:rsidRPr="006E04CA">
        <w:t>1</w:t>
      </w:r>
      <w:r w:rsidRPr="00756329">
        <w:t xml:space="preserve">. te članke </w:t>
      </w:r>
      <w:r w:rsidRPr="006E04CA">
        <w:t>62</w:t>
      </w:r>
      <w:r w:rsidRPr="00756329">
        <w:t xml:space="preserve">. i </w:t>
      </w:r>
      <w:r w:rsidRPr="006E04CA">
        <w:t>114</w:t>
      </w:r>
      <w:r w:rsidRPr="00756329">
        <w:t>. Ugovora o funkcioniranju Europske unije, u skladu s kojima je Komisija podnijela prijedlog Parlamentu (C</w:t>
      </w:r>
      <w:r w:rsidRPr="006E04CA">
        <w:t>9</w:t>
      </w:r>
      <w:r w:rsidRPr="00756329">
        <w:noBreakHyphen/>
      </w:r>
      <w:r w:rsidRPr="006E04CA">
        <w:t>0367</w:t>
      </w:r>
      <w:r w:rsidRPr="00756329">
        <w:t>/</w:t>
      </w:r>
      <w:r w:rsidRPr="006E04CA">
        <w:t>2021</w:t>
      </w:r>
      <w:r w:rsidRPr="00756329">
        <w:t>),</w:t>
      </w:r>
    </w:p>
    <w:p w:rsidR="00EC70EE" w:rsidRPr="00756329" w:rsidRDefault="00EC70EE" w:rsidP="00EC70EE">
      <w:pPr>
        <w:pStyle w:val="NormalHanging12a"/>
      </w:pPr>
      <w:r w:rsidRPr="00756329">
        <w:t>–</w:t>
      </w:r>
      <w:r w:rsidRPr="00756329">
        <w:tab/>
        <w:t>uzimajući u obzir članak </w:t>
      </w:r>
      <w:r w:rsidRPr="006E04CA">
        <w:t>294</w:t>
      </w:r>
      <w:r w:rsidRPr="00756329">
        <w:t>. stavak </w:t>
      </w:r>
      <w:r w:rsidRPr="006E04CA">
        <w:t>3</w:t>
      </w:r>
      <w:r w:rsidRPr="00756329">
        <w:t>. Ugovora o funkcioniranju Europske unije,</w:t>
      </w:r>
    </w:p>
    <w:p w:rsidR="00EC70EE" w:rsidRDefault="00EC70EE" w:rsidP="00EC70EE">
      <w:pPr>
        <w:pStyle w:val="NormalHanging12a"/>
      </w:pPr>
      <w:r w:rsidRPr="00756329">
        <w:t>–</w:t>
      </w:r>
      <w:r w:rsidRPr="00756329">
        <w:tab/>
        <w:t xml:space="preserve">uzimajući u obzir mišljenje Europskoga gospodarskog i socijalnog odbora od </w:t>
      </w:r>
      <w:r w:rsidRPr="006E04CA">
        <w:t>23</w:t>
      </w:r>
      <w:r w:rsidRPr="00756329">
        <w:t>. veljače </w:t>
      </w:r>
      <w:r w:rsidRPr="006E04CA">
        <w:t>2022</w:t>
      </w:r>
      <w:r w:rsidRPr="00756329">
        <w:t>.</w:t>
      </w:r>
      <w:r w:rsidRPr="00756329">
        <w:rPr>
          <w:rStyle w:val="FootnoteReference"/>
          <w:szCs w:val="24"/>
        </w:rPr>
        <w:footnoteReference w:id="1"/>
      </w:r>
      <w:r w:rsidRPr="00756329">
        <w:t>,</w:t>
      </w:r>
    </w:p>
    <w:p w:rsidR="00EC1684" w:rsidRPr="00756329" w:rsidRDefault="00EC1684" w:rsidP="00EC70EE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6E04CA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6E04CA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6E04CA">
        <w:rPr>
          <w:szCs w:val="24"/>
        </w:rPr>
        <w:t>24</w:t>
      </w:r>
      <w:r>
        <w:rPr>
          <w:szCs w:val="24"/>
        </w:rPr>
        <w:t>. siječnja</w:t>
      </w:r>
      <w:r w:rsidRPr="002F0A61">
        <w:rPr>
          <w:szCs w:val="24"/>
        </w:rPr>
        <w:t xml:space="preserve"> </w:t>
      </w:r>
      <w:r w:rsidRPr="006E04CA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6E04C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6E04C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EC70EE" w:rsidRPr="00756329" w:rsidRDefault="00EC70EE" w:rsidP="00EC70EE">
      <w:pPr>
        <w:pStyle w:val="NormalHanging12a"/>
      </w:pPr>
      <w:r w:rsidRPr="00756329">
        <w:t>–</w:t>
      </w:r>
      <w:r w:rsidRPr="00756329">
        <w:tab/>
        <w:t>uzimajući u obzir članak </w:t>
      </w:r>
      <w:r w:rsidRPr="006E04CA">
        <w:t>59</w:t>
      </w:r>
      <w:r w:rsidRPr="00756329">
        <w:t>. Poslovnika,</w:t>
      </w:r>
    </w:p>
    <w:p w:rsidR="00EC70EE" w:rsidRPr="00756329" w:rsidRDefault="00EC70EE" w:rsidP="00EC70EE">
      <w:pPr>
        <w:pStyle w:val="NormalHanging12a"/>
      </w:pPr>
      <w:r w:rsidRPr="00756329">
        <w:t>–</w:t>
      </w:r>
      <w:r w:rsidRPr="00756329">
        <w:tab/>
        <w:t>uzimajući u obzir izvješće Odbora za ekonomsku i monetarnu politiku (A</w:t>
      </w:r>
      <w:r w:rsidRPr="006E04CA">
        <w:t>9</w:t>
      </w:r>
      <w:r w:rsidRPr="00756329">
        <w:t>-</w:t>
      </w:r>
      <w:r w:rsidRPr="006E04CA">
        <w:t>0256</w:t>
      </w:r>
      <w:r w:rsidRPr="00756329">
        <w:t>/</w:t>
      </w:r>
      <w:r w:rsidRPr="006E04CA">
        <w:t>2023</w:t>
      </w:r>
      <w:r w:rsidRPr="00756329">
        <w:t>),</w:t>
      </w:r>
    </w:p>
    <w:p w:rsidR="00EC70EE" w:rsidRPr="00756329" w:rsidRDefault="00EC70EE" w:rsidP="00EC70EE">
      <w:pPr>
        <w:pStyle w:val="NormalHanging12a"/>
      </w:pPr>
      <w:r w:rsidRPr="006E04CA">
        <w:t>1</w:t>
      </w:r>
      <w:r w:rsidRPr="00756329">
        <w:t>.</w:t>
      </w:r>
      <w:r w:rsidRPr="00756329">
        <w:tab/>
        <w:t>usvaja sljedeće stajalište u prvom čitanju;</w:t>
      </w:r>
    </w:p>
    <w:p w:rsidR="00EC70EE" w:rsidRPr="00756329" w:rsidRDefault="00EC70EE" w:rsidP="00EC70EE">
      <w:pPr>
        <w:pStyle w:val="NormalHanging12a"/>
      </w:pPr>
      <w:r w:rsidRPr="006E04CA">
        <w:t>2</w:t>
      </w:r>
      <w:r w:rsidRPr="00756329">
        <w:t>.</w:t>
      </w:r>
      <w:r w:rsidRPr="00756329">
        <w:tab/>
        <w:t>poziva Komisiju da predmet ponovno uputi Parlamentu ako zamijeni, bitno izmijeni ili namjerava bitno izmijeniti svoj Prijedlog;</w:t>
      </w:r>
    </w:p>
    <w:p w:rsidR="00EC70EE" w:rsidRPr="00756329" w:rsidRDefault="00EC70EE" w:rsidP="00EC70EE">
      <w:pPr>
        <w:ind w:left="567" w:hanging="567"/>
      </w:pPr>
      <w:r w:rsidRPr="006E04CA">
        <w:lastRenderedPageBreak/>
        <w:t>3</w:t>
      </w:r>
      <w:r w:rsidRPr="00756329">
        <w:t>.</w:t>
      </w:r>
      <w:r w:rsidRPr="00756329">
        <w:tab/>
        <w:t>nalaže svojoj predsjednici da stajalište Parlamenta proslijedi Vijeću, Komisiji i nacionalnim parlamentima.</w:t>
      </w:r>
    </w:p>
    <w:p w:rsidR="00EC1684" w:rsidRDefault="00EC1684" w:rsidP="00EC168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EC1684" w:rsidSect="00EC1684">
          <w:headerReference w:type="default" r:id="rId9"/>
          <w:headerReference w:type="first" r:id="rId10"/>
          <w:footnotePr>
            <w:numRestart w:val="eachSect"/>
          </w:footnotePr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</w:p>
    <w:p w:rsidR="00EC1684" w:rsidRPr="00E7025D" w:rsidRDefault="00EC1684" w:rsidP="00EC168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6E04CA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6E04CA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6E04CA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6E04CA">
        <w:rPr>
          <w:rFonts w:eastAsia="Calibri"/>
          <w:b/>
          <w:bCs/>
          <w:color w:val="000000"/>
          <w:szCs w:val="24"/>
        </w:rPr>
        <w:t>0295</w:t>
      </w:r>
    </w:p>
    <w:p w:rsidR="0028425C" w:rsidRPr="0089533F" w:rsidRDefault="00EC1684" w:rsidP="0028425C">
      <w:pPr>
        <w:widowControl/>
        <w:spacing w:before="360" w:after="360"/>
        <w:rPr>
          <w:rFonts w:eastAsia="Calibri"/>
          <w:b/>
          <w:iCs/>
          <w:szCs w:val="22"/>
          <w:lang w:eastAsia="en-US"/>
        </w:rPr>
      </w:pPr>
      <w:r w:rsidRPr="0089533F">
        <w:rPr>
          <w:b/>
        </w:rPr>
        <w:t xml:space="preserve">Stajalište Europskog parlamenta usvojeno u prvom čitanju 23. travnja 2024. radi donošenja </w:t>
      </w:r>
      <w:r w:rsidRPr="0089533F">
        <w:rPr>
          <w:b/>
          <w:szCs w:val="22"/>
          <w:lang w:eastAsia="fr-BE"/>
        </w:rPr>
        <w:t xml:space="preserve">Direktive (EU) </w:t>
      </w:r>
      <w:r w:rsidR="0089533F" w:rsidRPr="0089533F">
        <w:rPr>
          <w:b/>
          <w:szCs w:val="22"/>
          <w:lang w:eastAsia="fr-BE"/>
        </w:rPr>
        <w:t>2025</w:t>
      </w:r>
      <w:r w:rsidRPr="0089533F">
        <w:rPr>
          <w:b/>
          <w:szCs w:val="22"/>
          <w:lang w:eastAsia="fr-BE"/>
        </w:rPr>
        <w:t xml:space="preserve">/… Europskog parlamenta i Vijeća </w:t>
      </w:r>
      <w:r w:rsidR="0028425C" w:rsidRPr="0089533F">
        <w:rPr>
          <w:rFonts w:eastAsia="Calibri"/>
          <w:b/>
          <w:szCs w:val="22"/>
          <w:lang w:eastAsia="en-US"/>
        </w:rPr>
        <w:t xml:space="preserve">o izmjeni Direktive 2009/138/EZ u pogledu proporcionalnosti, kvalitete nadzora, izvješćivanja, mjera dugoročnih jamstava, </w:t>
      </w:r>
      <w:proofErr w:type="spellStart"/>
      <w:r w:rsidR="0028425C" w:rsidRPr="0089533F">
        <w:rPr>
          <w:rFonts w:eastAsia="Calibri"/>
          <w:b/>
          <w:szCs w:val="22"/>
          <w:lang w:eastAsia="en-US"/>
        </w:rPr>
        <w:t>makrobonitetnih</w:t>
      </w:r>
      <w:proofErr w:type="spellEnd"/>
      <w:r w:rsidR="0028425C" w:rsidRPr="0089533F">
        <w:rPr>
          <w:rFonts w:eastAsia="Calibri"/>
          <w:b/>
          <w:szCs w:val="22"/>
          <w:lang w:eastAsia="en-US"/>
        </w:rPr>
        <w:t xml:space="preserve"> alata, rizika za održivost i nadzora grupe i prekograničnog nadzora</w:t>
      </w:r>
      <w:r w:rsidR="0028425C" w:rsidRPr="0089533F">
        <w:rPr>
          <w:rFonts w:eastAsia="Calibri"/>
          <w:szCs w:val="22"/>
          <w:lang w:eastAsia="en-US"/>
        </w:rPr>
        <w:t xml:space="preserve"> </w:t>
      </w:r>
      <w:r w:rsidR="0028425C" w:rsidRPr="0089533F">
        <w:rPr>
          <w:rFonts w:eastAsia="Calibri"/>
          <w:b/>
          <w:iCs/>
          <w:szCs w:val="22"/>
          <w:lang w:eastAsia="en-US"/>
        </w:rPr>
        <w:t>te o izmjeni direktiva 2002/87/EZ i 2013/34/EU</w:t>
      </w:r>
    </w:p>
    <w:p w:rsidR="0089533F" w:rsidRPr="0028425C" w:rsidRDefault="0089533F" w:rsidP="0028425C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486C4D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Direktivi (EU)</w:t>
      </w:r>
      <w:r w:rsidRPr="0089533F">
        <w:rPr>
          <w:rFonts w:eastAsia="Calibri"/>
          <w:i/>
          <w:szCs w:val="24"/>
          <w:lang w:eastAsia="en-US"/>
        </w:rPr>
        <w:t xml:space="preserve"> 2025/2</w:t>
      </w:r>
      <w:r>
        <w:rPr>
          <w:rFonts w:eastAsia="Calibri"/>
          <w:i/>
          <w:szCs w:val="24"/>
          <w:lang w:eastAsia="en-US"/>
        </w:rPr>
        <w:t>.)</w:t>
      </w:r>
    </w:p>
    <w:sectPr w:rsidR="0089533F" w:rsidRPr="0028425C" w:rsidSect="002842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9DE" w:rsidRPr="002B0D15" w:rsidRDefault="007E59DE">
      <w:r w:rsidRPr="002B0D15">
        <w:separator/>
      </w:r>
    </w:p>
  </w:endnote>
  <w:endnote w:type="continuationSeparator" w:id="0">
    <w:p w:rsidR="007E59DE" w:rsidRPr="002B0D15" w:rsidRDefault="007E59DE">
      <w:r w:rsidRPr="002B0D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2B0D15" w:rsidRDefault="007E59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2B0D15" w:rsidRDefault="007E59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2B0D15" w:rsidRDefault="007E59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9DE" w:rsidRPr="002B0D15" w:rsidRDefault="007E59DE">
      <w:r w:rsidRPr="002B0D15">
        <w:separator/>
      </w:r>
    </w:p>
  </w:footnote>
  <w:footnote w:type="continuationSeparator" w:id="0">
    <w:p w:rsidR="007E59DE" w:rsidRPr="002B0D15" w:rsidRDefault="007E59DE">
      <w:r w:rsidRPr="002B0D15">
        <w:continuationSeparator/>
      </w:r>
    </w:p>
  </w:footnote>
  <w:footnote w:id="1">
    <w:p w:rsidR="007E59DE" w:rsidRPr="007E59DE" w:rsidRDefault="007E59DE" w:rsidP="00EC1684">
      <w:pPr>
        <w:pStyle w:val="FootnoteText"/>
        <w:ind w:left="567" w:hanging="567"/>
        <w:rPr>
          <w:sz w:val="24"/>
          <w:szCs w:val="24"/>
          <w:lang w:val="hr-HR"/>
        </w:rPr>
      </w:pPr>
      <w:r w:rsidRPr="007E59DE">
        <w:rPr>
          <w:rStyle w:val="FootnoteReference"/>
          <w:sz w:val="24"/>
          <w:szCs w:val="24"/>
          <w:lang w:val="hr-HR"/>
        </w:rPr>
        <w:footnoteRef/>
      </w:r>
      <w:r w:rsidR="0015106F">
        <w:rPr>
          <w:sz w:val="24"/>
          <w:szCs w:val="24"/>
          <w:lang w:val="hr-HR"/>
        </w:rPr>
        <w:t xml:space="preserve"> </w:t>
      </w:r>
      <w:r w:rsidR="0015106F">
        <w:rPr>
          <w:sz w:val="24"/>
          <w:szCs w:val="24"/>
          <w:lang w:val="hr-HR"/>
        </w:rPr>
        <w:tab/>
        <w:t>SL C</w:t>
      </w:r>
      <w:bookmarkStart w:id="8" w:name="_GoBack"/>
      <w:bookmarkEnd w:id="8"/>
      <w:r w:rsidRPr="007E59DE">
        <w:rPr>
          <w:sz w:val="24"/>
          <w:szCs w:val="24"/>
          <w:lang w:val="hr-HR"/>
        </w:rPr>
        <w:t xml:space="preserve"> 275, 18.7.2022., str. 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5321FA" w:rsidRDefault="007E59DE" w:rsidP="0028425C">
    <w:pPr>
      <w:pStyle w:val="HeaderCouncilLarge"/>
    </w:pPr>
    <w:r w:rsidRPr="005321FA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5321FA" w:rsidRDefault="007E59DE" w:rsidP="0028425C">
    <w:pPr>
      <w:pStyle w:val="HeaderCouncil"/>
    </w:pPr>
    <w:r w:rsidRPr="005321FA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2B0D15" w:rsidRDefault="007E59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2B0D15" w:rsidRDefault="007E59D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9DE" w:rsidRPr="002B0D15" w:rsidRDefault="007E59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0372711"/>
    <w:multiLevelType w:val="hybridMultilevel"/>
    <w:tmpl w:val="0FBA9076"/>
    <w:lvl w:ilvl="0" w:tplc="78105C44">
      <w:start w:val="1"/>
      <w:numFmt w:val="lowerLetter"/>
      <w:lvlText w:val="(%1)"/>
      <w:lvlJc w:val="left"/>
      <w:pPr>
        <w:ind w:left="176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85" w:hanging="360"/>
      </w:pPr>
    </w:lvl>
    <w:lvl w:ilvl="2" w:tplc="080C001B" w:tentative="1">
      <w:start w:val="1"/>
      <w:numFmt w:val="lowerRoman"/>
      <w:lvlText w:val="%3."/>
      <w:lvlJc w:val="right"/>
      <w:pPr>
        <w:ind w:left="3205" w:hanging="180"/>
      </w:pPr>
    </w:lvl>
    <w:lvl w:ilvl="3" w:tplc="080C000F" w:tentative="1">
      <w:start w:val="1"/>
      <w:numFmt w:val="decimal"/>
      <w:lvlText w:val="%4."/>
      <w:lvlJc w:val="left"/>
      <w:pPr>
        <w:ind w:left="3925" w:hanging="360"/>
      </w:pPr>
    </w:lvl>
    <w:lvl w:ilvl="4" w:tplc="080C0019" w:tentative="1">
      <w:start w:val="1"/>
      <w:numFmt w:val="lowerLetter"/>
      <w:lvlText w:val="%5."/>
      <w:lvlJc w:val="left"/>
      <w:pPr>
        <w:ind w:left="4645" w:hanging="360"/>
      </w:pPr>
    </w:lvl>
    <w:lvl w:ilvl="5" w:tplc="080C001B" w:tentative="1">
      <w:start w:val="1"/>
      <w:numFmt w:val="lowerRoman"/>
      <w:lvlText w:val="%6."/>
      <w:lvlJc w:val="right"/>
      <w:pPr>
        <w:ind w:left="5365" w:hanging="180"/>
      </w:pPr>
    </w:lvl>
    <w:lvl w:ilvl="6" w:tplc="080C000F" w:tentative="1">
      <w:start w:val="1"/>
      <w:numFmt w:val="decimal"/>
      <w:lvlText w:val="%7."/>
      <w:lvlJc w:val="left"/>
      <w:pPr>
        <w:ind w:left="6085" w:hanging="360"/>
      </w:pPr>
    </w:lvl>
    <w:lvl w:ilvl="7" w:tplc="080C0019" w:tentative="1">
      <w:start w:val="1"/>
      <w:numFmt w:val="lowerLetter"/>
      <w:lvlText w:val="%8."/>
      <w:lvlJc w:val="left"/>
      <w:pPr>
        <w:ind w:left="6805" w:hanging="360"/>
      </w:pPr>
    </w:lvl>
    <w:lvl w:ilvl="8" w:tplc="080C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8745F3"/>
    <w:multiLevelType w:val="hybridMultilevel"/>
    <w:tmpl w:val="26725694"/>
    <w:lvl w:ilvl="0" w:tplc="A492E5DE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6"/>
  </w:num>
  <w:num w:numId="3">
    <w:abstractNumId w:val="32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30"/>
  </w:num>
  <w:num w:numId="12">
    <w:abstractNumId w:val="31"/>
  </w:num>
  <w:num w:numId="13">
    <w:abstractNumId w:val="14"/>
  </w:num>
  <w:num w:numId="14">
    <w:abstractNumId w:val="25"/>
  </w:num>
  <w:num w:numId="15">
    <w:abstractNumId w:val="48"/>
    <w:lvlOverride w:ilvl="0">
      <w:startOverride w:val="1"/>
    </w:lvlOverride>
  </w:num>
  <w:num w:numId="16">
    <w:abstractNumId w:val="36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1"/>
  </w:num>
  <w:num w:numId="20">
    <w:abstractNumId w:val="40"/>
  </w:num>
  <w:num w:numId="21">
    <w:abstractNumId w:val="33"/>
  </w:num>
  <w:num w:numId="22">
    <w:abstractNumId w:val="3"/>
  </w:num>
  <w:num w:numId="23">
    <w:abstractNumId w:val="42"/>
  </w:num>
  <w:num w:numId="24">
    <w:abstractNumId w:val="47"/>
  </w:num>
  <w:num w:numId="25">
    <w:abstractNumId w:val="26"/>
  </w:num>
  <w:num w:numId="26">
    <w:abstractNumId w:val="41"/>
  </w:num>
  <w:num w:numId="27">
    <w:abstractNumId w:val="35"/>
  </w:num>
  <w:num w:numId="28">
    <w:abstractNumId w:val="22"/>
  </w:num>
  <w:num w:numId="29">
    <w:abstractNumId w:val="8"/>
  </w:num>
  <w:num w:numId="30">
    <w:abstractNumId w:val="5"/>
  </w:num>
  <w:num w:numId="31">
    <w:abstractNumId w:val="37"/>
  </w:num>
  <w:num w:numId="32">
    <w:abstractNumId w:val="43"/>
  </w:num>
  <w:num w:numId="33">
    <w:abstractNumId w:val="0"/>
  </w:num>
  <w:num w:numId="34">
    <w:abstractNumId w:val="11"/>
  </w:num>
  <w:num w:numId="35">
    <w:abstractNumId w:val="4"/>
  </w:num>
  <w:num w:numId="36">
    <w:abstractNumId w:val="13"/>
  </w:num>
  <w:num w:numId="37">
    <w:abstractNumId w:val="27"/>
  </w:num>
  <w:num w:numId="38">
    <w:abstractNumId w:val="34"/>
  </w:num>
  <w:num w:numId="39">
    <w:abstractNumId w:val="29"/>
  </w:num>
  <w:num w:numId="40">
    <w:abstractNumId w:val="39"/>
  </w:num>
  <w:num w:numId="41">
    <w:abstractNumId w:val="17"/>
  </w:num>
  <w:num w:numId="42">
    <w:abstractNumId w:val="18"/>
  </w:num>
  <w:num w:numId="43">
    <w:abstractNumId w:val="24"/>
  </w:num>
  <w:num w:numId="44">
    <w:abstractNumId w:val="28"/>
  </w:num>
  <w:num w:numId="45">
    <w:abstractNumId w:val="45"/>
  </w:num>
  <w:num w:numId="46">
    <w:abstractNumId w:val="44"/>
  </w:num>
  <w:num w:numId="47">
    <w:abstractNumId w:val="46"/>
  </w:num>
  <w:num w:numId="48">
    <w:abstractNumId w:val="9"/>
  </w:num>
  <w:num w:numId="49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HR"/>
    <w:docVar w:name="dvnumam" w:val="0"/>
    <w:docVar w:name="dvpe" w:val="732.668"/>
    <w:docVar w:name="dvrapporteur" w:val="Izvjestitelj: "/>
    <w:docVar w:name="dvstar" w:val="***I"/>
    <w:docVar w:name="dvtitre" w:val="Zakonodavna rezolucija Europskog parlamenta od .... 2024. o Prijedlogu direktive Europskog parlamenta i Vijeća o izmjeni Direktive 2009/138/EZ u pogledu proporcionalnosti, kvalitete nadzora, izvještavanja, mjera dugoročnih jamstava, makrobonitetnih alata, rizika za održivost, nadzora grupe i prekograničnog nadzora(COM(2021)0581 – C9-0367/2021 – 2021/0295(COD))"/>
  </w:docVars>
  <w:rsids>
    <w:rsidRoot w:val="00F4264E"/>
    <w:rsid w:val="00002272"/>
    <w:rsid w:val="00060999"/>
    <w:rsid w:val="00064002"/>
    <w:rsid w:val="000677B9"/>
    <w:rsid w:val="000831BA"/>
    <w:rsid w:val="000A42CC"/>
    <w:rsid w:val="000E7DD9"/>
    <w:rsid w:val="0010095E"/>
    <w:rsid w:val="00125B37"/>
    <w:rsid w:val="0015106F"/>
    <w:rsid w:val="00187494"/>
    <w:rsid w:val="001F32AE"/>
    <w:rsid w:val="002767FF"/>
    <w:rsid w:val="0028425C"/>
    <w:rsid w:val="002B0D1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701"/>
    <w:rsid w:val="00560270"/>
    <w:rsid w:val="005C2568"/>
    <w:rsid w:val="005C799E"/>
    <w:rsid w:val="005F2CFB"/>
    <w:rsid w:val="006037C0"/>
    <w:rsid w:val="006631B6"/>
    <w:rsid w:val="00680577"/>
    <w:rsid w:val="006E04CA"/>
    <w:rsid w:val="006F74FA"/>
    <w:rsid w:val="00731ADD"/>
    <w:rsid w:val="00734777"/>
    <w:rsid w:val="00747932"/>
    <w:rsid w:val="00751A4A"/>
    <w:rsid w:val="00756329"/>
    <w:rsid w:val="00756632"/>
    <w:rsid w:val="00762C74"/>
    <w:rsid w:val="00786EC0"/>
    <w:rsid w:val="007A2DC0"/>
    <w:rsid w:val="007D1690"/>
    <w:rsid w:val="007E22AD"/>
    <w:rsid w:val="007E59DE"/>
    <w:rsid w:val="00817416"/>
    <w:rsid w:val="00842779"/>
    <w:rsid w:val="00865F67"/>
    <w:rsid w:val="00881A7B"/>
    <w:rsid w:val="008840E5"/>
    <w:rsid w:val="00887B3E"/>
    <w:rsid w:val="0089533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C8B"/>
    <w:rsid w:val="00AE0928"/>
    <w:rsid w:val="00AF3B82"/>
    <w:rsid w:val="00B12E95"/>
    <w:rsid w:val="00B22876"/>
    <w:rsid w:val="00B31954"/>
    <w:rsid w:val="00B340CC"/>
    <w:rsid w:val="00B426A7"/>
    <w:rsid w:val="00B558F0"/>
    <w:rsid w:val="00BD48FE"/>
    <w:rsid w:val="00BD7BD8"/>
    <w:rsid w:val="00BE6ADC"/>
    <w:rsid w:val="00BF1946"/>
    <w:rsid w:val="00C05BFE"/>
    <w:rsid w:val="00C23CD4"/>
    <w:rsid w:val="00C61C0C"/>
    <w:rsid w:val="00C7122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A8C"/>
    <w:rsid w:val="00E365E1"/>
    <w:rsid w:val="00E820A4"/>
    <w:rsid w:val="00EB006A"/>
    <w:rsid w:val="00EB4772"/>
    <w:rsid w:val="00EC1684"/>
    <w:rsid w:val="00EC70EE"/>
    <w:rsid w:val="00ED169E"/>
    <w:rsid w:val="00ED4235"/>
    <w:rsid w:val="00F04346"/>
    <w:rsid w:val="00F075DC"/>
    <w:rsid w:val="00F149E9"/>
    <w:rsid w:val="00F4264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03648"/>
  <w15:chartTrackingRefBased/>
  <w15:docId w15:val="{7C8DA48A-3E62-4DD7-B8E1-F4A3D507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C70E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C70E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C70E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C70E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C70E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C70E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EC70E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EC70E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EC70E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EC70E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C70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C70EE"/>
    <w:pPr>
      <w:spacing w:before="480" w:after="240"/>
    </w:pPr>
  </w:style>
  <w:style w:type="paragraph" w:customStyle="1" w:styleId="TOCPage">
    <w:name w:val="TOC Page"/>
    <w:basedOn w:val="Normal"/>
    <w:next w:val="TOC1"/>
    <w:rsid w:val="00EC70E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C70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C70EE"/>
    <w:rPr>
      <w:b/>
    </w:rPr>
  </w:style>
  <w:style w:type="paragraph" w:customStyle="1" w:styleId="NormalBold12a">
    <w:name w:val="NormalBold12a"/>
    <w:basedOn w:val="Normal"/>
    <w:rsid w:val="00EC70E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C70E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C70EE"/>
    <w:pPr>
      <w:spacing w:after="480"/>
      <w:ind w:left="1417"/>
    </w:pPr>
  </w:style>
  <w:style w:type="paragraph" w:customStyle="1" w:styleId="CoverNormal">
    <w:name w:val="CoverNormal"/>
    <w:basedOn w:val="Normal"/>
    <w:rsid w:val="00EC70EE"/>
    <w:pPr>
      <w:ind w:left="1418"/>
    </w:pPr>
  </w:style>
  <w:style w:type="paragraph" w:customStyle="1" w:styleId="NormalCenter12a">
    <w:name w:val="NormalCenter12a"/>
    <w:basedOn w:val="Normal"/>
    <w:rsid w:val="00EC70EE"/>
    <w:pPr>
      <w:spacing w:after="240"/>
      <w:jc w:val="center"/>
    </w:pPr>
  </w:style>
  <w:style w:type="paragraph" w:customStyle="1" w:styleId="CoverReference">
    <w:name w:val="CoverReference"/>
    <w:basedOn w:val="Normal"/>
    <w:rsid w:val="00EC70E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C70E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C70E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C70E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C70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70EE"/>
    <w:rPr>
      <w:sz w:val="24"/>
      <w:lang w:val="hr-HR"/>
    </w:rPr>
  </w:style>
  <w:style w:type="paragraph" w:customStyle="1" w:styleId="AmNumberTabs">
    <w:name w:val="AmNumberTabs"/>
    <w:basedOn w:val="Normal"/>
    <w:rsid w:val="00EC70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C70EE"/>
    <w:pPr>
      <w:spacing w:before="720" w:after="240"/>
      <w:jc w:val="center"/>
    </w:pPr>
  </w:style>
  <w:style w:type="paragraph" w:customStyle="1" w:styleId="EPBody">
    <w:name w:val="EPBody"/>
    <w:basedOn w:val="Normal"/>
    <w:rsid w:val="00EC70E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C70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C70E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C70E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C70EE"/>
    <w:rPr>
      <w:sz w:val="18"/>
    </w:rPr>
  </w:style>
  <w:style w:type="character" w:styleId="Hyperlink">
    <w:name w:val="Hyperlink"/>
    <w:uiPriority w:val="99"/>
    <w:unhideWhenUsed/>
    <w:rsid w:val="00EC70E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C70EE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EC70E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C70E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EC70EE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C70EE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EC70E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C70E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EC70E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EC70E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EC70E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EC70EE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EC70EE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0EE"/>
    <w:rPr>
      <w:rFonts w:eastAsiaTheme="minorHAnsi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C70EE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C70E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EC70EE"/>
    <w:rPr>
      <w:sz w:val="24"/>
      <w:lang w:val="hr-HR"/>
    </w:rPr>
  </w:style>
  <w:style w:type="paragraph" w:styleId="TableofFigures">
    <w:name w:val="table of figures"/>
    <w:basedOn w:val="Normal"/>
    <w:next w:val="Normal"/>
    <w:uiPriority w:val="99"/>
    <w:unhideWhenUsed/>
    <w:rsid w:val="00EC70EE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EC70E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EC70E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EC70E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C70E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C70E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C70E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C70E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EC70E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C70EE"/>
    <w:rPr>
      <w:rFonts w:eastAsiaTheme="minorHAnsi"/>
      <w:b/>
      <w:bCs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C70EE"/>
    <w:rPr>
      <w:b/>
      <w:bCs/>
    </w:rPr>
  </w:style>
  <w:style w:type="character" w:customStyle="1" w:styleId="CommentSubjectChar1">
    <w:name w:val="Comment Subject Char1"/>
    <w:basedOn w:val="CommentTextChar"/>
    <w:rsid w:val="00EC70EE"/>
    <w:rPr>
      <w:rFonts w:eastAsiaTheme="minorHAnsi"/>
      <w:b/>
      <w:bCs/>
      <w:lang w:val="hr-H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C70EE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EC70EE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EC70EE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uiPriority w:val="99"/>
    <w:rsid w:val="00EC70EE"/>
    <w:rPr>
      <w:rFonts w:eastAsiaTheme="minorHAnsi"/>
      <w:sz w:val="24"/>
      <w:szCs w:val="22"/>
      <w:lang w:val="hr-HR" w:eastAsia="en-US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EC70EE"/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b"/>
    <w:basedOn w:val="Normal"/>
    <w:link w:val="ListParagraphChar"/>
    <w:uiPriority w:val="34"/>
    <w:qFormat/>
    <w:rsid w:val="00EC70EE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EC70EE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EC70E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EC70E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EC70EE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EC70EE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EC70E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EC70E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EC70EE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EC70E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hr-HR" w:eastAsia="en-US"/>
    </w:rPr>
  </w:style>
  <w:style w:type="character" w:customStyle="1" w:styleId="hllevel3Char">
    <w:name w:val="hl level 3 Char"/>
    <w:basedOn w:val="DefaultParagraphFont"/>
    <w:link w:val="hllevel3"/>
    <w:locked/>
    <w:rsid w:val="00EC70EE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EC70EE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EC70E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EC70E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EC70EE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EC70EE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EC70E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C70E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C70E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C70E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C70E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C70E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EC70E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EC70EE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EC70EE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C70E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C70E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C70EE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C70E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C70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C70E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C70E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C70E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C70E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EC70EE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C70EE"/>
    <w:pPr>
      <w:numPr>
        <w:numId w:val="3"/>
      </w:numPr>
    </w:pPr>
  </w:style>
  <w:style w:type="paragraph" w:customStyle="1" w:styleId="Tiret1">
    <w:name w:val="Tiret 1"/>
    <w:basedOn w:val="Point1"/>
    <w:rsid w:val="00EC70EE"/>
    <w:pPr>
      <w:numPr>
        <w:numId w:val="4"/>
      </w:numPr>
    </w:pPr>
  </w:style>
  <w:style w:type="paragraph" w:customStyle="1" w:styleId="Tiret3">
    <w:name w:val="Tiret 3"/>
    <w:basedOn w:val="Point3"/>
    <w:rsid w:val="00EC70EE"/>
    <w:pPr>
      <w:numPr>
        <w:numId w:val="5"/>
      </w:numPr>
    </w:pPr>
  </w:style>
  <w:style w:type="paragraph" w:customStyle="1" w:styleId="Tiret4">
    <w:name w:val="Tiret 4"/>
    <w:basedOn w:val="Point4"/>
    <w:rsid w:val="00EC70EE"/>
    <w:pPr>
      <w:numPr>
        <w:numId w:val="6"/>
      </w:numPr>
    </w:pPr>
  </w:style>
  <w:style w:type="paragraph" w:customStyle="1" w:styleId="Tiret5">
    <w:name w:val="Tiret 5"/>
    <w:basedOn w:val="Point5"/>
    <w:rsid w:val="00EC70EE"/>
    <w:pPr>
      <w:numPr>
        <w:numId w:val="7"/>
      </w:numPr>
    </w:pPr>
  </w:style>
  <w:style w:type="paragraph" w:customStyle="1" w:styleId="PointDouble0">
    <w:name w:val="PointDouble 0"/>
    <w:basedOn w:val="Normal"/>
    <w:rsid w:val="00EC70E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C70E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C70E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C70E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C70E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C70E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C70E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C70E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C70E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C70E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EC70E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C70E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C70E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C70E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EC70E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C70E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C70EE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C70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C70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C70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C70E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C70E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C70E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C70E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C70E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C70E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C70E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C70E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C70E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C70E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C70E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C70E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C70E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C70E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C70E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C70EE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EC70E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C70E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C70E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C70E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C70E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C70E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C70E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C70E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C70EE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C70EE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C70EE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C70EE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C70EE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C70EE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C70E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C70E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C70E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C70E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C70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C70EE"/>
    <w:pPr>
      <w:spacing w:after="240"/>
    </w:pPr>
  </w:style>
  <w:style w:type="paragraph" w:customStyle="1" w:styleId="Languesfaisantfoi">
    <w:name w:val="Langues faisant foi"/>
    <w:basedOn w:val="Normal"/>
    <w:next w:val="Normal"/>
    <w:rsid w:val="00EC70E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C70E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C70E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C70E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C70E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EC70EE"/>
  </w:style>
  <w:style w:type="paragraph" w:customStyle="1" w:styleId="TitreobjetPagedecouverture">
    <w:name w:val="Titre objet (Page de couverture)"/>
    <w:basedOn w:val="Titreobjet"/>
    <w:next w:val="IntrtEEEPagedecouverture"/>
    <w:rsid w:val="00EC70EE"/>
  </w:style>
  <w:style w:type="paragraph" w:customStyle="1" w:styleId="IntrtEEEPagedecouverture">
    <w:name w:val="Intérêt EEE (Page de couverture)"/>
    <w:basedOn w:val="IntrtEEE"/>
    <w:next w:val="Rfrencecroise"/>
    <w:rsid w:val="00EC70EE"/>
  </w:style>
  <w:style w:type="paragraph" w:customStyle="1" w:styleId="Rfrencecroise">
    <w:name w:val="Référence croisée"/>
    <w:basedOn w:val="Normal"/>
    <w:rsid w:val="00EC70EE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C70EE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C70E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C70E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C70E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EC70E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EC70E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C70E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C70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C70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C70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C70E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C70E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C70E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C70E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C70EE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C70EE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EC70EE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C70EE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C70E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C70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EC70E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C70E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C70E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C70E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EC70E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C70EE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C70EE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C70E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C70E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C70EE"/>
  </w:style>
  <w:style w:type="paragraph" w:customStyle="1" w:styleId="StatutPagedecouverture">
    <w:name w:val="Statut (Page de couverture)"/>
    <w:basedOn w:val="Statut"/>
    <w:next w:val="TypedudocumentPagedecouverture"/>
    <w:rsid w:val="00EC70EE"/>
  </w:style>
  <w:style w:type="paragraph" w:customStyle="1" w:styleId="Volume">
    <w:name w:val="Volume"/>
    <w:basedOn w:val="Normal"/>
    <w:next w:val="Confidentialit"/>
    <w:rsid w:val="00EC70E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C70EE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C70E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EC70EE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C70EE"/>
  </w:style>
  <w:style w:type="paragraph" w:customStyle="1" w:styleId="ObjetacteprincipalPagedecouverture">
    <w:name w:val="Objet acte principal (Page de couverture)"/>
    <w:basedOn w:val="Objetacteprincipal"/>
    <w:next w:val="Rfrencecroise"/>
    <w:rsid w:val="00EC70EE"/>
  </w:style>
  <w:style w:type="paragraph" w:customStyle="1" w:styleId="AccompagnantPagedecouverture">
    <w:name w:val="Accompagnant (Page de couverture)"/>
    <w:basedOn w:val="Accompagnant"/>
    <w:next w:val="TypeacteprincipalPagedecouverture"/>
    <w:rsid w:val="00EC70EE"/>
  </w:style>
  <w:style w:type="paragraph" w:customStyle="1" w:styleId="LanguesfaisantfoiPagedecouverture">
    <w:name w:val="Langues faisant foi (Page de couverture)"/>
    <w:basedOn w:val="Normal"/>
    <w:next w:val="Normal"/>
    <w:rsid w:val="00EC70E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EC70EE"/>
    <w:rPr>
      <w:sz w:val="16"/>
      <w:szCs w:val="16"/>
    </w:rPr>
  </w:style>
  <w:style w:type="character" w:customStyle="1" w:styleId="italic">
    <w:name w:val="italic"/>
    <w:basedOn w:val="DefaultParagraphFont"/>
    <w:rsid w:val="00EC70EE"/>
  </w:style>
  <w:style w:type="character" w:customStyle="1" w:styleId="sub">
    <w:name w:val="sub"/>
    <w:basedOn w:val="DefaultParagraphFont"/>
    <w:rsid w:val="00EC70EE"/>
  </w:style>
  <w:style w:type="character" w:customStyle="1" w:styleId="italics">
    <w:name w:val="italics"/>
    <w:basedOn w:val="DefaultParagraphFont"/>
    <w:rsid w:val="00EC70EE"/>
  </w:style>
  <w:style w:type="character" w:customStyle="1" w:styleId="normaltextrun">
    <w:name w:val="normaltextrun"/>
    <w:basedOn w:val="DefaultParagraphFont"/>
    <w:rsid w:val="00EC70EE"/>
  </w:style>
  <w:style w:type="character" w:customStyle="1" w:styleId="Marker">
    <w:name w:val="Marker"/>
    <w:basedOn w:val="DefaultParagraphFont"/>
    <w:rsid w:val="00EC70EE"/>
    <w:rPr>
      <w:color w:val="0000FF"/>
    </w:rPr>
  </w:style>
  <w:style w:type="character" w:customStyle="1" w:styleId="Marker1">
    <w:name w:val="Marker1"/>
    <w:basedOn w:val="DefaultParagraphFont"/>
    <w:rsid w:val="00EC70EE"/>
    <w:rPr>
      <w:color w:val="008000"/>
    </w:rPr>
  </w:style>
  <w:style w:type="character" w:customStyle="1" w:styleId="Marker2">
    <w:name w:val="Marker2"/>
    <w:basedOn w:val="DefaultParagraphFont"/>
    <w:rsid w:val="00EC70EE"/>
    <w:rPr>
      <w:color w:val="FF0000"/>
    </w:rPr>
  </w:style>
  <w:style w:type="character" w:customStyle="1" w:styleId="Added">
    <w:name w:val="Added"/>
    <w:basedOn w:val="DefaultParagraphFont"/>
    <w:rsid w:val="00EC70EE"/>
    <w:rPr>
      <w:b/>
      <w:bCs w:val="0"/>
      <w:u w:val="single"/>
    </w:rPr>
  </w:style>
  <w:style w:type="character" w:customStyle="1" w:styleId="Deleted">
    <w:name w:val="Deleted"/>
    <w:basedOn w:val="DefaultParagraphFont"/>
    <w:rsid w:val="00EC70EE"/>
    <w:rPr>
      <w:strike/>
    </w:rPr>
  </w:style>
  <w:style w:type="paragraph" w:customStyle="1" w:styleId="Point">
    <w:name w:val="Point"/>
    <w:basedOn w:val="Point2number"/>
    <w:rsid w:val="00EC70EE"/>
  </w:style>
  <w:style w:type="paragraph" w:customStyle="1" w:styleId="LowlTitreobjet">
    <w:name w:val="LowlTitre objet"/>
    <w:basedOn w:val="Titreobjet"/>
    <w:uiPriority w:val="99"/>
    <w:rsid w:val="00EC70EE"/>
  </w:style>
  <w:style w:type="paragraph" w:customStyle="1" w:styleId="Tiret2">
    <w:name w:val="Tiret 2"/>
    <w:basedOn w:val="Point2"/>
    <w:rsid w:val="00EC70EE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EC70EE"/>
    <w:pPr>
      <w:numPr>
        <w:numId w:val="17"/>
      </w:numPr>
    </w:pPr>
  </w:style>
  <w:style w:type="paragraph" w:customStyle="1" w:styleId="ProjRap">
    <w:name w:val="ProjRap"/>
    <w:basedOn w:val="Normal"/>
    <w:rsid w:val="00EC70EE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EC70EE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C70EE"/>
    <w:rPr>
      <w:lang w:val="hr-HR"/>
    </w:rPr>
  </w:style>
  <w:style w:type="character" w:styleId="EndnoteReference">
    <w:name w:val="endnote reference"/>
    <w:basedOn w:val="DefaultParagraphFont"/>
    <w:uiPriority w:val="99"/>
    <w:rsid w:val="00EC70EE"/>
    <w:rPr>
      <w:vertAlign w:val="superscript"/>
    </w:rPr>
  </w:style>
  <w:style w:type="paragraph" w:customStyle="1" w:styleId="PELeft">
    <w:name w:val="PELeft"/>
    <w:basedOn w:val="Normal"/>
    <w:rsid w:val="00EC70E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EC70EE"/>
    <w:pPr>
      <w:spacing w:after="240"/>
    </w:pPr>
  </w:style>
  <w:style w:type="paragraph" w:customStyle="1" w:styleId="RollCallVotes">
    <w:name w:val="RollCallVotes"/>
    <w:basedOn w:val="Normal"/>
    <w:rsid w:val="00EC70E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C70E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C70E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C70EE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EC1684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EC1684"/>
    <w:pPr>
      <w:spacing w:before="240" w:after="240"/>
      <w:jc w:val="right"/>
    </w:pPr>
  </w:style>
  <w:style w:type="paragraph" w:customStyle="1" w:styleId="AmDateTab">
    <w:name w:val="AmDateTab"/>
    <w:basedOn w:val="Normal"/>
    <w:rsid w:val="00EC1684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EC1684"/>
  </w:style>
  <w:style w:type="paragraph" w:customStyle="1" w:styleId="NormalJustified">
    <w:name w:val="Normal Justified"/>
    <w:basedOn w:val="Normal"/>
    <w:rsid w:val="00EC168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C168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C168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C168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C168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C168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EC168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C168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C168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C168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C168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C168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C168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C168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C168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C168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C1684"/>
    <w:pPr>
      <w:widowControl/>
      <w:numPr>
        <w:ilvl w:val="1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C1684"/>
    <w:pPr>
      <w:widowControl/>
      <w:numPr>
        <w:ilvl w:val="3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C1684"/>
    <w:pPr>
      <w:widowControl/>
      <w:numPr>
        <w:ilvl w:val="5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C1684"/>
    <w:pPr>
      <w:widowControl/>
      <w:numPr>
        <w:ilvl w:val="7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C1684"/>
    <w:pPr>
      <w:widowControl/>
      <w:numPr>
        <w:ilvl w:val="8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C1684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C1684"/>
    <w:pPr>
      <w:widowControl/>
      <w:numPr>
        <w:ilvl w:val="2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C1684"/>
    <w:pPr>
      <w:widowControl/>
      <w:numPr>
        <w:ilvl w:val="4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C1684"/>
    <w:pPr>
      <w:widowControl/>
      <w:numPr>
        <w:ilvl w:val="6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C1684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C1684"/>
    <w:pPr>
      <w:widowControl/>
      <w:numPr>
        <w:ilvl w:val="1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C1684"/>
    <w:pPr>
      <w:widowControl/>
      <w:numPr>
        <w:ilvl w:val="2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C1684"/>
    <w:pPr>
      <w:widowControl/>
      <w:numPr>
        <w:ilvl w:val="3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C1684"/>
    <w:pPr>
      <w:widowControl/>
      <w:numPr>
        <w:ilvl w:val="4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C1684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C1684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C1684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C1684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C1684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C1684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C1684"/>
    <w:pPr>
      <w:numPr>
        <w:numId w:val="23"/>
      </w:numPr>
    </w:pPr>
  </w:style>
  <w:style w:type="paragraph" w:customStyle="1" w:styleId="DashEqual1">
    <w:name w:val="Dash Equal 1"/>
    <w:basedOn w:val="Dash1"/>
    <w:rsid w:val="00EC1684"/>
    <w:pPr>
      <w:numPr>
        <w:numId w:val="24"/>
      </w:numPr>
    </w:pPr>
  </w:style>
  <w:style w:type="paragraph" w:customStyle="1" w:styleId="DashEqual2">
    <w:name w:val="Dash Equal 2"/>
    <w:basedOn w:val="Dash2"/>
    <w:rsid w:val="00EC1684"/>
    <w:pPr>
      <w:numPr>
        <w:numId w:val="25"/>
      </w:numPr>
    </w:pPr>
  </w:style>
  <w:style w:type="paragraph" w:customStyle="1" w:styleId="DashEqual3">
    <w:name w:val="Dash Equal 3"/>
    <w:basedOn w:val="Dash3"/>
    <w:rsid w:val="00EC1684"/>
    <w:pPr>
      <w:numPr>
        <w:numId w:val="26"/>
      </w:numPr>
    </w:pPr>
  </w:style>
  <w:style w:type="paragraph" w:customStyle="1" w:styleId="DashEqual4">
    <w:name w:val="Dash Equal 4"/>
    <w:basedOn w:val="Dash4"/>
    <w:rsid w:val="00EC1684"/>
    <w:pPr>
      <w:numPr>
        <w:numId w:val="27"/>
      </w:numPr>
    </w:pPr>
  </w:style>
  <w:style w:type="paragraph" w:customStyle="1" w:styleId="HeadingLeft">
    <w:name w:val="Heading Left"/>
    <w:basedOn w:val="Normal"/>
    <w:next w:val="Normal"/>
    <w:rsid w:val="00EC168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C1684"/>
    <w:pPr>
      <w:numPr>
        <w:numId w:val="37"/>
      </w:numPr>
    </w:pPr>
  </w:style>
  <w:style w:type="paragraph" w:customStyle="1" w:styleId="Heading123">
    <w:name w:val="Heading 123"/>
    <w:basedOn w:val="HeadingLeft"/>
    <w:next w:val="Normal"/>
    <w:rsid w:val="00EC1684"/>
    <w:pPr>
      <w:numPr>
        <w:numId w:val="36"/>
      </w:numPr>
    </w:pPr>
  </w:style>
  <w:style w:type="paragraph" w:customStyle="1" w:styleId="HeadingABC">
    <w:name w:val="Heading ABC"/>
    <w:basedOn w:val="HeadingLeft"/>
    <w:next w:val="Normal"/>
    <w:rsid w:val="00EC1684"/>
    <w:pPr>
      <w:numPr>
        <w:numId w:val="35"/>
      </w:numPr>
    </w:pPr>
  </w:style>
  <w:style w:type="paragraph" w:customStyle="1" w:styleId="HeadingCentered">
    <w:name w:val="Heading Centered"/>
    <w:basedOn w:val="HeadingLeft"/>
    <w:next w:val="Normal"/>
    <w:rsid w:val="00EC1684"/>
    <w:pPr>
      <w:jc w:val="center"/>
    </w:pPr>
  </w:style>
  <w:style w:type="paragraph" w:customStyle="1" w:styleId="Jardin">
    <w:name w:val="Jardin"/>
    <w:basedOn w:val="Normal"/>
    <w:rsid w:val="00EC168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C168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C168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C168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C1684"/>
    <w:rPr>
      <w:b/>
    </w:rPr>
  </w:style>
  <w:style w:type="paragraph" w:customStyle="1" w:styleId="Annex">
    <w:name w:val="Annex"/>
    <w:basedOn w:val="Normal"/>
    <w:next w:val="Normal"/>
    <w:rsid w:val="00EC168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C168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C168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EC168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C168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EC1684"/>
    <w:pPr>
      <w:widowControl/>
      <w:spacing w:after="440" w:line="360" w:lineRule="auto"/>
      <w:ind w:left="-1134" w:right="-1134"/>
    </w:pPr>
    <w:rPr>
      <w:rFonts w:eastAsia="Calibri"/>
      <w:sz w:val="2"/>
      <w:lang w:eastAsia="hr-HR"/>
    </w:rPr>
  </w:style>
  <w:style w:type="character" w:customStyle="1" w:styleId="TechnicalBlockChar">
    <w:name w:val="Technical Block Char"/>
    <w:link w:val="TechnicalBlock"/>
    <w:rsid w:val="00EC1684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link w:val="HeaderCouncilLarge"/>
    <w:rsid w:val="00EC1684"/>
    <w:rPr>
      <w:rFonts w:eastAsia="Calibri"/>
      <w:sz w:val="2"/>
      <w:lang w:val="hr-HR" w:eastAsia="hr-HR"/>
    </w:rPr>
  </w:style>
  <w:style w:type="paragraph" w:customStyle="1" w:styleId="FooterText">
    <w:name w:val="Footer Text"/>
    <w:basedOn w:val="Normal"/>
    <w:rsid w:val="00EC1684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rsid w:val="00EC1684"/>
    <w:rPr>
      <w:color w:val="808080"/>
    </w:rPr>
  </w:style>
  <w:style w:type="character" w:customStyle="1" w:styleId="rynqvb">
    <w:name w:val="rynqvb"/>
    <w:basedOn w:val="DefaultParagraphFont"/>
    <w:rsid w:val="00EC1684"/>
  </w:style>
  <w:style w:type="character" w:customStyle="1" w:styleId="UnresolvedMention1">
    <w:name w:val="Unresolved Mention1"/>
    <w:uiPriority w:val="99"/>
    <w:semiHidden/>
    <w:unhideWhenUsed/>
    <w:rsid w:val="00EC1684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EC1684"/>
  </w:style>
  <w:style w:type="character" w:customStyle="1" w:styleId="highlight">
    <w:name w:val="highlight"/>
    <w:basedOn w:val="DefaultParagraphFont"/>
    <w:rsid w:val="00EC1684"/>
  </w:style>
  <w:style w:type="character" w:customStyle="1" w:styleId="ui-provider">
    <w:name w:val="ui-provider"/>
    <w:basedOn w:val="DefaultParagraphFont"/>
    <w:rsid w:val="00EC1684"/>
  </w:style>
  <w:style w:type="paragraph" w:styleId="BodyText">
    <w:name w:val="Body Text"/>
    <w:basedOn w:val="Normal"/>
    <w:link w:val="BodyTextChar"/>
    <w:uiPriority w:val="99"/>
    <w:unhideWhenUsed/>
    <w:rsid w:val="00EC1684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C1684"/>
    <w:rPr>
      <w:rFonts w:ascii="Calibri" w:eastAsia="Calibri" w:hAnsi="Calibri" w:cs="Calibri"/>
      <w:sz w:val="25"/>
      <w:szCs w:val="25"/>
      <w:lang w:val="hr-HR" w:eastAsia="en-US"/>
    </w:rPr>
  </w:style>
  <w:style w:type="paragraph" w:customStyle="1" w:styleId="modref">
    <w:name w:val="modref"/>
    <w:basedOn w:val="Normal"/>
    <w:rsid w:val="00EC1684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rsid w:val="00EC1684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EC1684"/>
    <w:pPr>
      <w:widowControl/>
    </w:pPr>
    <w:rPr>
      <w:rFonts w:ascii="Calibri" w:eastAsia="Calibri" w:hAnsi="Calibri" w:cs="Arial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C1684"/>
    <w:rPr>
      <w:rFonts w:ascii="Calibri" w:eastAsia="Calibri" w:hAnsi="Calibri" w:cs="Arial"/>
      <w:sz w:val="22"/>
      <w:szCs w:val="21"/>
      <w:lang w:val="hr-HR" w:eastAsia="en-US"/>
    </w:rPr>
  </w:style>
  <w:style w:type="paragraph" w:customStyle="1" w:styleId="numberedparagraph">
    <w:name w:val="numbered paragraph"/>
    <w:basedOn w:val="Normal"/>
    <w:qFormat/>
    <w:rsid w:val="00EC1684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EC1684"/>
  </w:style>
  <w:style w:type="character" w:styleId="Strong">
    <w:name w:val="Strong"/>
    <w:uiPriority w:val="22"/>
    <w:qFormat/>
    <w:rsid w:val="00EC1684"/>
    <w:rPr>
      <w:b/>
    </w:rPr>
  </w:style>
  <w:style w:type="character" w:customStyle="1" w:styleId="eop">
    <w:name w:val="eop"/>
    <w:basedOn w:val="DefaultParagraphFont"/>
    <w:rsid w:val="00EC1684"/>
  </w:style>
  <w:style w:type="paragraph" w:customStyle="1" w:styleId="xmsonormal">
    <w:name w:val="x_msonormal"/>
    <w:basedOn w:val="Normal"/>
    <w:uiPriority w:val="99"/>
    <w:rsid w:val="00EC1684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rsid w:val="00EC1684"/>
    <w:rPr>
      <w:b/>
      <w:sz w:val="2"/>
      <w:szCs w:val="24"/>
    </w:rPr>
  </w:style>
  <w:style w:type="character" w:customStyle="1" w:styleId="FooterCouncilChar">
    <w:name w:val="Footer Council Char"/>
    <w:rsid w:val="00EC1684"/>
    <w:rPr>
      <w:b/>
      <w:sz w:val="2"/>
      <w:szCs w:val="24"/>
    </w:rPr>
  </w:style>
  <w:style w:type="paragraph" w:styleId="Caption">
    <w:name w:val="caption"/>
    <w:basedOn w:val="Normal"/>
    <w:next w:val="Normal"/>
    <w:uiPriority w:val="35"/>
    <w:qFormat/>
    <w:rsid w:val="00EC1684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uiPriority w:val="20"/>
    <w:qFormat/>
    <w:rsid w:val="00EC1684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EC1684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EC1684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EC1684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EC1684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EC1684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EC1684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EC1684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EC168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EC168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EC1684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rsid w:val="00EC1684"/>
    <w:rPr>
      <w:rFonts w:ascii="Times New Roman" w:hAnsi="Times New Roman" w:cs="Calibri"/>
      <w:sz w:val="24"/>
      <w:lang w:val="hr-HR"/>
    </w:rPr>
  </w:style>
  <w:style w:type="paragraph" w:customStyle="1" w:styleId="nbbordered">
    <w:name w:val="nb bordered"/>
    <w:basedOn w:val="Normal"/>
    <w:rsid w:val="00EC168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rsid w:val="00EC1684"/>
    <w:rPr>
      <w:rFonts w:ascii="Times New Roman" w:hAnsi="Times New Roman" w:cs="Calibri"/>
      <w:b/>
      <w:sz w:val="24"/>
      <w:lang w:val="hr-HR"/>
    </w:rPr>
  </w:style>
  <w:style w:type="paragraph" w:customStyle="1" w:styleId="DeltaViewTableHeading">
    <w:name w:val="DeltaView Table Heading"/>
    <w:basedOn w:val="Normal"/>
    <w:uiPriority w:val="99"/>
    <w:rsid w:val="00EC1684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C1684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C1684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hr-HR" w:eastAsia="fr-BE"/>
    </w:rPr>
  </w:style>
  <w:style w:type="character" w:customStyle="1" w:styleId="DeltaViewInsertion">
    <w:name w:val="DeltaView Insertion"/>
    <w:uiPriority w:val="99"/>
    <w:rsid w:val="00EC1684"/>
    <w:rPr>
      <w:b/>
      <w:i/>
      <w:color w:val="FF0000"/>
    </w:rPr>
  </w:style>
  <w:style w:type="character" w:customStyle="1" w:styleId="DeltaViewDeletion">
    <w:name w:val="DeltaView Deletion"/>
    <w:uiPriority w:val="99"/>
    <w:rsid w:val="00EC1684"/>
    <w:rPr>
      <w:strike/>
      <w:color w:val="000000"/>
    </w:rPr>
  </w:style>
  <w:style w:type="character" w:customStyle="1" w:styleId="DeltaViewMoveSource">
    <w:name w:val="DeltaView Move Source"/>
    <w:uiPriority w:val="99"/>
    <w:rsid w:val="00EC1684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C1684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EC1684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C1684"/>
  </w:style>
  <w:style w:type="paragraph" w:styleId="DocumentMap">
    <w:name w:val="Document Map"/>
    <w:basedOn w:val="Normal"/>
    <w:link w:val="DocumentMapChar"/>
    <w:uiPriority w:val="99"/>
    <w:rsid w:val="00EC1684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C1684"/>
    <w:rPr>
      <w:rFonts w:ascii="Tahoma" w:eastAsia="MS Mincho" w:hAnsi="Tahoma"/>
      <w:sz w:val="24"/>
      <w:szCs w:val="24"/>
      <w:shd w:val="clear" w:color="auto" w:fill="000080"/>
      <w:lang w:val="hr-HR" w:eastAsia="fr-BE"/>
    </w:rPr>
  </w:style>
  <w:style w:type="character" w:customStyle="1" w:styleId="DeltaViewFormatChange">
    <w:name w:val="DeltaView Format Change"/>
    <w:uiPriority w:val="99"/>
    <w:rsid w:val="00EC1684"/>
    <w:rPr>
      <w:color w:val="000000"/>
    </w:rPr>
  </w:style>
  <w:style w:type="character" w:customStyle="1" w:styleId="DeltaViewMovedDeletion">
    <w:name w:val="DeltaView Moved Deletion"/>
    <w:uiPriority w:val="99"/>
    <w:rsid w:val="00EC1684"/>
    <w:rPr>
      <w:strike/>
      <w:color w:val="C08080"/>
    </w:rPr>
  </w:style>
  <w:style w:type="character" w:customStyle="1" w:styleId="DeltaViewComment">
    <w:name w:val="DeltaView Comment"/>
    <w:uiPriority w:val="99"/>
    <w:rsid w:val="00EC1684"/>
    <w:rPr>
      <w:color w:val="000000"/>
    </w:rPr>
  </w:style>
  <w:style w:type="character" w:customStyle="1" w:styleId="DeltaViewStyleChangeText">
    <w:name w:val="DeltaView Style Change Text"/>
    <w:uiPriority w:val="99"/>
    <w:rsid w:val="00EC1684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C1684"/>
    <w:rPr>
      <w:color w:val="000000"/>
    </w:rPr>
  </w:style>
  <w:style w:type="character" w:customStyle="1" w:styleId="DeltaViewInsertedComment">
    <w:name w:val="DeltaView Inserted Comment"/>
    <w:uiPriority w:val="99"/>
    <w:rsid w:val="00EC1684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C1684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C1684"/>
    <w:rPr>
      <w:color w:val="000000"/>
    </w:rPr>
  </w:style>
  <w:style w:type="paragraph" w:customStyle="1" w:styleId="Normale">
    <w:name w:val="Normale"/>
    <w:qFormat/>
    <w:rsid w:val="00EC1684"/>
    <w:pPr>
      <w:spacing w:before="120" w:after="120" w:line="360" w:lineRule="auto"/>
      <w:jc w:val="both"/>
    </w:pPr>
    <w:rPr>
      <w:rFonts w:eastAsia="Calibri"/>
      <w:sz w:val="24"/>
      <w:szCs w:val="22"/>
      <w:lang w:val="hr-HR" w:eastAsia="en-US"/>
    </w:rPr>
  </w:style>
  <w:style w:type="character" w:customStyle="1" w:styleId="Italic0">
    <w:name w:val="Italic"/>
    <w:uiPriority w:val="1"/>
    <w:qFormat/>
    <w:rsid w:val="00EC1684"/>
    <w:rPr>
      <w:rFonts w:ascii="Times New Roman" w:hAnsi="Times New Roman"/>
      <w:i/>
    </w:rPr>
  </w:style>
  <w:style w:type="character" w:customStyle="1" w:styleId="BoldItalicFootnote">
    <w:name w:val="BoldItalicFootnote"/>
    <w:uiPriority w:val="1"/>
    <w:qFormat/>
    <w:rsid w:val="00EC1684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EC168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C168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C168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C168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C168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C168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C168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C168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C168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C168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C1684"/>
    <w:pPr>
      <w:widowControl/>
      <w:numPr>
        <w:numId w:val="4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C1684"/>
    <w:pPr>
      <w:widowControl/>
      <w:numPr>
        <w:numId w:val="4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C1684"/>
    <w:pPr>
      <w:widowControl/>
      <w:numPr>
        <w:numId w:val="4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C1684"/>
    <w:pPr>
      <w:widowControl/>
      <w:numPr>
        <w:numId w:val="4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C1684"/>
    <w:pPr>
      <w:widowControl/>
      <w:numPr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C1684"/>
    <w:pPr>
      <w:widowControl/>
      <w:numPr>
        <w:numId w:val="4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C1684"/>
    <w:pPr>
      <w:widowControl/>
      <w:numPr>
        <w:numId w:val="4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C168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C168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EC168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C168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C168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C168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C168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C168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C168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C168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C168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C168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C168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C1684"/>
    <w:pPr>
      <w:spacing w:before="240"/>
    </w:pPr>
  </w:style>
  <w:style w:type="paragraph" w:customStyle="1" w:styleId="Accordtitre">
    <w:name w:val="Accord titre"/>
    <w:basedOn w:val="Normal"/>
    <w:rsid w:val="00EC168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C168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C168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C168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C168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C168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C168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C168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C168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C168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C168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C168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C168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C168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C168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C168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C168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C168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C168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C168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C168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C168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C168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C168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C168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C168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C168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C168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C168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C168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C168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C168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EC168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C168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EC1684"/>
    <w:rPr>
      <w:b/>
      <w:i/>
    </w:rPr>
  </w:style>
  <w:style w:type="character" w:customStyle="1" w:styleId="diff-tte-removed">
    <w:name w:val="diff-tte-removed"/>
    <w:rsid w:val="00EC1684"/>
    <w:rPr>
      <w:strike/>
    </w:rPr>
  </w:style>
  <w:style w:type="paragraph" w:customStyle="1" w:styleId="point30">
    <w:name w:val="point3"/>
    <w:basedOn w:val="Normal"/>
    <w:rsid w:val="00EC1684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uiPriority w:val="99"/>
    <w:semiHidden/>
    <w:unhideWhenUsed/>
    <w:rsid w:val="00EC1684"/>
    <w:rPr>
      <w:color w:val="605E5C"/>
      <w:shd w:val="clear" w:color="auto" w:fill="E1DFDD"/>
    </w:rPr>
  </w:style>
  <w:style w:type="character" w:customStyle="1" w:styleId="Mention">
    <w:name w:val="Mention"/>
    <w:uiPriority w:val="99"/>
    <w:unhideWhenUsed/>
    <w:rsid w:val="00EC1684"/>
    <w:rPr>
      <w:color w:val="2B579A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EC1684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28425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8425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8425C"/>
    <w:pPr>
      <w:jc w:val="center"/>
    </w:pPr>
  </w:style>
  <w:style w:type="paragraph" w:customStyle="1" w:styleId="Normal24a">
    <w:name w:val="Normal24a"/>
    <w:basedOn w:val="Normal"/>
    <w:rsid w:val="0028425C"/>
    <w:pPr>
      <w:spacing w:after="480"/>
    </w:pPr>
  </w:style>
  <w:style w:type="paragraph" w:customStyle="1" w:styleId="LineSingle">
    <w:name w:val="LineSingle"/>
    <w:basedOn w:val="Normal"/>
    <w:next w:val="Normal"/>
    <w:rsid w:val="0028425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8425C"/>
    <w:pPr>
      <w:spacing w:before="240" w:after="240"/>
    </w:pPr>
  </w:style>
  <w:style w:type="character" w:customStyle="1" w:styleId="Mention1">
    <w:name w:val="Mention1"/>
    <w:uiPriority w:val="99"/>
    <w:unhideWhenUsed/>
    <w:rsid w:val="0028425C"/>
    <w:rPr>
      <w:color w:val="2B579A"/>
      <w:shd w:val="clear" w:color="auto" w:fill="E1DFDD"/>
    </w:rPr>
  </w:style>
  <w:style w:type="character" w:customStyle="1" w:styleId="UnresolvedMention3">
    <w:name w:val="Unresolved Mention3"/>
    <w:uiPriority w:val="99"/>
    <w:semiHidden/>
    <w:unhideWhenUsed/>
    <w:rsid w:val="0028425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84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F825E-2AB6-4595-A7A5-2DC6EFCB7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2025-01-27T14:14:00Z</dcterms:created>
  <dcterms:modified xsi:type="dcterms:W3CDTF">2025-01-27T14:14:00Z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