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06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00636" w:rsidRDefault="005D0517" w:rsidP="0010095E">
            <w:pPr>
              <w:pStyle w:val="EPName"/>
            </w:pPr>
            <w:r w:rsidRPr="00000636">
              <w:t>Parlament Ewropew</w:t>
            </w:r>
          </w:p>
          <w:p w:rsidR="00751A4A" w:rsidRPr="000006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DD6">
              <w:t>2019</w:t>
            </w:r>
            <w:r w:rsidRPr="00000636">
              <w:t>-</w:t>
            </w:r>
            <w:r w:rsidRPr="00E31DD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00636" w:rsidRDefault="00187494" w:rsidP="0010095E">
            <w:pPr>
              <w:pStyle w:val="EPLogo"/>
            </w:pPr>
            <w:r w:rsidRPr="000006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00636" w:rsidRDefault="00D058B8" w:rsidP="004C5D52">
      <w:pPr>
        <w:pStyle w:val="LineTop"/>
      </w:pPr>
    </w:p>
    <w:p w:rsidR="00680577" w:rsidRPr="00000636" w:rsidRDefault="005D0517" w:rsidP="00680577">
      <w:pPr>
        <w:pStyle w:val="EPBodyTA1"/>
      </w:pPr>
      <w:r w:rsidRPr="00000636">
        <w:t>TESTI ADOTTATI</w:t>
      </w:r>
    </w:p>
    <w:p w:rsidR="00D058B8" w:rsidRPr="00000636" w:rsidRDefault="00D058B8" w:rsidP="00D058B8">
      <w:pPr>
        <w:pStyle w:val="LineBottom"/>
      </w:pPr>
    </w:p>
    <w:p w:rsidR="005D0517" w:rsidRPr="00000636" w:rsidRDefault="005D0517" w:rsidP="005D0517">
      <w:pPr>
        <w:pStyle w:val="ATHeading1"/>
      </w:pPr>
      <w:bookmarkStart w:id="0" w:name="TANumber"/>
      <w:r w:rsidRPr="00000636">
        <w:t>P</w:t>
      </w:r>
      <w:r w:rsidRPr="00E31DD6">
        <w:t>9</w:t>
      </w:r>
      <w:r w:rsidRPr="00000636">
        <w:t>_TA(</w:t>
      </w:r>
      <w:r w:rsidRPr="00E31DD6">
        <w:t>2024</w:t>
      </w:r>
      <w:r w:rsidRPr="00000636">
        <w:t>)</w:t>
      </w:r>
      <w:r w:rsidRPr="00E31DD6">
        <w:t>0</w:t>
      </w:r>
      <w:bookmarkEnd w:id="0"/>
      <w:r w:rsidR="00000636" w:rsidRPr="00E31DD6">
        <w:t>295</w:t>
      </w:r>
    </w:p>
    <w:p w:rsidR="005D0517" w:rsidRPr="00000636" w:rsidRDefault="005D0517" w:rsidP="005D0517">
      <w:pPr>
        <w:pStyle w:val="ATHeading2"/>
      </w:pPr>
      <w:bookmarkStart w:id="1" w:name="title"/>
      <w:r w:rsidRPr="00000636">
        <w:t xml:space="preserve">Emenda tad-Direttiva </w:t>
      </w:r>
      <w:proofErr w:type="spellStart"/>
      <w:r w:rsidRPr="00000636">
        <w:t>Solvenza</w:t>
      </w:r>
      <w:proofErr w:type="spellEnd"/>
      <w:r w:rsidRPr="00000636">
        <w:t xml:space="preserve"> II</w:t>
      </w:r>
      <w:bookmarkEnd w:id="1"/>
    </w:p>
    <w:p w:rsidR="005D0517" w:rsidRPr="00000636" w:rsidRDefault="005D0517" w:rsidP="005D0517">
      <w:pPr>
        <w:rPr>
          <w:i/>
          <w:vanish/>
        </w:rPr>
      </w:pPr>
      <w:r w:rsidRPr="00000636">
        <w:rPr>
          <w:i/>
        </w:rPr>
        <w:fldChar w:fldCharType="begin"/>
      </w:r>
      <w:r w:rsidRPr="00000636">
        <w:rPr>
          <w:i/>
        </w:rPr>
        <w:instrText xml:space="preserve"> TC"(</w:instrText>
      </w:r>
      <w:bookmarkStart w:id="2" w:name="DocNumber"/>
      <w:r w:rsidRPr="00000636">
        <w:rPr>
          <w:i/>
        </w:rPr>
        <w:instrText>A</w:instrText>
      </w:r>
      <w:r w:rsidRPr="00E31DD6">
        <w:rPr>
          <w:i/>
        </w:rPr>
        <w:instrText>9</w:instrText>
      </w:r>
      <w:r w:rsidRPr="00000636">
        <w:rPr>
          <w:i/>
        </w:rPr>
        <w:instrText>-</w:instrText>
      </w:r>
      <w:r w:rsidRPr="00E31DD6">
        <w:rPr>
          <w:i/>
        </w:rPr>
        <w:instrText>0256</w:instrText>
      </w:r>
      <w:r w:rsidRPr="00000636">
        <w:rPr>
          <w:i/>
        </w:rPr>
        <w:instrText>/</w:instrText>
      </w:r>
      <w:r w:rsidRPr="00E31DD6">
        <w:rPr>
          <w:i/>
        </w:rPr>
        <w:instrText>2023</w:instrText>
      </w:r>
      <w:bookmarkEnd w:id="2"/>
      <w:r w:rsidRPr="00000636">
        <w:rPr>
          <w:i/>
        </w:rPr>
        <w:instrText xml:space="preserve"> - </w:instrText>
      </w:r>
      <w:proofErr w:type="spellStart"/>
      <w:r w:rsidRPr="00000636">
        <w:rPr>
          <w:i/>
        </w:rPr>
        <w:instrText>Rapporteur</w:instrText>
      </w:r>
      <w:proofErr w:type="spellEnd"/>
      <w:r w:rsidRPr="00000636">
        <w:rPr>
          <w:i/>
        </w:rPr>
        <w:instrText xml:space="preserve">: Markus </w:instrText>
      </w:r>
      <w:proofErr w:type="spellStart"/>
      <w:r w:rsidRPr="00000636">
        <w:rPr>
          <w:i/>
        </w:rPr>
        <w:instrText>Ferber</w:instrText>
      </w:r>
      <w:proofErr w:type="spellEnd"/>
      <w:r w:rsidRPr="00000636">
        <w:rPr>
          <w:i/>
        </w:rPr>
        <w:instrText>)"\l</w:instrText>
      </w:r>
      <w:r w:rsidRPr="00E31DD6">
        <w:rPr>
          <w:i/>
        </w:rPr>
        <w:instrText>3</w:instrText>
      </w:r>
      <w:r w:rsidRPr="00000636">
        <w:rPr>
          <w:i/>
        </w:rPr>
        <w:instrText xml:space="preserve"> \n&gt; \* MERGEFORMAT </w:instrText>
      </w:r>
      <w:r w:rsidRPr="00000636">
        <w:rPr>
          <w:i/>
        </w:rPr>
        <w:fldChar w:fldCharType="end"/>
      </w:r>
    </w:p>
    <w:p w:rsidR="005D0517" w:rsidRPr="00000636" w:rsidRDefault="005D0517" w:rsidP="005D0517">
      <w:pPr>
        <w:rPr>
          <w:vanish/>
        </w:rPr>
      </w:pPr>
      <w:bookmarkStart w:id="3" w:name="Commission"/>
      <w:r w:rsidRPr="00000636">
        <w:rPr>
          <w:vanish/>
        </w:rPr>
        <w:t>Kumitat għall-Affarijiet Ekonomiċi u Monetarji</w:t>
      </w:r>
      <w:bookmarkEnd w:id="3"/>
    </w:p>
    <w:p w:rsidR="005D0517" w:rsidRPr="00000636" w:rsidRDefault="005D0517" w:rsidP="005D0517">
      <w:pPr>
        <w:rPr>
          <w:vanish/>
        </w:rPr>
      </w:pPr>
      <w:bookmarkStart w:id="4" w:name="PE"/>
      <w:r w:rsidRPr="00000636">
        <w:rPr>
          <w:vanish/>
        </w:rPr>
        <w:t>PE</w:t>
      </w:r>
      <w:r w:rsidRPr="00E31DD6">
        <w:rPr>
          <w:vanish/>
        </w:rPr>
        <w:t>732</w:t>
      </w:r>
      <w:r w:rsidRPr="00000636">
        <w:rPr>
          <w:vanish/>
        </w:rPr>
        <w:t>.</w:t>
      </w:r>
      <w:r w:rsidRPr="00E31DD6">
        <w:rPr>
          <w:vanish/>
        </w:rPr>
        <w:t>668</w:t>
      </w:r>
      <w:bookmarkEnd w:id="4"/>
    </w:p>
    <w:p w:rsidR="005D0517" w:rsidRPr="00000636" w:rsidRDefault="005D0517" w:rsidP="005D0517">
      <w:pPr>
        <w:pStyle w:val="ATHeading3"/>
      </w:pPr>
      <w:bookmarkStart w:id="5" w:name="Sujet"/>
      <w:r w:rsidRPr="00000636">
        <w:t xml:space="preserve">Riżoluzzjoni </w:t>
      </w:r>
      <w:proofErr w:type="spellStart"/>
      <w:r w:rsidRPr="00000636">
        <w:t>leġiżlattiva</w:t>
      </w:r>
      <w:proofErr w:type="spellEnd"/>
      <w:r w:rsidRPr="00000636">
        <w:t xml:space="preserve"> tal-Parlament Ewropew tat-</w:t>
      </w:r>
      <w:r w:rsidRPr="00E31DD6">
        <w:t>23</w:t>
      </w:r>
      <w:r w:rsidRPr="00000636">
        <w:t xml:space="preserve"> ta' April </w:t>
      </w:r>
      <w:r w:rsidRPr="00E31DD6">
        <w:t>2024</w:t>
      </w:r>
      <w:r w:rsidRPr="00000636">
        <w:t xml:space="preserve"> dwar il-proposta għal direttiva tal-Parlament Ewropew u tal-Kunsill li temenda d-Direttiva </w:t>
      </w:r>
      <w:r w:rsidRPr="00E31DD6">
        <w:t>2009</w:t>
      </w:r>
      <w:r w:rsidRPr="00000636">
        <w:t>/</w:t>
      </w:r>
      <w:r w:rsidRPr="00E31DD6">
        <w:t>138</w:t>
      </w:r>
      <w:r w:rsidRPr="00000636">
        <w:t xml:space="preserve">/KE f’dak li għandu x’jaqsam </w:t>
      </w:r>
      <w:proofErr w:type="spellStart"/>
      <w:r w:rsidRPr="00000636">
        <w:t>mal-proporzjonalità</w:t>
      </w:r>
      <w:proofErr w:type="spellEnd"/>
      <w:r w:rsidRPr="00000636">
        <w:t xml:space="preserve">, il-kwalità tas-superviżjoni, </w:t>
      </w:r>
      <w:proofErr w:type="spellStart"/>
      <w:r w:rsidRPr="00000636">
        <w:t>ir-rappurtar</w:t>
      </w:r>
      <w:proofErr w:type="spellEnd"/>
      <w:r w:rsidRPr="00000636">
        <w:t xml:space="preserve">, il-miżuri ta’ garanzija fit-tul, l-għodod </w:t>
      </w:r>
      <w:proofErr w:type="spellStart"/>
      <w:r w:rsidRPr="00000636">
        <w:t>makroprudenzjali</w:t>
      </w:r>
      <w:proofErr w:type="spellEnd"/>
      <w:r w:rsidRPr="00000636">
        <w:t xml:space="preserve">, ir-riskji tas-sostenibbiltà, is-superviżjoni tal-gruppi u s-superviżjoni </w:t>
      </w:r>
      <w:proofErr w:type="spellStart"/>
      <w:r w:rsidRPr="00000636">
        <w:t>transfruntiera</w:t>
      </w:r>
      <w:bookmarkEnd w:id="5"/>
      <w:proofErr w:type="spellEnd"/>
      <w:r w:rsidRPr="00000636">
        <w:t xml:space="preserve"> </w:t>
      </w:r>
      <w:bookmarkStart w:id="6" w:name="References"/>
      <w:r w:rsidRPr="00000636">
        <w:t>(COM(</w:t>
      </w:r>
      <w:r w:rsidRPr="00E31DD6">
        <w:t>2021</w:t>
      </w:r>
      <w:r w:rsidRPr="00000636">
        <w:t>)</w:t>
      </w:r>
      <w:r w:rsidRPr="00E31DD6">
        <w:t>0581</w:t>
      </w:r>
      <w:r w:rsidRPr="00000636">
        <w:t xml:space="preserve"> – C</w:t>
      </w:r>
      <w:r w:rsidRPr="00E31DD6">
        <w:t>9</w:t>
      </w:r>
      <w:r w:rsidRPr="00000636">
        <w:t>-</w:t>
      </w:r>
      <w:r w:rsidRPr="00E31DD6">
        <w:t>0367</w:t>
      </w:r>
      <w:r w:rsidRPr="00000636">
        <w:t>/</w:t>
      </w:r>
      <w:r w:rsidRPr="00E31DD6">
        <w:t>2021</w:t>
      </w:r>
      <w:r w:rsidRPr="00000636">
        <w:t xml:space="preserve"> – </w:t>
      </w:r>
      <w:r w:rsidRPr="00E31DD6">
        <w:t>2021</w:t>
      </w:r>
      <w:r w:rsidRPr="00000636">
        <w:t>/</w:t>
      </w:r>
      <w:r w:rsidRPr="00E31DD6">
        <w:t>0295</w:t>
      </w:r>
      <w:r w:rsidRPr="00000636">
        <w:t>(COD))</w:t>
      </w:r>
      <w:bookmarkEnd w:id="6"/>
    </w:p>
    <w:p w:rsidR="001061D3" w:rsidRPr="00000636" w:rsidRDefault="001061D3" w:rsidP="001061D3">
      <w:pPr>
        <w:pStyle w:val="NormalBold"/>
      </w:pPr>
      <w:bookmarkStart w:id="7" w:name="TextBodyBegin"/>
      <w:bookmarkEnd w:id="7"/>
      <w:r w:rsidRPr="00000636">
        <w:t xml:space="preserve">(Proċedura </w:t>
      </w:r>
      <w:proofErr w:type="spellStart"/>
      <w:r w:rsidRPr="00000636">
        <w:t>leġiżlattiva</w:t>
      </w:r>
      <w:proofErr w:type="spellEnd"/>
      <w:r w:rsidRPr="00000636">
        <w:t xml:space="preserve"> ordinarja: l-ewwel qari)</w:t>
      </w:r>
    </w:p>
    <w:p w:rsidR="001061D3" w:rsidRPr="00000636" w:rsidRDefault="001061D3" w:rsidP="001061D3">
      <w:pPr>
        <w:pStyle w:val="EPComma"/>
      </w:pPr>
      <w:r w:rsidRPr="00000636">
        <w:rPr>
          <w:i/>
        </w:rPr>
        <w:t>Il-Parlament Ewropew</w:t>
      </w:r>
      <w:r w:rsidRPr="00000636">
        <w:t>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l-proposta tal-Kummissjoni lill-Parlament Ewropew u lill-Kunsill (COM(</w:t>
      </w:r>
      <w:r w:rsidRPr="00E31DD6">
        <w:t>2021</w:t>
      </w:r>
      <w:r w:rsidRPr="00000636">
        <w:t>)</w:t>
      </w:r>
      <w:r w:rsidRPr="00E31DD6">
        <w:t>0581</w:t>
      </w:r>
      <w:r w:rsidRPr="00000636">
        <w:t>),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l-Artikolu </w:t>
      </w:r>
      <w:r w:rsidRPr="00E31DD6">
        <w:t>294</w:t>
      </w:r>
      <w:r w:rsidRPr="00000636">
        <w:t>(</w:t>
      </w:r>
      <w:r w:rsidRPr="00E31DD6">
        <w:t>2</w:t>
      </w:r>
      <w:r w:rsidRPr="00000636">
        <w:t>) u l-Artikol</w:t>
      </w:r>
      <w:r w:rsidR="005555E8" w:rsidRPr="00000636">
        <w:t>u</w:t>
      </w:r>
      <w:r w:rsidRPr="00000636">
        <w:t> </w:t>
      </w:r>
      <w:r w:rsidRPr="00E31DD6">
        <w:t>53</w:t>
      </w:r>
      <w:r w:rsidRPr="00000636">
        <w:t>(</w:t>
      </w:r>
      <w:r w:rsidRPr="00E31DD6">
        <w:t>1</w:t>
      </w:r>
      <w:r w:rsidRPr="00000636">
        <w:t xml:space="preserve">), </w:t>
      </w:r>
      <w:r w:rsidR="005555E8" w:rsidRPr="00000636">
        <w:t xml:space="preserve">l-Artikolu </w:t>
      </w:r>
      <w:r w:rsidRPr="00E31DD6">
        <w:t>62</w:t>
      </w:r>
      <w:r w:rsidRPr="00000636">
        <w:t xml:space="preserve"> u </w:t>
      </w:r>
      <w:r w:rsidR="005555E8" w:rsidRPr="00000636">
        <w:t xml:space="preserve">l-Artikolu </w:t>
      </w:r>
      <w:r w:rsidRPr="00E31DD6">
        <w:t>114</w:t>
      </w:r>
      <w:r w:rsidRPr="00000636">
        <w:t xml:space="preserve"> tat-Trattat dwar il-Funzjonament tal-Unjoni Ewropea, skont liema artikoli l-Kummissjoni ppreżentat il-proposta lill-Parlament (C</w:t>
      </w:r>
      <w:r w:rsidRPr="00E31DD6">
        <w:t>9</w:t>
      </w:r>
      <w:r w:rsidRPr="00000636">
        <w:noBreakHyphen/>
      </w:r>
      <w:r w:rsidRPr="00E31DD6">
        <w:t>0367</w:t>
      </w:r>
      <w:r w:rsidRPr="00000636">
        <w:t>/</w:t>
      </w:r>
      <w:r w:rsidRPr="00E31DD6">
        <w:t>2021</w:t>
      </w:r>
      <w:r w:rsidRPr="00000636">
        <w:t>),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l-Artikolu </w:t>
      </w:r>
      <w:r w:rsidRPr="00E31DD6">
        <w:t>294</w:t>
      </w:r>
      <w:r w:rsidRPr="00000636">
        <w:t>(</w:t>
      </w:r>
      <w:r w:rsidRPr="00E31DD6">
        <w:t>3</w:t>
      </w:r>
      <w:r w:rsidRPr="00000636">
        <w:t>) tat-Trattat dwar il-Funzjonament tal-Unjoni Ewropea,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l-opinjoni tal-Kumitat Ekonomiku u Soċjali Ewropew tat-</w:t>
      </w:r>
      <w:r w:rsidRPr="00E31DD6">
        <w:t>23</w:t>
      </w:r>
      <w:r w:rsidRPr="00000636">
        <w:t xml:space="preserve"> ta’ Frar </w:t>
      </w:r>
      <w:r w:rsidRPr="00E31DD6">
        <w:t>2022</w:t>
      </w:r>
      <w:r w:rsidRPr="00000636">
        <w:rPr>
          <w:rStyle w:val="FootnoteReference"/>
          <w:szCs w:val="24"/>
        </w:rPr>
        <w:footnoteReference w:id="1"/>
      </w:r>
      <w:r w:rsidRPr="00000636">
        <w:t>,</w:t>
      </w:r>
    </w:p>
    <w:p w:rsidR="00F01CA8" w:rsidRPr="00000636" w:rsidRDefault="00F01CA8" w:rsidP="00F01CA8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l-ftehim proviżorju approvat mill-kumitat responsabbli fis-sens tal-Artikolu </w:t>
      </w:r>
      <w:r w:rsidRPr="00E31DD6">
        <w:t>74</w:t>
      </w:r>
      <w:r w:rsidRPr="00000636">
        <w:t>(</w:t>
      </w:r>
      <w:r w:rsidRPr="00E31DD6">
        <w:t>4</w:t>
      </w:r>
      <w:r w:rsidRPr="00000636">
        <w:t>) tar-Regoli ta' Proċedura tiegħu u l-impenn meħud mir-rappreżentant tal-Kunsill, permezz tal-ittra t</w:t>
      </w:r>
      <w:bookmarkStart w:id="8" w:name="_GoBack"/>
      <w:bookmarkEnd w:id="8"/>
      <w:r w:rsidRPr="00000636">
        <w:t>al-</w:t>
      </w:r>
      <w:r w:rsidRPr="00E31DD6">
        <w:t>24</w:t>
      </w:r>
      <w:r w:rsidRPr="00000636">
        <w:t> ta' Jannar </w:t>
      </w:r>
      <w:r w:rsidRPr="00E31DD6">
        <w:t>2024</w:t>
      </w:r>
      <w:r w:rsidRPr="00000636">
        <w:t>, li japprova l-pożizzjoni tal-Parlament, skont l-Artikolu </w:t>
      </w:r>
      <w:r w:rsidRPr="00E31DD6">
        <w:t>294</w:t>
      </w:r>
      <w:r w:rsidRPr="00000636">
        <w:t>(</w:t>
      </w:r>
      <w:r w:rsidRPr="00E31DD6">
        <w:t>4</w:t>
      </w:r>
      <w:r w:rsidRPr="00000636">
        <w:t>) tat-Trattat dwar il-Funzjonament tal-Unjoni Ewropea,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l-Artikolu </w:t>
      </w:r>
      <w:r w:rsidRPr="00E31DD6">
        <w:t>59</w:t>
      </w:r>
      <w:r w:rsidRPr="00000636">
        <w:t xml:space="preserve"> tar-Regoli ta’ Proċedura tiegħu,</w:t>
      </w:r>
    </w:p>
    <w:p w:rsidR="001061D3" w:rsidRPr="00000636" w:rsidRDefault="001061D3" w:rsidP="001061D3">
      <w:pPr>
        <w:pStyle w:val="NormalHanging12a"/>
      </w:pPr>
      <w:r w:rsidRPr="00000636">
        <w:t>–</w:t>
      </w:r>
      <w:r w:rsidRPr="00000636">
        <w:tab/>
        <w:t xml:space="preserve">wara li </w:t>
      </w:r>
      <w:proofErr w:type="spellStart"/>
      <w:r w:rsidRPr="00000636">
        <w:t>kkunsidra</w:t>
      </w:r>
      <w:proofErr w:type="spellEnd"/>
      <w:r w:rsidRPr="00000636">
        <w:t xml:space="preserve"> r-rapport tal-Kumitat għall-Affarijiet Ekonomiċi u Monetarji (A</w:t>
      </w:r>
      <w:r w:rsidRPr="00E31DD6">
        <w:t>9</w:t>
      </w:r>
      <w:r w:rsidRPr="00000636">
        <w:t>-</w:t>
      </w:r>
      <w:r w:rsidRPr="00E31DD6">
        <w:t>0256</w:t>
      </w:r>
      <w:r w:rsidRPr="00000636">
        <w:t>/</w:t>
      </w:r>
      <w:r w:rsidRPr="00E31DD6">
        <w:t>2023</w:t>
      </w:r>
      <w:r w:rsidRPr="00000636">
        <w:t>),</w:t>
      </w:r>
    </w:p>
    <w:p w:rsidR="001061D3" w:rsidRPr="00000636" w:rsidRDefault="001061D3" w:rsidP="001061D3">
      <w:pPr>
        <w:pStyle w:val="NormalHanging12a"/>
      </w:pPr>
      <w:r w:rsidRPr="00E31DD6">
        <w:lastRenderedPageBreak/>
        <w:t>1</w:t>
      </w:r>
      <w:r w:rsidRPr="00000636">
        <w:t>.</w:t>
      </w:r>
      <w:r w:rsidRPr="00000636">
        <w:tab/>
        <w:t>Jadotta l-pożizzjoni fl-ewwel qari li tidher hawn taħt;</w:t>
      </w:r>
    </w:p>
    <w:p w:rsidR="001061D3" w:rsidRPr="00000636" w:rsidRDefault="001061D3" w:rsidP="001061D3">
      <w:pPr>
        <w:pStyle w:val="NormalHanging12a"/>
      </w:pPr>
      <w:r w:rsidRPr="00E31DD6">
        <w:t>2</w:t>
      </w:r>
      <w:r w:rsidRPr="00000636">
        <w:t>.</w:t>
      </w:r>
      <w:r w:rsidRPr="00000636">
        <w:tab/>
        <w:t xml:space="preserve">Jitlob lill-Kummissjoni </w:t>
      </w:r>
      <w:proofErr w:type="spellStart"/>
      <w:r w:rsidRPr="00000636">
        <w:t>terġa</w:t>
      </w:r>
      <w:proofErr w:type="spellEnd"/>
      <w:r w:rsidRPr="00000636">
        <w:t xml:space="preserve">’ tirreferi l-kwistjoni lill-Parlament jekk tibdel il-proposta tagħha, </w:t>
      </w:r>
      <w:proofErr w:type="spellStart"/>
      <w:r w:rsidRPr="00000636">
        <w:t>temendaha</w:t>
      </w:r>
      <w:proofErr w:type="spellEnd"/>
      <w:r w:rsidRPr="00000636">
        <w:t xml:space="preserve"> b’mod sustanzjali jew ikollha l-ħsieb li </w:t>
      </w:r>
      <w:proofErr w:type="spellStart"/>
      <w:r w:rsidRPr="00000636">
        <w:t>temendaha</w:t>
      </w:r>
      <w:proofErr w:type="spellEnd"/>
      <w:r w:rsidRPr="00000636">
        <w:t xml:space="preserve"> b’mod sustanzjali;</w:t>
      </w:r>
    </w:p>
    <w:p w:rsidR="001061D3" w:rsidRPr="00000636" w:rsidRDefault="001061D3" w:rsidP="001061D3">
      <w:pPr>
        <w:pStyle w:val="NormalHanging12a"/>
      </w:pPr>
      <w:r w:rsidRPr="00E31DD6">
        <w:t>3</w:t>
      </w:r>
      <w:r w:rsidRPr="00000636">
        <w:t>.</w:t>
      </w:r>
      <w:r w:rsidRPr="00000636">
        <w:tab/>
        <w:t>Jagħti istruzzjonijiet lill-President tiegħu biex tgħaddi l-pożizzjoni tal-Parlament lill-Kunsill u lill-Kummissjoni kif ukoll lill-parlamenti nazzjonali.</w:t>
      </w:r>
    </w:p>
    <w:p w:rsidR="00F01CA8" w:rsidRPr="00000636" w:rsidRDefault="00F01CA8" w:rsidP="001061D3">
      <w:pPr>
        <w:widowControl/>
        <w:sectPr w:rsidR="00F01CA8" w:rsidRPr="00000636" w:rsidSect="00AE523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061D3" w:rsidRPr="00000636" w:rsidRDefault="00F01CA8" w:rsidP="00F01CA8">
      <w:pPr>
        <w:widowControl/>
        <w:spacing w:after="240"/>
      </w:pPr>
      <w:r w:rsidRPr="00000636">
        <w:rPr>
          <w:rFonts w:eastAsia="Calibri"/>
          <w:b/>
          <w:bCs/>
          <w:color w:val="000000"/>
          <w:szCs w:val="24"/>
        </w:rPr>
        <w:lastRenderedPageBreak/>
        <w:t>P</w:t>
      </w:r>
      <w:r w:rsidRPr="00E31DD6">
        <w:rPr>
          <w:rFonts w:eastAsia="Calibri"/>
          <w:b/>
          <w:bCs/>
          <w:color w:val="000000"/>
          <w:szCs w:val="24"/>
        </w:rPr>
        <w:t>9</w:t>
      </w:r>
      <w:r w:rsidRPr="00000636">
        <w:rPr>
          <w:rFonts w:eastAsia="Calibri"/>
          <w:b/>
          <w:bCs/>
          <w:color w:val="000000"/>
          <w:szCs w:val="24"/>
        </w:rPr>
        <w:t>_TC</w:t>
      </w:r>
      <w:r w:rsidRPr="00E31DD6">
        <w:rPr>
          <w:rFonts w:eastAsia="Calibri"/>
          <w:b/>
          <w:bCs/>
          <w:color w:val="000000"/>
          <w:szCs w:val="24"/>
        </w:rPr>
        <w:t>1</w:t>
      </w:r>
      <w:r w:rsidRPr="00000636">
        <w:rPr>
          <w:rFonts w:eastAsia="Calibri"/>
          <w:b/>
          <w:bCs/>
          <w:color w:val="000000"/>
          <w:szCs w:val="24"/>
        </w:rPr>
        <w:t>-COD(</w:t>
      </w:r>
      <w:r w:rsidRPr="00E31DD6">
        <w:rPr>
          <w:rFonts w:eastAsia="Calibri"/>
          <w:b/>
          <w:bCs/>
          <w:color w:val="000000"/>
          <w:szCs w:val="24"/>
        </w:rPr>
        <w:t>2021</w:t>
      </w:r>
      <w:r w:rsidRPr="00000636">
        <w:rPr>
          <w:rFonts w:eastAsia="Calibri"/>
          <w:b/>
          <w:bCs/>
          <w:color w:val="000000"/>
          <w:szCs w:val="24"/>
        </w:rPr>
        <w:t>)</w:t>
      </w:r>
      <w:r w:rsidRPr="00E31DD6">
        <w:rPr>
          <w:rFonts w:eastAsia="Calibri"/>
          <w:b/>
          <w:bCs/>
          <w:color w:val="000000"/>
          <w:szCs w:val="24"/>
        </w:rPr>
        <w:t>0295</w:t>
      </w:r>
    </w:p>
    <w:p w:rsidR="001A6D83" w:rsidRDefault="00F01CA8" w:rsidP="00843D98">
      <w:pPr>
        <w:widowControl/>
        <w:autoSpaceDE w:val="0"/>
        <w:autoSpaceDN w:val="0"/>
        <w:adjustRightInd w:val="0"/>
        <w:spacing w:before="120" w:after="120"/>
        <w:rPr>
          <w:b/>
          <w:color w:val="000000"/>
        </w:rPr>
      </w:pPr>
      <w:bookmarkStart w:id="9" w:name="TextBodyEnd"/>
      <w:bookmarkEnd w:id="9"/>
      <w:r w:rsidRPr="00000636">
        <w:rPr>
          <w:b/>
          <w:bCs/>
        </w:rPr>
        <w:t>Pożizzjoni tal-Parlament Ewropew adottata fl-ewwel qari tat-</w:t>
      </w:r>
      <w:r w:rsidRPr="00E31DD6">
        <w:rPr>
          <w:b/>
          <w:bCs/>
        </w:rPr>
        <w:t>23</w:t>
      </w:r>
      <w:r w:rsidRPr="00000636">
        <w:rPr>
          <w:b/>
        </w:rPr>
        <w:t xml:space="preserve"> </w:t>
      </w:r>
      <w:r w:rsidRPr="00000636">
        <w:rPr>
          <w:b/>
          <w:bCs/>
        </w:rPr>
        <w:t xml:space="preserve">ta' April </w:t>
      </w:r>
      <w:r w:rsidRPr="00E31DD6">
        <w:rPr>
          <w:b/>
          <w:bCs/>
        </w:rPr>
        <w:t>2024</w:t>
      </w:r>
      <w:r w:rsidRPr="00000636">
        <w:rPr>
          <w:b/>
          <w:bCs/>
        </w:rPr>
        <w:t xml:space="preserve"> bil-ħsieb tal-adozzjoni tad-Direttiva (UE) </w:t>
      </w:r>
      <w:r w:rsidR="00843D98">
        <w:rPr>
          <w:b/>
          <w:bCs/>
        </w:rPr>
        <w:t>2025</w:t>
      </w:r>
      <w:r w:rsidRPr="00000636">
        <w:rPr>
          <w:b/>
          <w:bCs/>
        </w:rPr>
        <w:t xml:space="preserve">/... </w:t>
      </w:r>
      <w:r w:rsidRPr="00000636">
        <w:rPr>
          <w:b/>
        </w:rPr>
        <w:t xml:space="preserve">tal-Parlament Ewropew u tal-Kunsill </w:t>
      </w:r>
      <w:r w:rsidR="001A6D83" w:rsidRPr="00656280">
        <w:rPr>
          <w:b/>
          <w:color w:val="000000"/>
        </w:rPr>
        <w:t xml:space="preserve">li temenda d-Direttiva 2009/138/KE f’dak li għandu x’jaqsam </w:t>
      </w:r>
      <w:proofErr w:type="spellStart"/>
      <w:r w:rsidR="001A6D83" w:rsidRPr="00656280">
        <w:rPr>
          <w:b/>
          <w:color w:val="000000"/>
        </w:rPr>
        <w:t>mal-proporzjonalità</w:t>
      </w:r>
      <w:proofErr w:type="spellEnd"/>
      <w:r w:rsidR="001A6D83" w:rsidRPr="00656280">
        <w:rPr>
          <w:b/>
          <w:color w:val="000000"/>
        </w:rPr>
        <w:t xml:space="preserve">, il-kwalità tas-superviżjoni, </w:t>
      </w:r>
      <w:proofErr w:type="spellStart"/>
      <w:r w:rsidR="001A6D83" w:rsidRPr="00656280">
        <w:rPr>
          <w:b/>
          <w:color w:val="000000"/>
        </w:rPr>
        <w:t>ir-rappurtar</w:t>
      </w:r>
      <w:proofErr w:type="spellEnd"/>
      <w:r w:rsidR="001A6D83" w:rsidRPr="00656280">
        <w:rPr>
          <w:b/>
          <w:color w:val="000000"/>
        </w:rPr>
        <w:t>, il-</w:t>
      </w:r>
      <w:r w:rsidR="001A6D83" w:rsidRPr="00843D98">
        <w:rPr>
          <w:b/>
          <w:color w:val="000000"/>
        </w:rPr>
        <w:t xml:space="preserve">miżuri ta’ garanzija fit-tul, l-għodod </w:t>
      </w:r>
      <w:proofErr w:type="spellStart"/>
      <w:r w:rsidR="001A6D83" w:rsidRPr="00843D98">
        <w:rPr>
          <w:b/>
          <w:color w:val="000000"/>
        </w:rPr>
        <w:t>makroprudenzjali</w:t>
      </w:r>
      <w:proofErr w:type="spellEnd"/>
      <w:r w:rsidR="001A6D83" w:rsidRPr="00843D98">
        <w:rPr>
          <w:b/>
          <w:color w:val="000000"/>
        </w:rPr>
        <w:t xml:space="preserve">, ir-riskji tas-sostenibbiltà u s-superviżjoni tal-gruppi u s-superviżjoni </w:t>
      </w:r>
      <w:proofErr w:type="spellStart"/>
      <w:r w:rsidR="001A6D83" w:rsidRPr="00843D98">
        <w:rPr>
          <w:b/>
          <w:color w:val="000000"/>
        </w:rPr>
        <w:t>transfruntiera</w:t>
      </w:r>
      <w:proofErr w:type="spellEnd"/>
      <w:r w:rsidR="001A6D83" w:rsidRPr="00843D98">
        <w:rPr>
          <w:b/>
          <w:color w:val="000000"/>
        </w:rPr>
        <w:t>, u li temenda d-Direttivi 2002/87/KE u 2013/34/UE</w:t>
      </w:r>
    </w:p>
    <w:p w:rsidR="00843D98" w:rsidRPr="00843D98" w:rsidRDefault="00843D98" w:rsidP="00843D98">
      <w:pPr>
        <w:widowControl/>
        <w:autoSpaceDE w:val="0"/>
        <w:autoSpaceDN w:val="0"/>
        <w:adjustRightInd w:val="0"/>
        <w:spacing w:before="120" w:after="120"/>
        <w:rPr>
          <w:b/>
          <w:bCs/>
          <w:i/>
          <w:color w:val="000000"/>
          <w:vertAlign w:val="superscript"/>
        </w:rPr>
      </w:pPr>
      <w:r w:rsidRPr="00843D98">
        <w:rPr>
          <w:i/>
        </w:rPr>
        <w:t xml:space="preserve">(Peress li ntlaħaq ftehim bejn il-Parlament u l-Kunsill, il-pożizzjoni tal-Parlament taqbel mal-att </w:t>
      </w:r>
      <w:proofErr w:type="spellStart"/>
      <w:r w:rsidRPr="00843D98">
        <w:rPr>
          <w:i/>
        </w:rPr>
        <w:t>leġiżlattiv</w:t>
      </w:r>
      <w:proofErr w:type="spellEnd"/>
      <w:r w:rsidRPr="00843D98">
        <w:rPr>
          <w:i/>
        </w:rPr>
        <w:t xml:space="preserve"> finali, </w:t>
      </w:r>
      <w:r w:rsidRPr="00843D98">
        <w:rPr>
          <w:i/>
        </w:rPr>
        <w:t>id-Direttiva</w:t>
      </w:r>
      <w:r w:rsidRPr="00843D98">
        <w:rPr>
          <w:i/>
        </w:rPr>
        <w:t xml:space="preserve"> (UE) </w:t>
      </w:r>
      <w:r w:rsidRPr="00843D98">
        <w:rPr>
          <w:i/>
        </w:rPr>
        <w:t>2025/2</w:t>
      </w:r>
      <w:r w:rsidRPr="00843D98">
        <w:rPr>
          <w:i/>
        </w:rPr>
        <w:t>.)</w:t>
      </w:r>
    </w:p>
    <w:sectPr w:rsidR="00843D98" w:rsidRPr="00843D98" w:rsidSect="001147C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7" w:h="16839"/>
      <w:pgMar w:top="1276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7C0" w:rsidRPr="00AE5231" w:rsidRDefault="001147C0">
      <w:r w:rsidRPr="00AE5231">
        <w:separator/>
      </w:r>
    </w:p>
  </w:endnote>
  <w:endnote w:type="continuationSeparator" w:id="0">
    <w:p w:rsidR="001147C0" w:rsidRPr="00AE5231" w:rsidRDefault="001147C0">
      <w:r w:rsidRPr="00AE52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C0" w:rsidRDefault="001147C0" w:rsidP="001147C0"/>
  <w:p w:rsidR="001147C0" w:rsidRPr="007F118B" w:rsidRDefault="001147C0" w:rsidP="001147C0">
    <w:pPr>
      <w:pStyle w:val="EPFooter"/>
    </w:pPr>
    <w:r w:rsidRPr="007F118B">
      <w:tab/>
    </w:r>
    <w:r w:rsidRPr="007F118B">
      <w:fldChar w:fldCharType="begin"/>
    </w:r>
    <w:r w:rsidRPr="007F118B">
      <w:instrText xml:space="preserve"> PAGE </w:instrText>
    </w:r>
    <w:r w:rsidRPr="007F118B">
      <w:fldChar w:fldCharType="separate"/>
    </w:r>
    <w:r>
      <w:rPr>
        <w:noProof/>
      </w:rPr>
      <w:t>330</w:t>
    </w:r>
    <w:r w:rsidRPr="007F118B">
      <w:fldChar w:fldCharType="end"/>
    </w:r>
    <w:r w:rsidRPr="007F118B"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331</w:t>
    </w:r>
    <w:r>
      <w:rPr>
        <w:noProof/>
      </w:rPr>
      <w:fldChar w:fldCharType="end"/>
    </w:r>
    <w:r w:rsidRPr="007F118B">
      <w:tab/>
    </w:r>
  </w:p>
  <w:p w:rsidR="001147C0" w:rsidRDefault="001147C0" w:rsidP="001147C0">
    <w:pPr>
      <w:pStyle w:val="Footer"/>
    </w:pPr>
    <w:r w:rsidRPr="00DF630B">
      <w:rPr>
        <w:rFonts w:ascii="Arial" w:hAnsi="Arial" w:cs="Arial"/>
        <w:b/>
        <w:sz w:val="48"/>
        <w:szCs w:val="48"/>
      </w:rPr>
      <w:fldChar w:fldCharType="begin"/>
    </w:r>
    <w:r w:rsidRPr="00DF630B">
      <w:rPr>
        <w:rFonts w:ascii="Arial" w:hAnsi="Arial" w:cs="Arial"/>
        <w:b/>
        <w:sz w:val="48"/>
        <w:szCs w:val="48"/>
      </w:rPr>
      <w:instrText xml:space="preserve"> DOCPROPERTY "&lt;Extension&gt;" </w:instrText>
    </w:r>
    <w:r w:rsidRPr="00DF630B">
      <w:rPr>
        <w:rFonts w:ascii="Arial" w:hAnsi="Arial" w:cs="Arial"/>
        <w:b/>
        <w:sz w:val="48"/>
        <w:szCs w:val="48"/>
      </w:rPr>
      <w:fldChar w:fldCharType="separate"/>
    </w:r>
    <w:r>
      <w:rPr>
        <w:rFonts w:ascii="Arial" w:hAnsi="Arial" w:cs="Arial"/>
        <w:b/>
        <w:sz w:val="48"/>
        <w:szCs w:val="48"/>
      </w:rPr>
      <w:t>MT</w:t>
    </w:r>
    <w:r w:rsidRPr="00DF630B">
      <w:rPr>
        <w:rFonts w:ascii="Arial" w:hAnsi="Arial" w:cs="Arial"/>
        <w:b/>
        <w:sz w:val="48"/>
        <w:szCs w:val="4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C0" w:rsidRPr="00822DDD" w:rsidRDefault="001147C0" w:rsidP="00822D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C0" w:rsidRPr="00DF630B" w:rsidRDefault="001147C0" w:rsidP="00114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7C0" w:rsidRPr="00AE5231" w:rsidRDefault="001147C0">
      <w:r w:rsidRPr="00AE5231">
        <w:separator/>
      </w:r>
    </w:p>
  </w:footnote>
  <w:footnote w:type="continuationSeparator" w:id="0">
    <w:p w:rsidR="001147C0" w:rsidRPr="00AE5231" w:rsidRDefault="001147C0">
      <w:r w:rsidRPr="00AE5231">
        <w:continuationSeparator/>
      </w:r>
    </w:p>
  </w:footnote>
  <w:footnote w:id="1">
    <w:p w:rsidR="001147C0" w:rsidRPr="00000636" w:rsidRDefault="001147C0" w:rsidP="004012C2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mt-MT"/>
        </w:rPr>
      </w:pPr>
      <w:r w:rsidRPr="00000636">
        <w:rPr>
          <w:rStyle w:val="FootnoteReference"/>
          <w:sz w:val="24"/>
          <w:szCs w:val="24"/>
          <w:lang w:val="mt-MT"/>
        </w:rPr>
        <w:footnoteRef/>
      </w:r>
      <w:r w:rsidR="00843D98">
        <w:rPr>
          <w:sz w:val="24"/>
          <w:szCs w:val="24"/>
          <w:lang w:val="mt-MT"/>
        </w:rPr>
        <w:t xml:space="preserve"> </w:t>
      </w:r>
      <w:r w:rsidR="00843D98">
        <w:rPr>
          <w:sz w:val="24"/>
          <w:szCs w:val="24"/>
          <w:lang w:val="mt-MT"/>
        </w:rPr>
        <w:tab/>
        <w:t>ĠU C</w:t>
      </w:r>
      <w:r w:rsidRPr="00000636">
        <w:rPr>
          <w:sz w:val="24"/>
          <w:szCs w:val="24"/>
          <w:lang w:val="mt-MT"/>
        </w:rPr>
        <w:t> </w:t>
      </w:r>
      <w:r w:rsidRPr="00E31DD6">
        <w:rPr>
          <w:sz w:val="24"/>
          <w:szCs w:val="24"/>
          <w:lang w:val="mt-MT"/>
        </w:rPr>
        <w:t>275</w:t>
      </w:r>
      <w:r w:rsidRPr="00000636">
        <w:rPr>
          <w:sz w:val="24"/>
          <w:szCs w:val="24"/>
          <w:lang w:val="mt-MT"/>
        </w:rPr>
        <w:t xml:space="preserve">, </w:t>
      </w:r>
      <w:r w:rsidRPr="00E31DD6">
        <w:rPr>
          <w:sz w:val="24"/>
          <w:szCs w:val="24"/>
          <w:lang w:val="mt-MT"/>
        </w:rPr>
        <w:t>18</w:t>
      </w:r>
      <w:r w:rsidRPr="00000636">
        <w:rPr>
          <w:sz w:val="24"/>
          <w:szCs w:val="24"/>
          <w:lang w:val="mt-MT"/>
        </w:rPr>
        <w:t>.</w:t>
      </w:r>
      <w:r w:rsidRPr="00E31DD6">
        <w:rPr>
          <w:sz w:val="24"/>
          <w:szCs w:val="24"/>
          <w:lang w:val="mt-MT"/>
        </w:rPr>
        <w:t>7</w:t>
      </w:r>
      <w:r w:rsidRPr="00000636">
        <w:rPr>
          <w:sz w:val="24"/>
          <w:szCs w:val="24"/>
          <w:lang w:val="mt-MT"/>
        </w:rPr>
        <w:t>.</w:t>
      </w:r>
      <w:r w:rsidRPr="00E31DD6">
        <w:rPr>
          <w:sz w:val="24"/>
          <w:szCs w:val="24"/>
          <w:lang w:val="mt-MT"/>
        </w:rPr>
        <w:t>2022</w:t>
      </w:r>
      <w:r w:rsidRPr="00000636">
        <w:rPr>
          <w:sz w:val="24"/>
          <w:szCs w:val="24"/>
          <w:lang w:val="mt-MT"/>
        </w:rPr>
        <w:t>, p. </w:t>
      </w:r>
      <w:r w:rsidRPr="00E31DD6">
        <w:rPr>
          <w:sz w:val="24"/>
          <w:szCs w:val="24"/>
          <w:lang w:val="mt-MT"/>
        </w:rPr>
        <w:t>45</w:t>
      </w:r>
      <w:r w:rsidRPr="00000636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C0" w:rsidRDefault="001147C0" w:rsidP="001147C0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7C0" w:rsidRDefault="001147C0" w:rsidP="001147C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9E00E9F0">
      <w:start w:val="1"/>
      <w:numFmt w:val="lowerRoman"/>
      <w:pStyle w:val="item"/>
      <w:lvlText w:val="(%1)"/>
      <w:lvlJc w:val="left"/>
      <w:pPr>
        <w:ind w:left="2137" w:hanging="720"/>
      </w:pPr>
    </w:lvl>
    <w:lvl w:ilvl="1" w:tplc="2870BD24">
      <w:start w:val="1"/>
      <w:numFmt w:val="lowerLetter"/>
      <w:lvlText w:val="%2."/>
      <w:lvlJc w:val="left"/>
      <w:pPr>
        <w:ind w:left="2497" w:hanging="360"/>
      </w:pPr>
    </w:lvl>
    <w:lvl w:ilvl="2" w:tplc="97CE281C">
      <w:start w:val="1"/>
      <w:numFmt w:val="lowerRoman"/>
      <w:lvlText w:val="%3."/>
      <w:lvlJc w:val="right"/>
      <w:pPr>
        <w:ind w:left="3217" w:hanging="180"/>
      </w:pPr>
    </w:lvl>
    <w:lvl w:ilvl="3" w:tplc="23B2EA4A">
      <w:start w:val="1"/>
      <w:numFmt w:val="decimal"/>
      <w:lvlText w:val="%4."/>
      <w:lvlJc w:val="left"/>
      <w:pPr>
        <w:ind w:left="3937" w:hanging="360"/>
      </w:pPr>
    </w:lvl>
    <w:lvl w:ilvl="4" w:tplc="BC50F794">
      <w:start w:val="1"/>
      <w:numFmt w:val="lowerLetter"/>
      <w:lvlText w:val="%5."/>
      <w:lvlJc w:val="left"/>
      <w:pPr>
        <w:ind w:left="4657" w:hanging="360"/>
      </w:pPr>
    </w:lvl>
    <w:lvl w:ilvl="5" w:tplc="7AF8EDA8">
      <w:start w:val="1"/>
      <w:numFmt w:val="lowerRoman"/>
      <w:lvlText w:val="%6."/>
      <w:lvlJc w:val="right"/>
      <w:pPr>
        <w:ind w:left="5377" w:hanging="180"/>
      </w:pPr>
    </w:lvl>
    <w:lvl w:ilvl="6" w:tplc="D3BC8382">
      <w:start w:val="1"/>
      <w:numFmt w:val="decimal"/>
      <w:lvlText w:val="%7."/>
      <w:lvlJc w:val="left"/>
      <w:pPr>
        <w:ind w:left="6097" w:hanging="360"/>
      </w:pPr>
    </w:lvl>
    <w:lvl w:ilvl="7" w:tplc="B4300F06">
      <w:start w:val="1"/>
      <w:numFmt w:val="lowerLetter"/>
      <w:lvlText w:val="%8."/>
      <w:lvlJc w:val="left"/>
      <w:pPr>
        <w:ind w:left="6817" w:hanging="360"/>
      </w:pPr>
    </w:lvl>
    <w:lvl w:ilvl="8" w:tplc="BF7C84E8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B117104"/>
    <w:multiLevelType w:val="hybridMultilevel"/>
    <w:tmpl w:val="74E4ACC4"/>
    <w:lvl w:ilvl="0" w:tplc="838AE096">
      <w:start w:val="1"/>
      <w:numFmt w:val="lowerRoman"/>
      <w:lvlText w:val="(%1)"/>
      <w:lvlJc w:val="left"/>
      <w:pPr>
        <w:ind w:left="2989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124" w:hanging="360"/>
      </w:pPr>
    </w:lvl>
    <w:lvl w:ilvl="2" w:tplc="080C001B" w:tentative="1">
      <w:start w:val="1"/>
      <w:numFmt w:val="lowerRoman"/>
      <w:lvlText w:val="%3."/>
      <w:lvlJc w:val="right"/>
      <w:pPr>
        <w:ind w:left="3844" w:hanging="180"/>
      </w:pPr>
    </w:lvl>
    <w:lvl w:ilvl="3" w:tplc="080C000F" w:tentative="1">
      <w:start w:val="1"/>
      <w:numFmt w:val="decimal"/>
      <w:lvlText w:val="%4."/>
      <w:lvlJc w:val="left"/>
      <w:pPr>
        <w:ind w:left="4564" w:hanging="360"/>
      </w:pPr>
    </w:lvl>
    <w:lvl w:ilvl="4" w:tplc="080C0019" w:tentative="1">
      <w:start w:val="1"/>
      <w:numFmt w:val="lowerLetter"/>
      <w:lvlText w:val="%5."/>
      <w:lvlJc w:val="left"/>
      <w:pPr>
        <w:ind w:left="5284" w:hanging="360"/>
      </w:pPr>
    </w:lvl>
    <w:lvl w:ilvl="5" w:tplc="080C001B" w:tentative="1">
      <w:start w:val="1"/>
      <w:numFmt w:val="lowerRoman"/>
      <w:lvlText w:val="%6."/>
      <w:lvlJc w:val="right"/>
      <w:pPr>
        <w:ind w:left="6004" w:hanging="180"/>
      </w:pPr>
    </w:lvl>
    <w:lvl w:ilvl="6" w:tplc="080C000F" w:tentative="1">
      <w:start w:val="1"/>
      <w:numFmt w:val="decimal"/>
      <w:lvlText w:val="%7."/>
      <w:lvlJc w:val="left"/>
      <w:pPr>
        <w:ind w:left="6724" w:hanging="360"/>
      </w:pPr>
    </w:lvl>
    <w:lvl w:ilvl="7" w:tplc="080C0019" w:tentative="1">
      <w:start w:val="1"/>
      <w:numFmt w:val="lowerLetter"/>
      <w:lvlText w:val="%8."/>
      <w:lvlJc w:val="left"/>
      <w:pPr>
        <w:ind w:left="7444" w:hanging="360"/>
      </w:pPr>
    </w:lvl>
    <w:lvl w:ilvl="8" w:tplc="080C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6"/>
  </w:num>
  <w:num w:numId="3">
    <w:abstractNumId w:val="31"/>
  </w:num>
  <w:num w:numId="4">
    <w:abstractNumId w:val="19"/>
  </w:num>
  <w:num w:numId="5">
    <w:abstractNumId w:val="15"/>
  </w:num>
  <w:num w:numId="6">
    <w:abstractNumId w:val="20"/>
  </w:num>
  <w:num w:numId="7">
    <w:abstractNumId w:val="2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</w:num>
  <w:num w:numId="11">
    <w:abstractNumId w:val="29"/>
  </w:num>
  <w:num w:numId="12">
    <w:abstractNumId w:val="30"/>
  </w:num>
  <w:num w:numId="13">
    <w:abstractNumId w:val="14"/>
  </w:num>
  <w:num w:numId="14">
    <w:abstractNumId w:val="25"/>
  </w:num>
  <w:num w:numId="15">
    <w:abstractNumId w:val="45"/>
    <w:lvlOverride w:ilvl="0">
      <w:startOverride w:val="1"/>
    </w:lvlOverride>
  </w:num>
  <w:num w:numId="16">
    <w:abstractNumId w:val="3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</w:num>
  <w:num w:numId="19">
    <w:abstractNumId w:val="1"/>
  </w:num>
  <w:num w:numId="20">
    <w:abstractNumId w:val="37"/>
  </w:num>
  <w:num w:numId="21">
    <w:abstractNumId w:val="32"/>
  </w:num>
  <w:num w:numId="22">
    <w:abstractNumId w:val="3"/>
  </w:num>
  <w:num w:numId="23">
    <w:abstractNumId w:val="39"/>
  </w:num>
  <w:num w:numId="24">
    <w:abstractNumId w:val="44"/>
  </w:num>
  <w:num w:numId="25">
    <w:abstractNumId w:val="26"/>
  </w:num>
  <w:num w:numId="26">
    <w:abstractNumId w:val="38"/>
  </w:num>
  <w:num w:numId="27">
    <w:abstractNumId w:val="33"/>
  </w:num>
  <w:num w:numId="28">
    <w:abstractNumId w:val="22"/>
  </w:num>
  <w:num w:numId="29">
    <w:abstractNumId w:val="0"/>
  </w:num>
  <w:num w:numId="30">
    <w:abstractNumId w:val="10"/>
  </w:num>
  <w:num w:numId="31">
    <w:abstractNumId w:val="4"/>
  </w:num>
  <w:num w:numId="32">
    <w:abstractNumId w:val="12"/>
  </w:num>
  <w:num w:numId="33">
    <w:abstractNumId w:val="27"/>
  </w:num>
  <w:num w:numId="34">
    <w:abstractNumId w:val="17"/>
  </w:num>
  <w:num w:numId="35">
    <w:abstractNumId w:val="18"/>
  </w:num>
  <w:num w:numId="36">
    <w:abstractNumId w:val="24"/>
  </w:num>
  <w:num w:numId="37">
    <w:abstractNumId w:val="28"/>
  </w:num>
  <w:num w:numId="38">
    <w:abstractNumId w:val="42"/>
  </w:num>
  <w:num w:numId="39">
    <w:abstractNumId w:val="41"/>
  </w:num>
  <w:num w:numId="40">
    <w:abstractNumId w:val="43"/>
  </w:num>
  <w:num w:numId="41">
    <w:abstractNumId w:val="11"/>
  </w:num>
  <w:num w:numId="42">
    <w:abstractNumId w:val="1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MT"/>
    <w:docVar w:name="dvnumam" w:val="0"/>
    <w:docVar w:name="dvpe" w:val="732.668"/>
    <w:docVar w:name="dvrapporteur" w:val="Rapporteur: "/>
    <w:docVar w:name="dvstar" w:val="***I"/>
    <w:docVar w:name="dvtitre" w:val="Riżoluzzjoni leġiżlattiva tal-Parlament Ewropew tat-23 ta' April 2024 dwar il-proposta għal direttiva tal-Parlament Ewropew u tal-Kunsill li temenda d-Direttiva 2009/138/KE f’dak li għandu x’jaqsam mal-proporzjonalità, il-kwalità tas-superviżjoni, ir-rappurtar, il-miżuri ta’ garanzija fit-tul, l-għodod makroprudenzjali, ir-riskji tas-sostenibbiltà, is-superviżjoni tal-gruppi u s-superviżjoni transfruntiera(COM(2021)0581 – C9-0367/2021 – 2021/0295(COD))"/>
  </w:docVars>
  <w:rsids>
    <w:rsidRoot w:val="005D0517"/>
    <w:rsid w:val="00000636"/>
    <w:rsid w:val="00002272"/>
    <w:rsid w:val="00064002"/>
    <w:rsid w:val="000677B9"/>
    <w:rsid w:val="000831BA"/>
    <w:rsid w:val="000A42CC"/>
    <w:rsid w:val="000E7DD9"/>
    <w:rsid w:val="0010095E"/>
    <w:rsid w:val="001061D3"/>
    <w:rsid w:val="001147C0"/>
    <w:rsid w:val="00125B37"/>
    <w:rsid w:val="00187494"/>
    <w:rsid w:val="001A6D83"/>
    <w:rsid w:val="001F32AE"/>
    <w:rsid w:val="002767FF"/>
    <w:rsid w:val="002B18FE"/>
    <w:rsid w:val="002B5493"/>
    <w:rsid w:val="002E1D52"/>
    <w:rsid w:val="00343214"/>
    <w:rsid w:val="00361C00"/>
    <w:rsid w:val="00395FA1"/>
    <w:rsid w:val="003E15D4"/>
    <w:rsid w:val="004012C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5E8"/>
    <w:rsid w:val="00560270"/>
    <w:rsid w:val="005C2568"/>
    <w:rsid w:val="005D05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3CD"/>
    <w:rsid w:val="00817416"/>
    <w:rsid w:val="00822DDD"/>
    <w:rsid w:val="00842779"/>
    <w:rsid w:val="00843D9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23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9E8"/>
    <w:rsid w:val="00E31DD6"/>
    <w:rsid w:val="00E365E1"/>
    <w:rsid w:val="00E820A4"/>
    <w:rsid w:val="00EB006A"/>
    <w:rsid w:val="00EB4772"/>
    <w:rsid w:val="00ED169E"/>
    <w:rsid w:val="00ED4235"/>
    <w:rsid w:val="00F01CA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985585C"/>
  <w15:chartTrackingRefBased/>
  <w15:docId w15:val="{1FF6D903-CE3B-4D0F-A171-13076F00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061D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1061D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1061D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1061D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1061D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1061D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1061D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1061D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1D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1061D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061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061D3"/>
    <w:pPr>
      <w:spacing w:before="480" w:after="240"/>
    </w:pPr>
  </w:style>
  <w:style w:type="paragraph" w:customStyle="1" w:styleId="TOCPage">
    <w:name w:val="TOC Page"/>
    <w:basedOn w:val="Normal"/>
    <w:next w:val="TOC1"/>
    <w:rsid w:val="001061D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061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061D3"/>
    <w:rPr>
      <w:b/>
    </w:rPr>
  </w:style>
  <w:style w:type="paragraph" w:customStyle="1" w:styleId="NormalBold12a">
    <w:name w:val="NormalBold12a"/>
    <w:basedOn w:val="Normal"/>
    <w:rsid w:val="001061D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061D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061D3"/>
    <w:pPr>
      <w:spacing w:after="480"/>
      <w:ind w:left="1417"/>
    </w:pPr>
  </w:style>
  <w:style w:type="paragraph" w:customStyle="1" w:styleId="CoverNormal">
    <w:name w:val="CoverNormal"/>
    <w:basedOn w:val="Normal"/>
    <w:rsid w:val="001061D3"/>
    <w:pPr>
      <w:ind w:left="1418"/>
    </w:pPr>
  </w:style>
  <w:style w:type="paragraph" w:customStyle="1" w:styleId="NormalCenter12a">
    <w:name w:val="NormalCenter12a"/>
    <w:basedOn w:val="Normal"/>
    <w:rsid w:val="001061D3"/>
    <w:pPr>
      <w:spacing w:after="240"/>
      <w:jc w:val="center"/>
    </w:pPr>
  </w:style>
  <w:style w:type="paragraph" w:customStyle="1" w:styleId="CoverReference">
    <w:name w:val="CoverReference"/>
    <w:basedOn w:val="Normal"/>
    <w:rsid w:val="001061D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061D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061D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061D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061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1D3"/>
    <w:rPr>
      <w:sz w:val="24"/>
      <w:lang w:val="mt-MT"/>
    </w:rPr>
  </w:style>
  <w:style w:type="paragraph" w:customStyle="1" w:styleId="AmNumberTabs">
    <w:name w:val="AmNumberTabs"/>
    <w:basedOn w:val="Normal"/>
    <w:rsid w:val="001061D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061D3"/>
    <w:pPr>
      <w:spacing w:before="720" w:after="240"/>
      <w:jc w:val="center"/>
    </w:pPr>
  </w:style>
  <w:style w:type="paragraph" w:customStyle="1" w:styleId="EPBody">
    <w:name w:val="EPBody"/>
    <w:basedOn w:val="Normal"/>
    <w:rsid w:val="001061D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061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1061D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061D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1061D3"/>
    <w:pPr>
      <w:ind w:left="0" w:firstLine="0"/>
    </w:pPr>
  </w:style>
  <w:style w:type="character" w:styleId="Hyperlink">
    <w:name w:val="Hyperlink"/>
    <w:unhideWhenUsed/>
    <w:rsid w:val="001061D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1061D3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1061D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061D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1061D3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1061D3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1061D3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1061D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61D3"/>
    <w:rPr>
      <w:rFonts w:eastAsiaTheme="minorHAnsi"/>
      <w:lang w:val="mt-M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061D3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061D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1061D3"/>
    <w:rPr>
      <w:sz w:val="24"/>
      <w:lang w:val="mt-MT"/>
    </w:rPr>
  </w:style>
  <w:style w:type="paragraph" w:styleId="TableofFigures">
    <w:name w:val="table of figures"/>
    <w:basedOn w:val="Normal"/>
    <w:next w:val="Normal"/>
    <w:uiPriority w:val="99"/>
    <w:unhideWhenUsed/>
    <w:rsid w:val="001061D3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1061D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1061D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1061D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061D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1061D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061D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061D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1061D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061D3"/>
    <w:rPr>
      <w:rFonts w:eastAsiaTheme="minorHAnsi"/>
      <w:b/>
      <w:bCs/>
      <w:lang w:val="mt-M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061D3"/>
    <w:rPr>
      <w:b/>
      <w:bCs/>
    </w:rPr>
  </w:style>
  <w:style w:type="character" w:customStyle="1" w:styleId="CommentSubjectChar1">
    <w:name w:val="Comment Subject Char1"/>
    <w:basedOn w:val="CommentTextChar"/>
    <w:rsid w:val="001061D3"/>
    <w:rPr>
      <w:rFonts w:eastAsiaTheme="minorHAnsi"/>
      <w:b/>
      <w:bCs/>
      <w:lang w:val="mt-MT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061D3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061D3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1061D3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uiPriority w:val="99"/>
    <w:rsid w:val="001061D3"/>
    <w:rPr>
      <w:rFonts w:eastAsiaTheme="minorHAnsi"/>
      <w:sz w:val="24"/>
      <w:szCs w:val="22"/>
      <w:lang w:val="mt-MT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1061D3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1061D3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1061D3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1061D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1061D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1061D3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1061D3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1061D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1061D3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1061D3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1061D3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mt-MT" w:eastAsia="en-US"/>
    </w:rPr>
  </w:style>
  <w:style w:type="character" w:customStyle="1" w:styleId="hllevel3Char">
    <w:name w:val="hl level 3 Char"/>
    <w:basedOn w:val="DefaultParagraphFont"/>
    <w:link w:val="hllevel3"/>
    <w:locked/>
    <w:rsid w:val="001061D3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1061D3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1061D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1061D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1061D3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1061D3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1061D3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1061D3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1061D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1061D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061D3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1061D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1061D3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1061D3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1061D3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1061D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1061D3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1061D3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1061D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1061D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061D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061D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1061D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1061D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1061D3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1061D3"/>
    <w:pPr>
      <w:numPr>
        <w:numId w:val="3"/>
      </w:numPr>
    </w:pPr>
  </w:style>
  <w:style w:type="paragraph" w:customStyle="1" w:styleId="Tiret1">
    <w:name w:val="Tiret 1"/>
    <w:basedOn w:val="Point1"/>
    <w:rsid w:val="001061D3"/>
    <w:pPr>
      <w:numPr>
        <w:numId w:val="4"/>
      </w:numPr>
    </w:pPr>
  </w:style>
  <w:style w:type="paragraph" w:customStyle="1" w:styleId="Tiret3">
    <w:name w:val="Tiret 3"/>
    <w:basedOn w:val="Point3"/>
    <w:rsid w:val="001061D3"/>
    <w:pPr>
      <w:numPr>
        <w:numId w:val="5"/>
      </w:numPr>
    </w:pPr>
  </w:style>
  <w:style w:type="paragraph" w:customStyle="1" w:styleId="Tiret4">
    <w:name w:val="Tiret 4"/>
    <w:basedOn w:val="Point4"/>
    <w:rsid w:val="001061D3"/>
    <w:pPr>
      <w:numPr>
        <w:numId w:val="6"/>
      </w:numPr>
    </w:pPr>
  </w:style>
  <w:style w:type="paragraph" w:customStyle="1" w:styleId="Tiret5">
    <w:name w:val="Tiret 5"/>
    <w:basedOn w:val="Point5"/>
    <w:rsid w:val="001061D3"/>
    <w:pPr>
      <w:numPr>
        <w:numId w:val="7"/>
      </w:numPr>
    </w:pPr>
  </w:style>
  <w:style w:type="paragraph" w:customStyle="1" w:styleId="PointDouble0">
    <w:name w:val="PointDouble 0"/>
    <w:basedOn w:val="Normal"/>
    <w:rsid w:val="001061D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1061D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1061D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1061D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1061D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1061D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1061D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1061D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1061D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1061D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1061D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1061D3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1061D3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061D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061D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061D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061D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061D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061D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061D3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1061D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061D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061D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061D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061D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061D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061D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061D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061D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061D3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061D3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061D3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061D3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061D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061D3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1061D3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061D3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061D3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061D3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1061D3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1061D3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1061D3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1061D3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1061D3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061D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061D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061D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061D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061D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061D3"/>
    <w:pPr>
      <w:spacing w:after="240"/>
    </w:pPr>
  </w:style>
  <w:style w:type="paragraph" w:customStyle="1" w:styleId="Languesfaisantfoi">
    <w:name w:val="Langues faisant foi"/>
    <w:basedOn w:val="Normal"/>
    <w:next w:val="Normal"/>
    <w:rsid w:val="001061D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061D3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1061D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1061D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1061D3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1061D3"/>
  </w:style>
  <w:style w:type="paragraph" w:customStyle="1" w:styleId="TitreobjetPagedecouverture">
    <w:name w:val="Titre objet (Page de couverture)"/>
    <w:basedOn w:val="Titreobjet"/>
    <w:next w:val="IntrtEEEPagedecouverture"/>
    <w:rsid w:val="001061D3"/>
  </w:style>
  <w:style w:type="paragraph" w:customStyle="1" w:styleId="IntrtEEEPagedecouverture">
    <w:name w:val="Intérêt EEE (Page de couverture)"/>
    <w:basedOn w:val="IntrtEEE"/>
    <w:next w:val="Rfrencecroise"/>
    <w:rsid w:val="001061D3"/>
  </w:style>
  <w:style w:type="paragraph" w:customStyle="1" w:styleId="Rfrencecroise">
    <w:name w:val="Référence croisée"/>
    <w:basedOn w:val="Normal"/>
    <w:rsid w:val="001061D3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1061D3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1061D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1061D3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1061D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1061D3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1061D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061D3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1061D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061D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061D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1061D3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1061D3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1061D3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1061D3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1061D3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061D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1061D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61D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61D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061D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1061D3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1061D3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1061D3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1061D3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1061D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061D3"/>
  </w:style>
  <w:style w:type="paragraph" w:customStyle="1" w:styleId="StatutPagedecouverture">
    <w:name w:val="Statut (Page de couverture)"/>
    <w:basedOn w:val="Statut"/>
    <w:next w:val="TypedudocumentPagedecouverture"/>
    <w:rsid w:val="001061D3"/>
  </w:style>
  <w:style w:type="paragraph" w:customStyle="1" w:styleId="Volume">
    <w:name w:val="Volume"/>
    <w:basedOn w:val="Normal"/>
    <w:next w:val="Confidentialit"/>
    <w:rsid w:val="001061D3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1061D3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1061D3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1061D3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061D3"/>
  </w:style>
  <w:style w:type="paragraph" w:customStyle="1" w:styleId="ObjetacteprincipalPagedecouverture">
    <w:name w:val="Objet acte principal (Page de couverture)"/>
    <w:basedOn w:val="Objetacteprincipal"/>
    <w:next w:val="Rfrencecroise"/>
    <w:rsid w:val="001061D3"/>
  </w:style>
  <w:style w:type="paragraph" w:customStyle="1" w:styleId="AccompagnantPagedecouverture">
    <w:name w:val="Accompagnant (Page de couverture)"/>
    <w:basedOn w:val="Accompagnant"/>
    <w:next w:val="TypeacteprincipalPagedecouverture"/>
    <w:rsid w:val="001061D3"/>
  </w:style>
  <w:style w:type="paragraph" w:customStyle="1" w:styleId="LanguesfaisantfoiPagedecouverture">
    <w:name w:val="Langues faisant foi (Page de couverture)"/>
    <w:basedOn w:val="Normal"/>
    <w:next w:val="Normal"/>
    <w:rsid w:val="001061D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1061D3"/>
    <w:rPr>
      <w:sz w:val="16"/>
      <w:szCs w:val="16"/>
    </w:rPr>
  </w:style>
  <w:style w:type="character" w:customStyle="1" w:styleId="italic">
    <w:name w:val="italic"/>
    <w:basedOn w:val="DefaultParagraphFont"/>
    <w:rsid w:val="001061D3"/>
  </w:style>
  <w:style w:type="character" w:customStyle="1" w:styleId="sub">
    <w:name w:val="sub"/>
    <w:basedOn w:val="DefaultParagraphFont"/>
    <w:rsid w:val="001061D3"/>
  </w:style>
  <w:style w:type="character" w:customStyle="1" w:styleId="italics">
    <w:name w:val="italics"/>
    <w:basedOn w:val="DefaultParagraphFont"/>
    <w:rsid w:val="001061D3"/>
  </w:style>
  <w:style w:type="character" w:customStyle="1" w:styleId="normaltextrun">
    <w:name w:val="normaltextrun"/>
    <w:basedOn w:val="DefaultParagraphFont"/>
    <w:rsid w:val="001061D3"/>
  </w:style>
  <w:style w:type="character" w:customStyle="1" w:styleId="Marker">
    <w:name w:val="Marker"/>
    <w:basedOn w:val="DefaultParagraphFont"/>
    <w:rsid w:val="001061D3"/>
    <w:rPr>
      <w:color w:val="0000FF"/>
    </w:rPr>
  </w:style>
  <w:style w:type="character" w:customStyle="1" w:styleId="Marker1">
    <w:name w:val="Marker1"/>
    <w:basedOn w:val="DefaultParagraphFont"/>
    <w:rsid w:val="001061D3"/>
    <w:rPr>
      <w:color w:val="008000"/>
    </w:rPr>
  </w:style>
  <w:style w:type="character" w:customStyle="1" w:styleId="Marker2">
    <w:name w:val="Marker2"/>
    <w:basedOn w:val="DefaultParagraphFont"/>
    <w:rsid w:val="001061D3"/>
    <w:rPr>
      <w:color w:val="FF0000"/>
    </w:rPr>
  </w:style>
  <w:style w:type="character" w:customStyle="1" w:styleId="Added">
    <w:name w:val="Added"/>
    <w:basedOn w:val="DefaultParagraphFont"/>
    <w:rsid w:val="001061D3"/>
    <w:rPr>
      <w:b/>
      <w:bCs w:val="0"/>
      <w:u w:val="single"/>
    </w:rPr>
  </w:style>
  <w:style w:type="character" w:customStyle="1" w:styleId="Deleted">
    <w:name w:val="Deleted"/>
    <w:basedOn w:val="DefaultParagraphFont"/>
    <w:rsid w:val="001061D3"/>
    <w:rPr>
      <w:strike/>
    </w:rPr>
  </w:style>
  <w:style w:type="paragraph" w:customStyle="1" w:styleId="Point">
    <w:name w:val="Point"/>
    <w:basedOn w:val="Point2number"/>
    <w:rsid w:val="001061D3"/>
  </w:style>
  <w:style w:type="paragraph" w:customStyle="1" w:styleId="LowlTitreobjet">
    <w:name w:val="LowlTitre objet"/>
    <w:basedOn w:val="Titreobjet"/>
    <w:uiPriority w:val="99"/>
    <w:rsid w:val="001061D3"/>
  </w:style>
  <w:style w:type="paragraph" w:customStyle="1" w:styleId="Tiret2">
    <w:name w:val="Tiret 2"/>
    <w:basedOn w:val="Point2"/>
    <w:rsid w:val="001061D3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1061D3"/>
    <w:pPr>
      <w:numPr>
        <w:numId w:val="17"/>
      </w:numPr>
    </w:pPr>
  </w:style>
  <w:style w:type="paragraph" w:customStyle="1" w:styleId="ProjRap">
    <w:name w:val="ProjRap"/>
    <w:basedOn w:val="Normal"/>
    <w:rsid w:val="001061D3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rsid w:val="001061D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061D3"/>
    <w:rPr>
      <w:lang w:val="mt-MT"/>
    </w:rPr>
  </w:style>
  <w:style w:type="character" w:styleId="EndnoteReference">
    <w:name w:val="endnote reference"/>
    <w:basedOn w:val="DefaultParagraphFont"/>
    <w:uiPriority w:val="99"/>
    <w:rsid w:val="001061D3"/>
    <w:rPr>
      <w:vertAlign w:val="superscript"/>
    </w:rPr>
  </w:style>
  <w:style w:type="paragraph" w:customStyle="1" w:styleId="PELeft">
    <w:name w:val="PELeft"/>
    <w:basedOn w:val="Normal"/>
    <w:rsid w:val="001061D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1061D3"/>
    <w:pPr>
      <w:spacing w:after="240"/>
    </w:pPr>
  </w:style>
  <w:style w:type="paragraph" w:customStyle="1" w:styleId="RollCallVotes">
    <w:name w:val="RollCallVotes"/>
    <w:basedOn w:val="Normal"/>
    <w:rsid w:val="001061D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061D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061D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061D3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F43CD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7F43CD"/>
    <w:pPr>
      <w:spacing w:before="240" w:after="240"/>
      <w:jc w:val="right"/>
    </w:pPr>
  </w:style>
  <w:style w:type="paragraph" w:customStyle="1" w:styleId="AmDateTab">
    <w:name w:val="AmDateTab"/>
    <w:basedOn w:val="Normal"/>
    <w:rsid w:val="007F43C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7F43CD"/>
  </w:style>
  <w:style w:type="paragraph" w:customStyle="1" w:styleId="NormalJustified">
    <w:name w:val="Normal Justified"/>
    <w:basedOn w:val="Normal"/>
    <w:rsid w:val="007F43C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F43C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F43C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F43C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F43C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F43C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7F43C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F43C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F43C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F43C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F43C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F43C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F43C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F43C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F43C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F43C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F43CD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F43CD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F43CD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F43CD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F43CD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F43CD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F43CD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F43CD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F43CD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F43CD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F43CD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F43CD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F43CD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F43CD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F43CD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F43CD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F43CD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F43CD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F43CD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F43CD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F43CD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F43CD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F43CD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F43CD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F43CD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7F43C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F43CD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F43CD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F43CD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F43CD"/>
    <w:pPr>
      <w:jc w:val="center"/>
    </w:pPr>
  </w:style>
  <w:style w:type="paragraph" w:customStyle="1" w:styleId="Jardin">
    <w:name w:val="Jardin"/>
    <w:basedOn w:val="Normal"/>
    <w:rsid w:val="007F43C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F43C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F43C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F43C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F43CD"/>
    <w:rPr>
      <w:b/>
    </w:rPr>
  </w:style>
  <w:style w:type="paragraph" w:customStyle="1" w:styleId="Annex">
    <w:name w:val="Annex"/>
    <w:basedOn w:val="Normal"/>
    <w:next w:val="Normal"/>
    <w:rsid w:val="007F43C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F43C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F43C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F43C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F43C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7F43CD"/>
    <w:pPr>
      <w:widowControl/>
    </w:pPr>
    <w:rPr>
      <w:sz w:val="20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7F43C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F43CD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F43CD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7F43C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7F43CD"/>
    <w:rPr>
      <w:color w:val="808080"/>
    </w:rPr>
  </w:style>
  <w:style w:type="character" w:customStyle="1" w:styleId="rynqvb">
    <w:name w:val="rynqvb"/>
    <w:basedOn w:val="DefaultParagraphFont"/>
    <w:rsid w:val="007F43CD"/>
  </w:style>
  <w:style w:type="character" w:customStyle="1" w:styleId="Hyperlink1">
    <w:name w:val="Hyperlink1"/>
    <w:basedOn w:val="DefaultParagraphFont"/>
    <w:uiPriority w:val="99"/>
    <w:unhideWhenUsed/>
    <w:rsid w:val="007F43C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43CD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7F43CD"/>
  </w:style>
  <w:style w:type="character" w:customStyle="1" w:styleId="highlight">
    <w:name w:val="highlight"/>
    <w:basedOn w:val="DefaultParagraphFont"/>
    <w:rsid w:val="007F43CD"/>
  </w:style>
  <w:style w:type="character" w:customStyle="1" w:styleId="ui-provider">
    <w:name w:val="ui-provider"/>
    <w:basedOn w:val="DefaultParagraphFont"/>
    <w:rsid w:val="007F43CD"/>
  </w:style>
  <w:style w:type="paragraph" w:customStyle="1" w:styleId="BodyText1">
    <w:name w:val="Body Text1"/>
    <w:basedOn w:val="Normal"/>
    <w:next w:val="BodyText"/>
    <w:link w:val="BodyTextChar"/>
    <w:uiPriority w:val="99"/>
    <w:unhideWhenUsed/>
    <w:rsid w:val="007F43CD"/>
    <w:pPr>
      <w:widowControl/>
      <w:spacing w:after="280" w:line="276" w:lineRule="auto"/>
    </w:pPr>
    <w:rPr>
      <w:rFonts w:ascii="Calibri" w:hAnsi="Calibri" w:cs="Calibri"/>
      <w:sz w:val="25"/>
      <w:szCs w:val="25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7F43CD"/>
    <w:rPr>
      <w:rFonts w:ascii="Calibri" w:hAnsi="Calibri" w:cs="Calibri"/>
      <w:sz w:val="25"/>
      <w:szCs w:val="25"/>
    </w:rPr>
  </w:style>
  <w:style w:type="paragraph" w:customStyle="1" w:styleId="modref">
    <w:name w:val="modref"/>
    <w:basedOn w:val="Normal"/>
    <w:rsid w:val="007F43CD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7F43CD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7F43CD"/>
    <w:pPr>
      <w:widowControl/>
    </w:pPr>
    <w:rPr>
      <w:rFonts w:ascii="Calibri" w:hAnsi="Calibri"/>
      <w:sz w:val="20"/>
      <w:szCs w:val="21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7F43CD"/>
    <w:rPr>
      <w:rFonts w:ascii="Calibri" w:hAnsi="Calibri"/>
      <w:szCs w:val="21"/>
    </w:rPr>
  </w:style>
  <w:style w:type="paragraph" w:customStyle="1" w:styleId="numberedparagraph">
    <w:name w:val="numbered paragraph"/>
    <w:basedOn w:val="Normal"/>
    <w:qFormat/>
    <w:rsid w:val="007F43CD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7F43CD"/>
  </w:style>
  <w:style w:type="character" w:styleId="Strong">
    <w:name w:val="Strong"/>
    <w:basedOn w:val="DefaultParagraphFont"/>
    <w:uiPriority w:val="22"/>
    <w:qFormat/>
    <w:rsid w:val="007F43CD"/>
    <w:rPr>
      <w:b/>
    </w:rPr>
  </w:style>
  <w:style w:type="character" w:customStyle="1" w:styleId="eop">
    <w:name w:val="eop"/>
    <w:basedOn w:val="DefaultParagraphFont"/>
    <w:rsid w:val="007F43CD"/>
  </w:style>
  <w:style w:type="paragraph" w:customStyle="1" w:styleId="xmsonormal">
    <w:name w:val="x_msonormal"/>
    <w:basedOn w:val="Normal"/>
    <w:uiPriority w:val="99"/>
    <w:rsid w:val="007F43CD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7F43CD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7F43CD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7F43CD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7F43CD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7F43CD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7F43CD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7F43CD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7F43CD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7F43CD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7F43CD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7F43CD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7F43CD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7F43CD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7F43C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7F43C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7F43CD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7F43CD"/>
    <w:rPr>
      <w:rFonts w:eastAsia="Calibri" w:cs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rsid w:val="007F43C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7F43CD"/>
    <w:rPr>
      <w:rFonts w:eastAsia="Calibri" w:cs="Calibri"/>
      <w:b/>
      <w:sz w:val="24"/>
      <w:szCs w:val="22"/>
      <w:lang w:val="mt-MT" w:eastAsia="en-US"/>
    </w:rPr>
  </w:style>
  <w:style w:type="paragraph" w:customStyle="1" w:styleId="DeltaViewTableHeading">
    <w:name w:val="DeltaView Table Heading"/>
    <w:basedOn w:val="Normal"/>
    <w:uiPriority w:val="99"/>
    <w:rsid w:val="007F43CD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7F43CD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7F43CD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mt-MT" w:eastAsia="fr-BE"/>
    </w:rPr>
  </w:style>
  <w:style w:type="character" w:customStyle="1" w:styleId="DeltaViewInsertion">
    <w:name w:val="DeltaView Insertion"/>
    <w:uiPriority w:val="99"/>
    <w:rsid w:val="007F43CD"/>
    <w:rPr>
      <w:b/>
      <w:i/>
      <w:color w:val="FF0000"/>
    </w:rPr>
  </w:style>
  <w:style w:type="character" w:customStyle="1" w:styleId="DeltaViewDeletion">
    <w:name w:val="DeltaView Deletion"/>
    <w:uiPriority w:val="99"/>
    <w:rsid w:val="007F43CD"/>
    <w:rPr>
      <w:strike/>
      <w:color w:val="000000"/>
    </w:rPr>
  </w:style>
  <w:style w:type="character" w:customStyle="1" w:styleId="DeltaViewMoveSource">
    <w:name w:val="DeltaView Move Source"/>
    <w:uiPriority w:val="99"/>
    <w:rsid w:val="007F43CD"/>
    <w:rPr>
      <w:strike/>
      <w:color w:val="000000"/>
    </w:rPr>
  </w:style>
  <w:style w:type="character" w:customStyle="1" w:styleId="DeltaViewMoveDestination">
    <w:name w:val="DeltaView Move Destination"/>
    <w:uiPriority w:val="99"/>
    <w:rsid w:val="007F43CD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7F43CD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7F43CD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7F43CD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7F43CD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7F43CD"/>
    <w:rPr>
      <w:color w:val="000000"/>
    </w:rPr>
  </w:style>
  <w:style w:type="character" w:customStyle="1" w:styleId="DeltaViewMovedDeletion">
    <w:name w:val="DeltaView Moved Deletion"/>
    <w:uiPriority w:val="99"/>
    <w:rsid w:val="007F43CD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7F43CD"/>
    <w:rPr>
      <w:color w:val="000000"/>
    </w:rPr>
  </w:style>
  <w:style w:type="character" w:customStyle="1" w:styleId="DeltaViewStyleChangeText">
    <w:name w:val="DeltaView Style Change Text"/>
    <w:uiPriority w:val="99"/>
    <w:rsid w:val="007F43CD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7F43CD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7F43CD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7F43CD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7F43CD"/>
    <w:rPr>
      <w:color w:val="000000"/>
    </w:rPr>
  </w:style>
  <w:style w:type="paragraph" w:customStyle="1" w:styleId="Normale">
    <w:name w:val="Normale"/>
    <w:qFormat/>
    <w:rsid w:val="007F43CD"/>
    <w:pPr>
      <w:spacing w:before="120" w:after="120" w:line="360" w:lineRule="auto"/>
      <w:jc w:val="both"/>
    </w:pPr>
    <w:rPr>
      <w:rFonts w:eastAsia="Calibri"/>
      <w:sz w:val="24"/>
      <w:szCs w:val="22"/>
      <w:lang w:val="mt-MT" w:eastAsia="en-US"/>
    </w:rPr>
  </w:style>
  <w:style w:type="character" w:customStyle="1" w:styleId="Italic0">
    <w:name w:val="Italic"/>
    <w:uiPriority w:val="1"/>
    <w:qFormat/>
    <w:rsid w:val="007F43CD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7F43CD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7F43C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F43C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F43C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F43C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F43C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F43C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F43C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F43C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F43C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F43C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F43CD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F43CD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F43CD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F43CD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F43CD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F43CD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F43CD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F43C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F43C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7F43C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F43C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F43C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F43C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F43C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F43C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F43C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F43C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F43C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F43C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F43C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F43CD"/>
    <w:pPr>
      <w:spacing w:before="240"/>
    </w:pPr>
  </w:style>
  <w:style w:type="paragraph" w:customStyle="1" w:styleId="Accordtitre">
    <w:name w:val="Accord titre"/>
    <w:basedOn w:val="Normal"/>
    <w:rsid w:val="007F43C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F43C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F43C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F43C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F43C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F43C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F43C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F43C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F43C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F43C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F43C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F43C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F43C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F43C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F43C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F43C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F43C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F43C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F43C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F43C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F43C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F43C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F43C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F43C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F43C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F43C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F43C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F43C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F43C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F43C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F43C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F43C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7F43C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F43C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F43CD"/>
    <w:rPr>
      <w:b/>
      <w:i/>
    </w:rPr>
  </w:style>
  <w:style w:type="character" w:customStyle="1" w:styleId="diff-tte-removed">
    <w:name w:val="diff-tte-removed"/>
    <w:basedOn w:val="DefaultParagraphFont"/>
    <w:rsid w:val="007F43CD"/>
    <w:rPr>
      <w:strike/>
    </w:rPr>
  </w:style>
  <w:style w:type="paragraph" w:customStyle="1" w:styleId="point30">
    <w:name w:val="point3"/>
    <w:basedOn w:val="Normal"/>
    <w:rsid w:val="007F43CD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43CD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7F43CD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F43CD"/>
    <w:rPr>
      <w:color w:val="605E5C"/>
      <w:shd w:val="clear" w:color="auto" w:fill="E1DFDD"/>
    </w:rPr>
  </w:style>
  <w:style w:type="character" w:customStyle="1" w:styleId="EndnoteTextChar1">
    <w:name w:val="Endnote Text Char1"/>
    <w:basedOn w:val="DefaultParagraphFont"/>
    <w:rsid w:val="007F43CD"/>
    <w:rPr>
      <w:lang w:val="mt-MT"/>
    </w:rPr>
  </w:style>
  <w:style w:type="paragraph" w:styleId="BodyText">
    <w:name w:val="Body Text"/>
    <w:basedOn w:val="Normal"/>
    <w:link w:val="BodyTextChar1"/>
    <w:rsid w:val="007F43CD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7F43CD"/>
    <w:rPr>
      <w:sz w:val="24"/>
      <w:lang w:val="mt-MT"/>
    </w:rPr>
  </w:style>
  <w:style w:type="paragraph" w:styleId="PlainText">
    <w:name w:val="Plain Text"/>
    <w:basedOn w:val="Normal"/>
    <w:link w:val="PlainTextChar1"/>
    <w:rsid w:val="007F43CD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7F43CD"/>
    <w:rPr>
      <w:rFonts w:ascii="Consolas" w:hAnsi="Consolas"/>
      <w:sz w:val="21"/>
      <w:szCs w:val="21"/>
      <w:lang w:val="mt-MT"/>
    </w:rPr>
  </w:style>
  <w:style w:type="paragraph" w:styleId="DocumentMap">
    <w:name w:val="Document Map"/>
    <w:basedOn w:val="Normal"/>
    <w:link w:val="DocumentMapChar1"/>
    <w:rsid w:val="007F43CD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7F43CD"/>
    <w:rPr>
      <w:rFonts w:ascii="Segoe UI" w:hAnsi="Segoe UI" w:cs="Segoe UI"/>
      <w:sz w:val="16"/>
      <w:szCs w:val="16"/>
      <w:lang w:val="mt-MT"/>
    </w:rPr>
  </w:style>
  <w:style w:type="paragraph" w:customStyle="1" w:styleId="HeadingDocType24a">
    <w:name w:val="HeadingDocType24a"/>
    <w:basedOn w:val="Normal"/>
    <w:rsid w:val="001A6D8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A6D8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A6D83"/>
    <w:pPr>
      <w:jc w:val="center"/>
    </w:pPr>
  </w:style>
  <w:style w:type="paragraph" w:customStyle="1" w:styleId="Normal24a">
    <w:name w:val="Normal24a"/>
    <w:basedOn w:val="Normal"/>
    <w:rsid w:val="001A6D83"/>
    <w:pPr>
      <w:spacing w:after="480"/>
    </w:pPr>
  </w:style>
  <w:style w:type="paragraph" w:customStyle="1" w:styleId="LineSingle">
    <w:name w:val="LineSingle"/>
    <w:basedOn w:val="Normal"/>
    <w:next w:val="Normal"/>
    <w:rsid w:val="001A6D8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A6D83"/>
    <w:pPr>
      <w:spacing w:before="240" w:after="240"/>
    </w:pPr>
  </w:style>
  <w:style w:type="character" w:customStyle="1" w:styleId="Mention1">
    <w:name w:val="Mention1"/>
    <w:basedOn w:val="DefaultParagraphFont"/>
    <w:uiPriority w:val="99"/>
    <w:unhideWhenUsed/>
    <w:rsid w:val="001A6D83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A6D83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A6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8F505-F935-422C-B9EB-4D45F0BC7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2025-01-27T09:32:00Z</dcterms:created>
  <dcterms:modified xsi:type="dcterms:W3CDTF">2025-01-27T09:32:00Z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