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P9_TA(2024)029</w:t>
      </w:r>
      <w:bookmarkEnd w:id="0"/>
      <w:r>
        <w:t>5</w:t>
      </w:r>
    </w:p>
    <w:p>
      <w:pPr>
        <w:pStyle w:val="ATHeading2"/>
      </w:pPr>
      <w:bookmarkStart w:id="1" w:name="title"/>
      <w:r>
        <w:t>Zmeny smernice Solventnosť II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A9-0256/2023</w:instrText>
      </w:r>
      <w:bookmarkEnd w:id="2"/>
      <w:r>
        <w:rPr>
          <w:i/>
        </w:rPr>
        <w:instrText xml:space="preserve"> - Spravodajca: Markus Ferber)"\l3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hospodárske a menové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PE732.668</w:t>
      </w:r>
      <w:bookmarkEnd w:id="4"/>
    </w:p>
    <w:p>
      <w:pPr>
        <w:pStyle w:val="ATHeading3"/>
      </w:pPr>
      <w:bookmarkStart w:id="5" w:name="Sujet"/>
      <w:r>
        <w:t>Legislatívne uznesenie Európskeho parlamentu z 23. apríla 2024 o návrhu smernice Európskeho parlamentu a Rady, ktorou sa mení smernica 2009/138/ES, pokiaľ ide o proporcionalitu, kvalitu dohľadu, predkladanie informácií, opatrenia týkajúce sa dlhodobých záruk, makroprudenciálne nástroje, riziká ohrozujúce udržateľnosť, dohľad nad skupinou a cezhraničný dohľad</w:t>
      </w:r>
      <w:bookmarkEnd w:id="5"/>
      <w:r>
        <w:t xml:space="preserve"> </w:t>
      </w:r>
      <w:bookmarkStart w:id="6" w:name="References"/>
      <w:r>
        <w:t>(COM(2021)0581 – C9-0367/2021 – 2021/0295(COD))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(COM(2021)0581),</w:t>
      </w:r>
    </w:p>
    <w:p>
      <w:pPr>
        <w:pStyle w:val="NormalHanging12a"/>
      </w:pPr>
      <w:r>
        <w:t>–</w:t>
      </w:r>
      <w:r>
        <w:tab/>
        <w:t>so zreteľom na článok 294 ods. 2, článok 53 ods. 1, článok 62 a článok 114 Zmluvy o fungovaní Európskej únie, v súlade s ktorými Komisia predložila návrh Európskemu parlamentu (C9</w:t>
      </w:r>
      <w:r>
        <w:noBreakHyphen/>
        <w:t>0367/2021),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23. februára 2022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24. januára 2024, schváliť pozíciu Európskeho parlamentu v súlade s článkom 294 ods. 4 Zmluvy o fungovaní Európskej únie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hospodárske a menové veci (A9-0256/2023),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 xml:space="preserve">žiada Komisiu, aby mu vec znovu predložila, ak nahrádza, podstatne mení alebo má v </w:t>
      </w:r>
      <w:r>
        <w:lastRenderedPageBreak/>
        <w:t>úmysle podstatne zmeniť svoj návrh;</w:t>
      </w:r>
    </w:p>
    <w:p>
      <w:pPr>
        <w:ind w:left="567" w:hanging="567"/>
      </w:pPr>
      <w:r>
        <w:t>3.</w:t>
      </w:r>
      <w:r>
        <w:tab/>
        <w:t>poveruje svoju predsedníčku, aby postúpila túto pozíciu Rade, Komisii a národným parlamentom.</w:t>
      </w:r>
    </w:p>
    <w:p>
      <w:pPr>
        <w:widowControl/>
        <w:sectPr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P9_TC1-COD(2021)0295</w:t>
      </w:r>
    </w:p>
    <w:p>
      <w:pPr>
        <w:widowControl/>
        <w:rPr>
          <w:rFonts w:eastAsia="Calibri"/>
          <w:b/>
          <w:bCs/>
          <w:iCs/>
          <w:szCs w:val="22"/>
          <w:lang w:eastAsia="en-US"/>
        </w:rPr>
      </w:pPr>
      <w:r>
        <w:rPr>
          <w:b/>
        </w:rPr>
        <w:t xml:space="preserve">Pozícia Európskeho parlamentu prijatá v prvom čítaní 23. apríla 2024 na účely prijatia smernice Európskeho parlamentu a Rady (EÚ) 2025/..., </w:t>
      </w:r>
      <w:r>
        <w:rPr>
          <w:rFonts w:eastAsia="Calibri"/>
          <w:b/>
          <w:bCs/>
          <w:szCs w:val="22"/>
          <w:lang w:eastAsia="en-US"/>
        </w:rPr>
        <w:t>ktorou sa mení smernica 2009/138/ES, pokiaľ ide o proporcionalitu, kvalitu dohľadu, predkladanie informácií, opatrenia týkajúce sa dlhodobých záruk, makroprudenciálne nástroje, riziká ohrozujúce udržateľnosť a dohľad nad skupinou a cezhraničný dohľad, a </w:t>
      </w:r>
      <w:r>
        <w:rPr>
          <w:rFonts w:eastAsia="Calibri"/>
          <w:b/>
          <w:bCs/>
          <w:iCs/>
          <w:szCs w:val="22"/>
          <w:lang w:eastAsia="en-US"/>
        </w:rPr>
        <w:t>ktorou sa menia smernice 2002/87/ES a 2013/34/EÚ</w:t>
      </w:r>
    </w:p>
    <w:p>
      <w:pPr>
        <w:rPr>
          <w:i/>
          <w:iCs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2025/2</w:t>
      </w:r>
      <w:r>
        <w:rPr>
          <w:i/>
          <w:iCs/>
        </w:rPr>
        <w:t>.)</w:t>
      </w:r>
    </w:p>
    <w:p/>
    <w:p>
      <w:pPr>
        <w:widowControl/>
        <w:rPr>
          <w:rFonts w:eastAsia="Calibri"/>
          <w:b/>
          <w:bCs/>
          <w:iCs/>
          <w:szCs w:val="22"/>
          <w:lang w:eastAsia="en-US"/>
        </w:rPr>
      </w:pPr>
      <w:bookmarkStart w:id="8" w:name="_GoBack"/>
      <w:bookmarkEnd w:id="8"/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275, 18.7.2022, s. 45.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3A66B19E">
      <w:start w:val="1"/>
      <w:numFmt w:val="lowerRoman"/>
      <w:pStyle w:val="item"/>
      <w:lvlText w:val="(%1)"/>
      <w:lvlJc w:val="left"/>
      <w:pPr>
        <w:ind w:left="2137" w:hanging="720"/>
      </w:pPr>
    </w:lvl>
    <w:lvl w:ilvl="1" w:tplc="7AE63D4E">
      <w:start w:val="1"/>
      <w:numFmt w:val="lowerLetter"/>
      <w:lvlText w:val="%2."/>
      <w:lvlJc w:val="left"/>
      <w:pPr>
        <w:ind w:left="2497" w:hanging="360"/>
      </w:pPr>
    </w:lvl>
    <w:lvl w:ilvl="2" w:tplc="61B85718">
      <w:start w:val="1"/>
      <w:numFmt w:val="lowerRoman"/>
      <w:lvlText w:val="%3."/>
      <w:lvlJc w:val="right"/>
      <w:pPr>
        <w:ind w:left="3217" w:hanging="180"/>
      </w:pPr>
    </w:lvl>
    <w:lvl w:ilvl="3" w:tplc="AB62590E">
      <w:start w:val="1"/>
      <w:numFmt w:val="decimal"/>
      <w:lvlText w:val="%4."/>
      <w:lvlJc w:val="left"/>
      <w:pPr>
        <w:ind w:left="3937" w:hanging="360"/>
      </w:pPr>
    </w:lvl>
    <w:lvl w:ilvl="4" w:tplc="FD5EB49C">
      <w:start w:val="1"/>
      <w:numFmt w:val="lowerLetter"/>
      <w:lvlText w:val="%5."/>
      <w:lvlJc w:val="left"/>
      <w:pPr>
        <w:ind w:left="4657" w:hanging="360"/>
      </w:pPr>
    </w:lvl>
    <w:lvl w:ilvl="5" w:tplc="5B88D742">
      <w:start w:val="1"/>
      <w:numFmt w:val="lowerRoman"/>
      <w:lvlText w:val="%6."/>
      <w:lvlJc w:val="right"/>
      <w:pPr>
        <w:ind w:left="5377" w:hanging="180"/>
      </w:pPr>
    </w:lvl>
    <w:lvl w:ilvl="6" w:tplc="AD120124">
      <w:start w:val="1"/>
      <w:numFmt w:val="decimal"/>
      <w:lvlText w:val="%7."/>
      <w:lvlJc w:val="left"/>
      <w:pPr>
        <w:ind w:left="6097" w:hanging="360"/>
      </w:pPr>
    </w:lvl>
    <w:lvl w:ilvl="7" w:tplc="3B1E6E30">
      <w:start w:val="1"/>
      <w:numFmt w:val="lowerLetter"/>
      <w:lvlText w:val="%8."/>
      <w:lvlJc w:val="left"/>
      <w:pPr>
        <w:ind w:left="6817" w:hanging="360"/>
      </w:pPr>
    </w:lvl>
    <w:lvl w:ilvl="8" w:tplc="A9909A82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4"/>
  </w:num>
  <w:num w:numId="3">
    <w:abstractNumId w:val="29"/>
  </w:num>
  <w:num w:numId="4">
    <w:abstractNumId w:val="17"/>
  </w:num>
  <w:num w:numId="5">
    <w:abstractNumId w:val="13"/>
  </w:num>
  <w:num w:numId="6">
    <w:abstractNumId w:val="18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7"/>
  </w:num>
  <w:num w:numId="12">
    <w:abstractNumId w:val="28"/>
  </w:num>
  <w:num w:numId="13">
    <w:abstractNumId w:val="12"/>
  </w:num>
  <w:num w:numId="14">
    <w:abstractNumId w:val="23"/>
  </w:num>
  <w:num w:numId="15">
    <w:abstractNumId w:val="43"/>
    <w:lvlOverride w:ilvl="0">
      <w:startOverride w:val="1"/>
    </w:lvlOverride>
  </w:num>
  <w:num w:numId="16">
    <w:abstractNumId w:val="3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1"/>
  </w:num>
  <w:num w:numId="20">
    <w:abstractNumId w:val="35"/>
  </w:num>
  <w:num w:numId="21">
    <w:abstractNumId w:val="30"/>
  </w:num>
  <w:num w:numId="22">
    <w:abstractNumId w:val="3"/>
  </w:num>
  <w:num w:numId="23">
    <w:abstractNumId w:val="37"/>
  </w:num>
  <w:num w:numId="24">
    <w:abstractNumId w:val="42"/>
  </w:num>
  <w:num w:numId="25">
    <w:abstractNumId w:val="24"/>
  </w:num>
  <w:num w:numId="26">
    <w:abstractNumId w:val="36"/>
  </w:num>
  <w:num w:numId="27">
    <w:abstractNumId w:val="31"/>
  </w:num>
  <w:num w:numId="28">
    <w:abstractNumId w:val="20"/>
  </w:num>
  <w:num w:numId="29">
    <w:abstractNumId w:val="0"/>
  </w:num>
  <w:num w:numId="30">
    <w:abstractNumId w:val="10"/>
  </w:num>
  <w:num w:numId="31">
    <w:abstractNumId w:val="4"/>
  </w:num>
  <w:num w:numId="32">
    <w:abstractNumId w:val="11"/>
  </w:num>
  <w:num w:numId="33">
    <w:abstractNumId w:val="25"/>
  </w:num>
  <w:num w:numId="34">
    <w:abstractNumId w:val="15"/>
  </w:num>
  <w:num w:numId="35">
    <w:abstractNumId w:val="16"/>
  </w:num>
  <w:num w:numId="36">
    <w:abstractNumId w:val="22"/>
  </w:num>
  <w:num w:numId="37">
    <w:abstractNumId w:val="26"/>
  </w:num>
  <w:num w:numId="38">
    <w:abstractNumId w:val="40"/>
  </w:num>
  <w:num w:numId="39">
    <w:abstractNumId w:val="39"/>
  </w:num>
  <w:num w:numId="40">
    <w:abstractNumId w:val="41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SK"/>
    <w:docVar w:name="dvnumam" w:val="0"/>
    <w:docVar w:name="dvpe" w:val="732.668"/>
    <w:docVar w:name="dvrapporteur" w:val="Spravodajca: "/>
    <w:docVar w:name="dvstar" w:val="***I"/>
    <w:docVar w:name="dvtitre" w:val="Legislatívne uznesenie Európskeho parlamentu z xx. apríla 2024 o návrhu smernice Európskeho parlamentu a Rady, ktorou sa mení smernica 2009/138/ES, pokiaľ ide o proporcionalitu, kvalitu dohľadu, predkladanie informácií, opatrenia týkajúce sa dlhodobých záruk, makroprudenciálne nástroje, riziká ohrozujúce udržateľnosť, dohľad nad skupinou a cezhraničný dohľad(COM(2021)0581 – C9-0367/2021 – 2021/0295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3F390-32A0-43A9-A6EB-855EDE73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styleId="Hyperlink">
    <w:name w:val="Hyperlink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Pr>
      <w:color w:val="954F72" w:themeColor="followedHyperlink"/>
      <w:u w:val="single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lang w:val="sk-SK"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Pr>
      <w:sz w:val="24"/>
      <w:lang w:val="sk-SK"/>
    </w:rPr>
  </w:style>
  <w:style w:type="paragraph" w:styleId="TableofFigures">
    <w:name w:val="table of figures"/>
    <w:basedOn w:val="Normal"/>
    <w:next w:val="Normal"/>
    <w:uiPriority w:val="99"/>
    <w:unhideWhenUsed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nhideWhenUsed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nhideWhenUsed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nhideWhenUsed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nhideWhenUsed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Theme="minorHAnsi"/>
      <w:b/>
      <w:bCs/>
      <w:lang w:val="sk-SK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1">
    <w:name w:val="Comment Subject Char1"/>
    <w:basedOn w:val="CommentTextChar"/>
    <w:rPr>
      <w:rFonts w:eastAsiaTheme="minorHAnsi"/>
      <w:b/>
      <w:bCs/>
      <w:lang w:val="sk-SK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uiPriority w:val="99"/>
    <w:rPr>
      <w:rFonts w:eastAsiaTheme="minorHAnsi"/>
      <w:sz w:val="24"/>
      <w:szCs w:val="22"/>
      <w:lang w:val="sk-SK" w:eastAsia="en-US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sk-SK" w:eastAsia="en-US"/>
    </w:rPr>
  </w:style>
  <w:style w:type="character" w:customStyle="1" w:styleId="hllevel3Char">
    <w:name w:val="hl level 3 Char"/>
    <w:basedOn w:val="DefaultParagraphFont"/>
    <w:link w:val="hllevel3"/>
    <w:locked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pPr>
      <w:numPr>
        <w:numId w:val="3"/>
      </w:numPr>
    </w:pPr>
  </w:style>
  <w:style w:type="paragraph" w:customStyle="1" w:styleId="Tiret1">
    <w:name w:val="Tiret 1"/>
    <w:basedOn w:val="Point1"/>
    <w:pPr>
      <w:numPr>
        <w:numId w:val="4"/>
      </w:numPr>
    </w:pPr>
  </w:style>
  <w:style w:type="paragraph" w:customStyle="1" w:styleId="Tiret3">
    <w:name w:val="Tiret 3"/>
    <w:basedOn w:val="Point3"/>
    <w:pPr>
      <w:numPr>
        <w:numId w:val="5"/>
      </w:numPr>
    </w:pPr>
  </w:style>
  <w:style w:type="paragraph" w:customStyle="1" w:styleId="Tiret4">
    <w:name w:val="Tiret 4"/>
    <w:basedOn w:val="Point4"/>
    <w:pPr>
      <w:numPr>
        <w:numId w:val="6"/>
      </w:numPr>
    </w:pPr>
  </w:style>
  <w:style w:type="paragraph" w:customStyle="1" w:styleId="Tiret5">
    <w:name w:val="Tiret 5"/>
    <w:basedOn w:val="Point5"/>
    <w:pPr>
      <w:numPr>
        <w:numId w:val="7"/>
      </w:numPr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customStyle="1" w:styleId="italic">
    <w:name w:val="italic"/>
    <w:basedOn w:val="DefaultParagraphFont"/>
  </w:style>
  <w:style w:type="character" w:customStyle="1" w:styleId="sub">
    <w:name w:val="sub"/>
    <w:basedOn w:val="DefaultParagraphFont"/>
  </w:style>
  <w:style w:type="character" w:customStyle="1" w:styleId="italics">
    <w:name w:val="italics"/>
    <w:basedOn w:val="DefaultParagraphFont"/>
  </w:style>
  <w:style w:type="character" w:customStyle="1" w:styleId="normaltextrun">
    <w:name w:val="normaltextrun"/>
    <w:basedOn w:val="DefaultParagraphFont"/>
  </w:style>
  <w:style w:type="character" w:customStyle="1" w:styleId="Marker">
    <w:name w:val="Marker"/>
    <w:basedOn w:val="DefaultParagraphFont"/>
    <w:rPr>
      <w:color w:val="0000FF"/>
    </w:rPr>
  </w:style>
  <w:style w:type="character" w:customStyle="1" w:styleId="Marker1">
    <w:name w:val="Marker1"/>
    <w:basedOn w:val="DefaultParagraphFont"/>
    <w:rPr>
      <w:color w:val="008000"/>
    </w:rPr>
  </w:style>
  <w:style w:type="character" w:customStyle="1" w:styleId="Marker2">
    <w:name w:val="Marker2"/>
    <w:basedOn w:val="DefaultParagraphFont"/>
    <w:rPr>
      <w:color w:val="FF0000"/>
    </w:rPr>
  </w:style>
  <w:style w:type="character" w:customStyle="1" w:styleId="Added">
    <w:name w:val="Added"/>
    <w:basedOn w:val="DefaultParagraphFont"/>
    <w:rPr>
      <w:b/>
      <w:bCs w:val="0"/>
      <w:u w:val="single"/>
    </w:rPr>
  </w:style>
  <w:style w:type="character" w:customStyle="1" w:styleId="Deleted">
    <w:name w:val="Deleted"/>
    <w:basedOn w:val="DefaultParagraphFont"/>
    <w:rPr>
      <w:strike/>
    </w:rPr>
  </w:style>
  <w:style w:type="paragraph" w:customStyle="1" w:styleId="Point">
    <w:name w:val="Point"/>
    <w:basedOn w:val="Point2number"/>
  </w:style>
  <w:style w:type="paragraph" w:customStyle="1" w:styleId="LowlTitreobjet">
    <w:name w:val="LowlTitre objet"/>
    <w:basedOn w:val="Titreobjet"/>
    <w:uiPriority w:val="99"/>
  </w:style>
  <w:style w:type="paragraph" w:customStyle="1" w:styleId="Tiret2">
    <w:name w:val="Tiret 2"/>
    <w:basedOn w:val="Point2"/>
    <w:pPr>
      <w:numPr>
        <w:numId w:val="16"/>
      </w:numPr>
    </w:pPr>
  </w:style>
  <w:style w:type="paragraph" w:customStyle="1" w:styleId="item">
    <w:name w:val="item"/>
    <w:basedOn w:val="Point2"/>
    <w:uiPriority w:val="99"/>
    <w:pPr>
      <w:numPr>
        <w:numId w:val="17"/>
      </w:numPr>
    </w:p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lang w:val="sk-SK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character" w:customStyle="1" w:styleId="rynqvb">
    <w:name w:val="rynqvb"/>
    <w:basedOn w:val="DefaultParagraphFont"/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</w:style>
  <w:style w:type="character" w:customStyle="1" w:styleId="highlight">
    <w:name w:val="highlight"/>
    <w:basedOn w:val="DefaultParagraphFont"/>
  </w:style>
  <w:style w:type="character" w:customStyle="1" w:styleId="ui-provider">
    <w:name w:val="ui-provider"/>
    <w:basedOn w:val="DefaultParagraphFont"/>
  </w:style>
  <w:style w:type="paragraph" w:styleId="BodyText">
    <w:name w:val="Body Text"/>
    <w:basedOn w:val="Normal"/>
    <w:link w:val="BodyTextChar"/>
    <w:uiPriority w:val="99"/>
    <w:unhideWhenUsed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Calibri" w:eastAsia="Calibri" w:hAnsi="Calibri" w:cs="Calibri"/>
      <w:sz w:val="25"/>
      <w:szCs w:val="25"/>
      <w:lang w:val="sk-SK" w:eastAsia="en-US"/>
    </w:rPr>
  </w:style>
  <w:style w:type="paragraph" w:customStyle="1" w:styleId="modref">
    <w:name w:val="modref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Pr>
      <w:rFonts w:ascii="Calibri" w:hAnsi="Calibri"/>
      <w:szCs w:val="21"/>
      <w:lang w:val="sk-SK"/>
    </w:rPr>
  </w:style>
  <w:style w:type="paragraph" w:customStyle="1" w:styleId="numberedparagraph">
    <w:name w:val="numbered paragraph"/>
    <w:basedOn w:val="Normal"/>
    <w:qFormat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eop">
    <w:name w:val="eop"/>
    <w:basedOn w:val="DefaultParagraphFont"/>
  </w:style>
  <w:style w:type="paragraph" w:customStyle="1" w:styleId="xmsonormal">
    <w:name w:val="x_msonormal"/>
    <w:basedOn w:val="Normal"/>
    <w:uiPriority w:val="99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Pr>
      <w:rFonts w:eastAsia="Calibri" w:cs="Calibri"/>
      <w:sz w:val="24"/>
      <w:szCs w:val="22"/>
      <w:lang w:val="sk-SK" w:eastAsia="en-US"/>
    </w:rPr>
  </w:style>
  <w:style w:type="paragraph" w:customStyle="1" w:styleId="nbbordered">
    <w:name w:val="nb bordered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Pr>
      <w:rFonts w:eastAsia="Calibri" w:cs="Calibri"/>
      <w:b/>
      <w:sz w:val="24"/>
      <w:szCs w:val="22"/>
      <w:lang w:val="sk-SK" w:eastAsia="en-US"/>
    </w:rPr>
  </w:style>
  <w:style w:type="paragraph" w:customStyle="1" w:styleId="DeltaViewTableHeading">
    <w:name w:val="DeltaView Table Heading"/>
    <w:basedOn w:val="Normal"/>
    <w:uiPriority w:val="99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sk-SK" w:eastAsia="fr-BE"/>
    </w:rPr>
  </w:style>
  <w:style w:type="character" w:customStyle="1" w:styleId="DeltaViewInsertion">
    <w:name w:val="DeltaView Insertion"/>
    <w:uiPriority w:val="99"/>
    <w:rPr>
      <w:b/>
      <w:i/>
      <w:color w:val="FF0000"/>
    </w:rPr>
  </w:style>
  <w:style w:type="character" w:customStyle="1" w:styleId="DeltaViewDeletion">
    <w:name w:val="DeltaView Deletion"/>
    <w:uiPriority w:val="99"/>
    <w:rPr>
      <w:strike/>
      <w:color w:val="000000"/>
    </w:rPr>
  </w:style>
  <w:style w:type="character" w:customStyle="1" w:styleId="DeltaViewMoveSource">
    <w:name w:val="DeltaView Move Source"/>
    <w:uiPriority w:val="99"/>
    <w:rPr>
      <w:strike/>
      <w:color w:val="000000"/>
    </w:rPr>
  </w:style>
  <w:style w:type="character" w:customStyle="1" w:styleId="DeltaViewMoveDestination">
    <w:name w:val="DeltaView Move Destination"/>
    <w:uiPriority w:val="99"/>
    <w:rPr>
      <w:color w:val="FF0000"/>
      <w:u w:val="double"/>
    </w:rPr>
  </w:style>
  <w:style w:type="character" w:customStyle="1" w:styleId="DeltaViewChangeNumber">
    <w:name w:val="DeltaView Change Number"/>
    <w:uiPriority w:val="99"/>
    <w:rPr>
      <w:color w:val="000000"/>
      <w:vertAlign w:val="superscript"/>
    </w:rPr>
  </w:style>
  <w:style w:type="character" w:customStyle="1" w:styleId="DeltaViewDelimiter">
    <w:name w:val="DeltaView Delimiter"/>
    <w:uiPriority w:val="99"/>
  </w:style>
  <w:style w:type="paragraph" w:customStyle="1" w:styleId="DocumentMap1">
    <w:name w:val="Document Map1"/>
    <w:basedOn w:val="Normal"/>
    <w:next w:val="DocumentMap"/>
    <w:link w:val="DocumentMapChar"/>
    <w:uiPriority w:val="99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Pr>
      <w:color w:val="000000"/>
    </w:rPr>
  </w:style>
  <w:style w:type="character" w:customStyle="1" w:styleId="DeltaViewMovedDeletion">
    <w:name w:val="DeltaView Moved Deletion"/>
    <w:uiPriority w:val="99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Pr>
      <w:color w:val="000000"/>
    </w:rPr>
  </w:style>
  <w:style w:type="character" w:customStyle="1" w:styleId="DeltaViewStyleChangeText">
    <w:name w:val="DeltaView Style Change Text"/>
    <w:uiPriority w:val="9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Pr>
      <w:color w:val="000000"/>
    </w:rPr>
  </w:style>
  <w:style w:type="paragraph" w:customStyle="1" w:styleId="Normale">
    <w:name w:val="Normale"/>
    <w:qFormat/>
    <w:pPr>
      <w:spacing w:before="120" w:after="120" w:line="360" w:lineRule="auto"/>
      <w:jc w:val="both"/>
    </w:pPr>
    <w:rPr>
      <w:rFonts w:eastAsia="Calibri"/>
      <w:sz w:val="24"/>
      <w:szCs w:val="22"/>
      <w:lang w:val="sk-SK" w:eastAsia="en-US"/>
    </w:rPr>
  </w:style>
  <w:style w:type="character" w:customStyle="1" w:styleId="Italic0">
    <w:name w:val="Italic"/>
    <w:uiPriority w:val="1"/>
    <w:qFormat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paragraph" w:customStyle="1" w:styleId="point30">
    <w:name w:val="point3"/>
    <w:basedOn w:val="Normal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Pr>
      <w:rFonts w:ascii="Consolas" w:hAnsi="Consolas"/>
      <w:sz w:val="21"/>
      <w:szCs w:val="21"/>
      <w:lang w:val="sk-SK"/>
    </w:rPr>
  </w:style>
  <w:style w:type="paragraph" w:styleId="DocumentMap">
    <w:name w:val="Document Map"/>
    <w:basedOn w:val="Normal"/>
    <w:link w:val="DocumentMapChar1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Pr>
      <w:rFonts w:ascii="Segoe UI" w:hAnsi="Segoe UI" w:cs="Segoe UI"/>
      <w:sz w:val="16"/>
      <w:szCs w:val="16"/>
      <w:lang w:val="sk-SK"/>
    </w:rPr>
  </w:style>
  <w:style w:type="paragraph" w:customStyle="1" w:styleId="HeadingDocType24a">
    <w:name w:val="HeadingDocType24a"/>
    <w:basedOn w:val="Normal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pPr>
      <w:jc w:val="center"/>
    </w:p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LineSingle">
    <w:name w:val="LineSingle"/>
    <w:basedOn w:val="Normal"/>
    <w:next w:val="Normal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pPr>
      <w:spacing w:before="240" w:after="240"/>
    </w:pPr>
  </w:style>
  <w:style w:type="table" w:customStyle="1" w:styleId="TableGrid1">
    <w:name w:val="Table Grid1"/>
    <w:basedOn w:val="TableNormal"/>
    <w:next w:val="TableGri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Pr>
      <w:color w:val="800080"/>
      <w:u w:val="single"/>
    </w:rPr>
  </w:style>
  <w:style w:type="paragraph" w:customStyle="1" w:styleId="TOC41">
    <w:name w:val="TOC 41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pPr>
      <w:widowControl/>
      <w:spacing w:before="120" w:after="120"/>
      <w:jc w:val="both"/>
    </w:pPr>
    <w:rPr>
      <w:sz w:val="20"/>
    </w:rPr>
  </w:style>
  <w:style w:type="paragraph" w:customStyle="1" w:styleId="Footer1">
    <w:name w:val="Footer1"/>
    <w:basedOn w:val="Normal"/>
    <w:next w:val="Footer"/>
    <w:uiPriority w:val="99"/>
    <w:unhideWhenUsed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ascii="Calibri" w:eastAsia="Calibri" w:hAnsi="Calibri" w:cs="Arial"/>
      <w:szCs w:val="22"/>
      <w:lang w:val="en-US" w:eastAsia="en-US"/>
    </w:rPr>
  </w:style>
  <w:style w:type="paragraph" w:customStyle="1" w:styleId="TableofFigures1">
    <w:name w:val="Table of Figures1"/>
    <w:basedOn w:val="Normal"/>
    <w:next w:val="Normal"/>
    <w:uiPriority w:val="99"/>
    <w:unhideWhenUsed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unhideWhenUsed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unhideWhenUsed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unhideWhenUsed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unhideWhenUsed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CommentTextChar1">
    <w:name w:val="Comment Text Char1"/>
    <w:basedOn w:val="DefaultParagraphFont"/>
    <w:rPr>
      <w:lang w:val="sk-SK"/>
    </w:rPr>
  </w:style>
  <w:style w:type="paragraph" w:customStyle="1" w:styleId="BalloonText1">
    <w:name w:val="Balloon Text1"/>
    <w:basedOn w:val="Normal"/>
    <w:next w:val="BalloonText"/>
    <w:uiPriority w:val="99"/>
    <w:unhideWhenUsed/>
    <w:pPr>
      <w:widowControl/>
      <w:jc w:val="both"/>
    </w:pPr>
    <w:rPr>
      <w:rFonts w:ascii="Segoe UI" w:eastAsia="Calibri" w:hAnsi="Segoe UI" w:cs="Segoe UI"/>
      <w:sz w:val="18"/>
      <w:szCs w:val="18"/>
      <w:lang w:val="en-US" w:eastAsia="en-US"/>
    </w:rPr>
  </w:style>
  <w:style w:type="paragraph" w:customStyle="1" w:styleId="b1">
    <w:name w:val="b1"/>
    <w:basedOn w:val="Normal"/>
    <w:next w:val="ListParagraph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US" w:eastAsia="en-US"/>
    </w:rPr>
  </w:style>
  <w:style w:type="numbering" w:customStyle="1" w:styleId="NoList11">
    <w:name w:val="No List11"/>
    <w:next w:val="NoList"/>
    <w:uiPriority w:val="99"/>
    <w:semiHidden/>
    <w:unhideWhenUsed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2">
    <w:name w:val="Footer Char2"/>
    <w:basedOn w:val="DefaultParagraphFont"/>
    <w:semiHidden/>
    <w:rPr>
      <w:sz w:val="24"/>
      <w:lang w:val="sk-SK"/>
    </w:rPr>
  </w:style>
  <w:style w:type="character" w:customStyle="1" w:styleId="BalloonTextChar2">
    <w:name w:val="Balloon Text Char2"/>
    <w:basedOn w:val="DefaultParagraphFont"/>
    <w:semiHidden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092F0-754A-472D-82C0-E8FCA128A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2025-01-28T10:18:00Z</dcterms:created>
  <dcterms:modified xsi:type="dcterms:W3CDTF">2025-01-28T10:18:00Z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