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7624D">
        <w:trPr>
          <w:trHeight w:hRule="exact" w:val="1418"/>
        </w:trPr>
        <w:tc>
          <w:tcPr>
            <w:tcW w:w="6804" w:type="dxa"/>
            <w:shd w:val="clear" w:color="auto" w:fill="auto"/>
            <w:vAlign w:val="center"/>
          </w:tcPr>
          <w:p w:rsidR="00F7624D" w:rsidRDefault="003C5F24">
            <w:pPr>
              <w:pStyle w:val="EPName"/>
            </w:pPr>
            <w:r>
              <w:t>Európsky parlament</w:t>
            </w:r>
          </w:p>
          <w:p w:rsidR="00F7624D" w:rsidRDefault="003C5F24">
            <w:pPr>
              <w:pStyle w:val="EPTerm"/>
              <w:rPr>
                <w:rStyle w:val="HideTWBExt"/>
                <w:noProof w:val="0"/>
                <w:vanish w:val="0"/>
                <w:color w:val="auto"/>
              </w:rPr>
            </w:pPr>
            <w:r>
              <w:t>2019-2024</w:t>
            </w:r>
          </w:p>
        </w:tc>
        <w:tc>
          <w:tcPr>
            <w:tcW w:w="2268" w:type="dxa"/>
            <w:shd w:val="clear" w:color="auto" w:fill="auto"/>
          </w:tcPr>
          <w:p w:rsidR="00F7624D" w:rsidRDefault="003C5F24">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7624D" w:rsidRDefault="00F7624D">
      <w:pPr>
        <w:pStyle w:val="LineTop"/>
      </w:pPr>
    </w:p>
    <w:p w:rsidR="00F7624D" w:rsidRDefault="003C5F24">
      <w:pPr>
        <w:pStyle w:val="EPBodyTA1"/>
      </w:pPr>
      <w:r>
        <w:t>PRIJATÉ TEXTY</w:t>
      </w:r>
    </w:p>
    <w:p w:rsidR="00F7624D" w:rsidRDefault="00F7624D">
      <w:pPr>
        <w:pStyle w:val="LineBottom"/>
      </w:pPr>
    </w:p>
    <w:p w:rsidR="00F7624D" w:rsidRDefault="003C5F24">
      <w:pPr>
        <w:pStyle w:val="ATHeading1"/>
      </w:pPr>
      <w:bookmarkStart w:id="0" w:name="TANumber"/>
      <w:r>
        <w:t>P9_TA(2024)0297</w:t>
      </w:r>
      <w:bookmarkEnd w:id="0"/>
    </w:p>
    <w:p w:rsidR="00F7624D" w:rsidRDefault="003C5F24">
      <w:pPr>
        <w:pStyle w:val="ATHeading2"/>
      </w:pPr>
      <w:bookmarkStart w:id="1" w:name="title"/>
      <w:r>
        <w:t>Platobné služby a služby elektronických peňazí na vnútornom trhu</w:t>
      </w:r>
      <w:bookmarkEnd w:id="1"/>
    </w:p>
    <w:p w:rsidR="00F7624D" w:rsidRDefault="003C5F24">
      <w:pPr>
        <w:rPr>
          <w:i/>
          <w:vanish/>
        </w:rPr>
      </w:pPr>
      <w:r>
        <w:rPr>
          <w:i/>
        </w:rPr>
        <w:fldChar w:fldCharType="begin"/>
      </w:r>
      <w:r>
        <w:rPr>
          <w:i/>
        </w:rPr>
        <w:instrText xml:space="preserve"> TC"(</w:instrText>
      </w:r>
      <w:bookmarkStart w:id="2" w:name="DocNumber"/>
      <w:r>
        <w:rPr>
          <w:i/>
        </w:rPr>
        <w:instrText>A9-0046/2024</w:instrText>
      </w:r>
      <w:bookmarkEnd w:id="2"/>
      <w:r>
        <w:rPr>
          <w:i/>
        </w:rPr>
        <w:instrText xml:space="preserve"> - Spravodajca: Ondřej Kovařík)"\l3 \n&gt; \* MERGEFORMAT </w:instrText>
      </w:r>
      <w:r>
        <w:rPr>
          <w:i/>
        </w:rPr>
        <w:fldChar w:fldCharType="end"/>
      </w:r>
    </w:p>
    <w:p w:rsidR="00F7624D" w:rsidRDefault="003C5F24">
      <w:pPr>
        <w:rPr>
          <w:vanish/>
        </w:rPr>
      </w:pPr>
      <w:bookmarkStart w:id="3" w:name="Commission"/>
      <w:r>
        <w:rPr>
          <w:vanish/>
        </w:rPr>
        <w:t>Výbor pre hospodárske a menové veci</w:t>
      </w:r>
      <w:bookmarkEnd w:id="3"/>
    </w:p>
    <w:p w:rsidR="00F7624D" w:rsidRDefault="003C5F24">
      <w:pPr>
        <w:rPr>
          <w:vanish/>
        </w:rPr>
      </w:pPr>
      <w:bookmarkStart w:id="4" w:name="PE"/>
      <w:r>
        <w:rPr>
          <w:vanish/>
        </w:rPr>
        <w:t>PE753.780</w:t>
      </w:r>
      <w:bookmarkEnd w:id="4"/>
    </w:p>
    <w:p w:rsidR="00F7624D" w:rsidRDefault="003C5F24">
      <w:pPr>
        <w:pStyle w:val="ATHeading3"/>
      </w:pPr>
      <w:bookmarkStart w:id="5" w:name="Sujet"/>
      <w:r>
        <w:t>Legislatívne uznesenie Európskeho parlamentu z 23. apríla 2024 o návrhu smernice Európskeho parlamentu a Rady o platobných službách a službách elektronických peňazí na vnútornom trhu, ktorou sa mení smernica 98/26/ES a zrušujú smernice 2015/2366/EÚ a 2009/</w:t>
      </w:r>
      <w:r>
        <w:t>110/ES</w:t>
      </w:r>
      <w:bookmarkEnd w:id="5"/>
      <w:r>
        <w:t xml:space="preserve"> </w:t>
      </w:r>
      <w:bookmarkStart w:id="6" w:name="References"/>
      <w:r>
        <w:t>(COM(2023)0366 – C9-0218/2023 – 2023/0209(COD))</w:t>
      </w:r>
      <w:bookmarkEnd w:id="6"/>
    </w:p>
    <w:p w:rsidR="00F7624D" w:rsidRDefault="003C5F24">
      <w:pPr>
        <w:pStyle w:val="NormalBold"/>
      </w:pPr>
      <w:bookmarkStart w:id="7" w:name="TextBodyBegin"/>
      <w:bookmarkEnd w:id="7"/>
      <w:r>
        <w:t>(Riadny legislatívny postup prvé čítanie)</w:t>
      </w:r>
    </w:p>
    <w:p w:rsidR="00F7624D" w:rsidRDefault="003C5F24">
      <w:pPr>
        <w:pStyle w:val="EPComma"/>
      </w:pPr>
      <w:r>
        <w:rPr>
          <w:i/>
          <w:iCs/>
        </w:rPr>
        <w:t>Európsky parlament</w:t>
      </w:r>
      <w:r>
        <w:t>,</w:t>
      </w:r>
    </w:p>
    <w:p w:rsidR="00F7624D" w:rsidRDefault="003C5F24">
      <w:pPr>
        <w:pStyle w:val="NormalHanging12a"/>
      </w:pPr>
      <w:r>
        <w:t>–</w:t>
      </w:r>
      <w:r>
        <w:tab/>
        <w:t>so zreteľom na návrh Komisie pre Európsky parlament a Radu (COM(2023)0366),</w:t>
      </w:r>
    </w:p>
    <w:p w:rsidR="00F7624D" w:rsidRDefault="003C5F24">
      <w:pPr>
        <w:pStyle w:val="NormalHanging12a"/>
      </w:pPr>
      <w:r>
        <w:t>–</w:t>
      </w:r>
      <w:r>
        <w:tab/>
        <w:t xml:space="preserve">so zreteľom na článok 294 ods. 2 a články 53 a 114 Zmluvy </w:t>
      </w:r>
      <w:r>
        <w:t>o fungovaní Európskej únie, v súlade s ktorými Komisia predložila návrh Európskemu parlamentu (C9</w:t>
      </w:r>
      <w:r>
        <w:noBreakHyphen/>
        <w:t>0218/2023),</w:t>
      </w:r>
    </w:p>
    <w:p w:rsidR="00F7624D" w:rsidRDefault="003C5F24">
      <w:pPr>
        <w:pStyle w:val="NormalHanging12a"/>
      </w:pPr>
      <w:r>
        <w:t>–</w:t>
      </w:r>
      <w:r>
        <w:tab/>
        <w:t>so zreteľom na článok 294 ods. 3 Zmluvy o fungovaní Európskej únie,</w:t>
      </w:r>
    </w:p>
    <w:p w:rsidR="00F7624D" w:rsidRDefault="003C5F24">
      <w:pPr>
        <w:pStyle w:val="NormalHanging12a"/>
      </w:pPr>
      <w:r>
        <w:t>–</w:t>
      </w:r>
      <w:r>
        <w:tab/>
        <w:t>so zreteľom na stanovisko Európskeho hospodárskeho a sociálneho výboru zo </w:t>
      </w:r>
      <w:r>
        <w:t>14. decembra 2023</w:t>
      </w:r>
      <w:r>
        <w:rPr>
          <w:rStyle w:val="FootnoteReference"/>
        </w:rPr>
        <w:footnoteReference w:id="1"/>
      </w:r>
      <w:r>
        <w:t>,</w:t>
      </w:r>
    </w:p>
    <w:p w:rsidR="00F7624D" w:rsidRDefault="003C5F24">
      <w:pPr>
        <w:pStyle w:val="NormalHanging12a"/>
      </w:pPr>
      <w:r>
        <w:t>–</w:t>
      </w:r>
      <w:r>
        <w:tab/>
        <w:t>so zreteľom na článok 59 rokovacieho poriadku,</w:t>
      </w:r>
    </w:p>
    <w:p w:rsidR="00F7624D" w:rsidRDefault="003C5F24">
      <w:pPr>
        <w:pStyle w:val="NormalHanging12a"/>
      </w:pPr>
      <w:r>
        <w:t>–</w:t>
      </w:r>
      <w:r>
        <w:tab/>
        <w:t>so zreteľom na správu Výboru pre hospodárske a menové veci (A9-0046/2024),</w:t>
      </w:r>
    </w:p>
    <w:p w:rsidR="00F7624D" w:rsidRDefault="003C5F24">
      <w:pPr>
        <w:pStyle w:val="NormalHanging12a"/>
      </w:pPr>
      <w:r>
        <w:t>1.</w:t>
      </w:r>
      <w:r>
        <w:tab/>
        <w:t>prijíma nasledujúcu pozíciu v prvom čítaní;</w:t>
      </w:r>
    </w:p>
    <w:p w:rsidR="00F7624D" w:rsidRDefault="003C5F24">
      <w:pPr>
        <w:pStyle w:val="NormalHanging12a"/>
      </w:pPr>
      <w:r>
        <w:t>2.</w:t>
      </w:r>
      <w:r>
        <w:tab/>
        <w:t>žiada Komisiu, aby mu vec znovu predložila, ak nahrádza, pod</w:t>
      </w:r>
      <w:r>
        <w:t>statne mení alebo má v úmysle podstatne zmeniť svoj návrh;</w:t>
      </w:r>
    </w:p>
    <w:p w:rsidR="00F7624D" w:rsidRDefault="003C5F24">
      <w:pPr>
        <w:pStyle w:val="NormalHanging12a"/>
      </w:pPr>
      <w:r>
        <w:t>3.</w:t>
      </w:r>
      <w:r>
        <w:tab/>
        <w:t>poveruje svoju predsedníčku, aby postúpila túto pozíciu Rade, Komisii a národným parlamentom.</w:t>
      </w:r>
    </w:p>
    <w:p w:rsidR="00F7624D" w:rsidRDefault="00F7624D">
      <w:pPr>
        <w:sectPr w:rsidR="00F762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7624D" w:rsidRDefault="003C5F24">
      <w:pPr>
        <w:pStyle w:val="Institutionquiagit"/>
        <w:keepNext w:val="0"/>
        <w:spacing w:before="0" w:after="240"/>
        <w:jc w:val="left"/>
        <w:outlineLvl w:val="0"/>
        <w:rPr>
          <w:b/>
        </w:rPr>
      </w:pPr>
      <w:r>
        <w:rPr>
          <w:b/>
        </w:rPr>
        <w:lastRenderedPageBreak/>
        <w:t>P9_TC1-COD(2023)0209</w:t>
      </w:r>
    </w:p>
    <w:p w:rsidR="00F7624D" w:rsidRDefault="003C5F24">
      <w:pPr>
        <w:rPr>
          <w:b/>
        </w:rPr>
      </w:pPr>
      <w:r>
        <w:rPr>
          <w:b/>
        </w:rPr>
        <w:t xml:space="preserve">Pozícia Európskeho parlamentu prijatá v prvom čítaní 23. apríla 2024 na účely prijatia smernice Európskeho parlamentu a Rady (EÚ) 2024/... o platobných službách a službách elektronických peňazí na vnútornom </w:t>
      </w:r>
      <w:r>
        <w:rPr>
          <w:b/>
        </w:rPr>
        <w:t>trhu, ktorou sa mení smernica 98/26/ES a zrušujú smernice (EÚ) 2015/2366 a 2009/110/ES</w:t>
      </w:r>
      <w:r>
        <w:rPr>
          <w:rStyle w:val="FootnoteReference"/>
          <w:b/>
        </w:rPr>
        <w:footnoteReference w:customMarkFollows="1" w:id="2"/>
        <w:t>*</w:t>
      </w:r>
    </w:p>
    <w:p w:rsidR="00F7624D" w:rsidRDefault="003C5F24">
      <w:pPr>
        <w:pStyle w:val="IntrtEEE"/>
        <w:rPr>
          <w:noProof/>
        </w:rPr>
      </w:pPr>
      <w:r>
        <w:t>(Text s významom pre EHP)</w:t>
      </w:r>
    </w:p>
    <w:p w:rsidR="00F7624D" w:rsidRDefault="003C5F24">
      <w:pPr>
        <w:pStyle w:val="Institutionquiagit"/>
      </w:pPr>
      <w:r>
        <w:t>EURÓPSKY PARLAMENT A RADA EURÓPSKEJ ÚNIE,</w:t>
      </w:r>
    </w:p>
    <w:p w:rsidR="00F7624D" w:rsidRDefault="003C5F24">
      <w:pPr>
        <w:rPr>
          <w:noProof/>
        </w:rPr>
      </w:pPr>
      <w:r>
        <w:t>so zreteľom na Zmluvu o fungovaní Európskej únie, a najmä na jej články 53 a 114,</w:t>
      </w:r>
    </w:p>
    <w:p w:rsidR="00F7624D" w:rsidRDefault="003C5F24">
      <w:pPr>
        <w:rPr>
          <w:noProof/>
        </w:rPr>
      </w:pPr>
      <w:r>
        <w:t xml:space="preserve">so zreteľom na </w:t>
      </w:r>
      <w:r>
        <w:t>návrh Európskej komisie,</w:t>
      </w:r>
    </w:p>
    <w:p w:rsidR="00F7624D" w:rsidRDefault="003C5F24">
      <w:pPr>
        <w:rPr>
          <w:noProof/>
        </w:rPr>
      </w:pPr>
      <w:r>
        <w:t>po postúpení návrhu legislatívneho aktu národným parlamentom,</w:t>
      </w:r>
    </w:p>
    <w:p w:rsidR="00F7624D" w:rsidRDefault="003C5F24">
      <w:pPr>
        <w:rPr>
          <w:noProof/>
        </w:rPr>
      </w:pPr>
      <w:r>
        <w:t>so zreteľom na stanovisko Európskeho hospodárskeho a sociálneho výboru</w:t>
      </w:r>
      <w:r>
        <w:rPr>
          <w:noProof/>
          <w:vertAlign w:val="superscript"/>
        </w:rPr>
        <w:footnoteReference w:id="3"/>
      </w:r>
      <w:r>
        <w:t xml:space="preserve">, </w:t>
      </w:r>
    </w:p>
    <w:p w:rsidR="00F7624D" w:rsidRDefault="003C5F24">
      <w:pPr>
        <w:rPr>
          <w:noProof/>
        </w:rPr>
      </w:pPr>
      <w:r>
        <w:t>so zreteľom na stanovisko Výboru regiónov</w:t>
      </w:r>
      <w:r>
        <w:rPr>
          <w:noProof/>
          <w:vertAlign w:val="superscript"/>
        </w:rPr>
        <w:footnoteReference w:id="4"/>
      </w:r>
      <w:r>
        <w:t xml:space="preserve">, </w:t>
      </w:r>
    </w:p>
    <w:p w:rsidR="00F7624D" w:rsidRDefault="003C5F24">
      <w:pPr>
        <w:rPr>
          <w:noProof/>
        </w:rPr>
      </w:pPr>
      <w:r>
        <w:t>konajúc v súlade s riadnym legislatívnym postupom,</w:t>
      </w:r>
    </w:p>
    <w:p w:rsidR="00F7624D" w:rsidRDefault="003C5F24">
      <w:pPr>
        <w:rPr>
          <w:noProof/>
        </w:rPr>
      </w:pPr>
      <w:r>
        <w:t>keďže:</w:t>
      </w:r>
    </w:p>
    <w:p w:rsidR="00F7624D" w:rsidRDefault="00F7624D">
      <w:pPr>
        <w:rPr>
          <w:noProof/>
        </w:rPr>
      </w:pP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(1)</w:t>
      </w:r>
      <w:r>
        <w:rPr>
          <w:rFonts w:eastAsiaTheme="minorHAnsi"/>
          <w:szCs w:val="22"/>
          <w:lang w:eastAsia="en-US"/>
        </w:rPr>
        <w:tab/>
        <w:t>Od prijatia smernice Európskeho parlamentu a Rady (EÚ) 2015/2366</w:t>
      </w:r>
      <w:r>
        <w:rPr>
          <w:rFonts w:eastAsiaTheme="minorHAnsi"/>
          <w:noProof/>
          <w:szCs w:val="24"/>
          <w:vertAlign w:val="superscript"/>
          <w:lang w:eastAsia="en-IE"/>
        </w:rPr>
        <w:footnoteReference w:id="5"/>
      </w:r>
      <w:r>
        <w:rPr>
          <w:rFonts w:eastAsiaTheme="minorHAnsi"/>
          <w:szCs w:val="22"/>
          <w:lang w:eastAsia="en-US"/>
        </w:rPr>
        <w:t xml:space="preserve"> prešiel trh so službami </w:t>
      </w:r>
      <w:proofErr w:type="spellStart"/>
      <w:r>
        <w:rPr>
          <w:rFonts w:eastAsiaTheme="minorHAnsi"/>
          <w:szCs w:val="22"/>
          <w:lang w:eastAsia="en-US"/>
        </w:rPr>
        <w:t>retailových</w:t>
      </w:r>
      <w:proofErr w:type="spellEnd"/>
      <w:r>
        <w:rPr>
          <w:rFonts w:eastAsiaTheme="minorHAnsi"/>
          <w:szCs w:val="22"/>
          <w:lang w:eastAsia="en-US"/>
        </w:rPr>
        <w:t xml:space="preserve"> platieb výraznými zmenami, ktoré súvisia predovšetkým s rastúcou mierou používania kariet a iných digitálnych platobných prostriedkov oproti </w:t>
      </w:r>
      <w:r>
        <w:rPr>
          <w:rFonts w:eastAsiaTheme="minorHAnsi"/>
          <w:szCs w:val="22"/>
          <w:lang w:eastAsia="en-US"/>
        </w:rPr>
        <w:t>čoraz zriedkavejšiemu používaniu hotovosti, ako aj so stále dôležitejšou úlohou, ktorú zohrávajú noví hráči a služby vrátane digitálnych peňaženiek a bezkontaktných platieb. V dôsledku pandémie ochorenia COVID-19 a zmien, ktoré pandémia vyvolala v spotrebi</w:t>
      </w:r>
      <w:r>
        <w:rPr>
          <w:rFonts w:eastAsiaTheme="minorHAnsi"/>
          <w:szCs w:val="22"/>
          <w:lang w:eastAsia="en-US"/>
        </w:rPr>
        <w:t>teľskej a platobnej praxi, sa zvýšil význam bezpečných a efektívnych digitálnych platieb.</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(2)</w:t>
      </w:r>
      <w:r>
        <w:rPr>
          <w:rFonts w:eastAsiaTheme="minorHAnsi"/>
          <w:szCs w:val="22"/>
          <w:lang w:eastAsia="en-US"/>
        </w:rPr>
        <w:tab/>
        <w:t xml:space="preserve">V oznámení Komisie o stratégii EÚ v oblasti </w:t>
      </w:r>
      <w:proofErr w:type="spellStart"/>
      <w:r>
        <w:rPr>
          <w:rFonts w:eastAsiaTheme="minorHAnsi"/>
          <w:szCs w:val="22"/>
          <w:lang w:eastAsia="en-US"/>
        </w:rPr>
        <w:t>retailových</w:t>
      </w:r>
      <w:proofErr w:type="spellEnd"/>
      <w:r>
        <w:rPr>
          <w:rFonts w:eastAsiaTheme="minorHAnsi"/>
          <w:szCs w:val="22"/>
          <w:lang w:eastAsia="en-US"/>
        </w:rPr>
        <w:t xml:space="preserve"> platieb</w:t>
      </w:r>
      <w:r>
        <w:rPr>
          <w:rFonts w:eastAsiaTheme="minorHAnsi"/>
          <w:noProof/>
          <w:szCs w:val="24"/>
          <w:vertAlign w:val="superscript"/>
          <w:lang w:eastAsia="en-US"/>
        </w:rPr>
        <w:footnoteReference w:id="6"/>
      </w:r>
      <w:r>
        <w:rPr>
          <w:rFonts w:eastAsiaTheme="minorHAnsi"/>
          <w:szCs w:val="22"/>
          <w:lang w:eastAsia="en-US"/>
        </w:rPr>
        <w:t xml:space="preserve"> bol ohlásený začiatok komplexného preskúmania uplatňovania a vplyvu smernice (EÚ) 2015/2366, „</w:t>
      </w:r>
      <w:r>
        <w:rPr>
          <w:rFonts w:eastAsiaTheme="minorHAnsi"/>
          <w:i/>
          <w:szCs w:val="22"/>
          <w:lang w:eastAsia="en-US"/>
        </w:rPr>
        <w:t>kto</w:t>
      </w:r>
      <w:r>
        <w:rPr>
          <w:rFonts w:eastAsiaTheme="minorHAnsi"/>
          <w:i/>
          <w:szCs w:val="22"/>
          <w:lang w:eastAsia="en-US"/>
        </w:rPr>
        <w:t>ré by malo zahŕňať celkové posúdenie toho, či je smernica stále vhodná na daný účel, pričom sa zohľadní vývoj na trhu</w:t>
      </w:r>
      <w:r>
        <w:rPr>
          <w:rFonts w:eastAsiaTheme="minorHAnsi"/>
          <w:szCs w:val="22"/>
          <w:lang w:eastAsia="en-US"/>
        </w:rPr>
        <w:t>“.</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(3)</w:t>
      </w:r>
      <w:r>
        <w:rPr>
          <w:rFonts w:eastAsiaTheme="minorHAnsi"/>
          <w:szCs w:val="22"/>
          <w:lang w:eastAsia="en-US"/>
        </w:rPr>
        <w:tab/>
        <w:t>Cieľom smernice (EÚ) 2015/2366 bolo riešiť prekážky pre nové druhy platobných služieb a zvýšiť úroveň ochrany spotrebiteľa a bezpečn</w:t>
      </w:r>
      <w:r>
        <w:rPr>
          <w:rFonts w:eastAsiaTheme="minorHAnsi"/>
          <w:szCs w:val="22"/>
          <w:lang w:eastAsia="en-US"/>
        </w:rPr>
        <w:t>osti. V hodnotení vplyvu a uplatňovania smernice (EÚ) 2015/2366, ktoré vykonala Komisia, sa zistilo, že smernica (EÚ) 2015/2366 bola do veľkej miery úspešná, pokiaľ ide o splnenie mnohých z jej cieľov, ale zároveň boli identifikované aj určité oblasti, v k</w:t>
      </w:r>
      <w:r>
        <w:rPr>
          <w:rFonts w:eastAsiaTheme="minorHAnsi"/>
          <w:szCs w:val="22"/>
          <w:lang w:eastAsia="en-US"/>
        </w:rPr>
        <w:t xml:space="preserve">torých sa nepodarilo úplne splniť ciele uvedenej smernice. Konkrétne sa v rámci hodnotenia identifikovali </w:t>
      </w:r>
      <w:r>
        <w:rPr>
          <w:rFonts w:eastAsiaTheme="minorHAnsi"/>
          <w:szCs w:val="22"/>
          <w:lang w:eastAsia="en-US"/>
        </w:rPr>
        <w:lastRenderedPageBreak/>
        <w:t>problémy týkajúce sa odlišného vykonávania a presadzovania smernice (EÚ) 2015/2366, čo priamo ovplyvnilo hospodársku súťaž medzi poskytovateľmi platob</w:t>
      </w:r>
      <w:r>
        <w:rPr>
          <w:rFonts w:eastAsiaTheme="minorHAnsi"/>
          <w:szCs w:val="22"/>
          <w:lang w:eastAsia="en-US"/>
        </w:rPr>
        <w:t xml:space="preserve">ných služieb, keďže tak vznikajú rozličné regulačné podmienky v členských štátoch z dôvodu odlišného výkladu pravidiel, čím sa podporuje regulačná arbitráž.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(4)</w:t>
      </w:r>
      <w:r>
        <w:rPr>
          <w:rFonts w:eastAsiaTheme="minorHAnsi"/>
          <w:szCs w:val="22"/>
          <w:lang w:eastAsia="en-US"/>
        </w:rPr>
        <w:tab/>
        <w:t>Nemal by byť žiadny priestor na taktizovanie pri výbere súdu, keď si poskytovatelia platobných</w:t>
      </w:r>
      <w:r>
        <w:rPr>
          <w:rFonts w:eastAsiaTheme="minorHAnsi"/>
          <w:szCs w:val="22"/>
          <w:lang w:eastAsia="en-US"/>
        </w:rPr>
        <w:t xml:space="preserve"> služieb môžu ako domovskú krajinu zvoliť členský štát, v ktorom je uplatňovanie pravidiel Únie týkajúcich sa platobných služieb pre nich výhodnejšie, a poskytovať cezhraničné služby v iných členských štátoch, ktoré na poskytovateľov platobných služieb, kt</w:t>
      </w:r>
      <w:r>
        <w:rPr>
          <w:rFonts w:eastAsiaTheme="minorHAnsi"/>
          <w:szCs w:val="22"/>
          <w:lang w:eastAsia="en-US"/>
        </w:rPr>
        <w:t>orí sú v nich usadení, uplatňujú prísnejší výklad pravidiel alebo aktívnejšie politiky presadzovania predpisov. Takáto prax narúša hospodársku súťaž. Pravidlá Únie týkajúce sa platobných služieb by sa mali harmonizovať tak, že by sa pravidlá upravujúce vyk</w:t>
      </w:r>
      <w:r>
        <w:rPr>
          <w:rFonts w:eastAsiaTheme="minorHAnsi"/>
          <w:szCs w:val="22"/>
          <w:lang w:eastAsia="en-US"/>
        </w:rPr>
        <w:t>onávanie platobných služieb zapracovali do nariadenia a oddelili od pravidiel týkajúcich sa udeľovania povolení platobným inštitúciám a dohľadu nad nimi, ktoré by mala upravovať táto smernica (tretia smernica o platobných službách) a nie v súčasnosti platn</w:t>
      </w:r>
      <w:r>
        <w:rPr>
          <w:rFonts w:eastAsiaTheme="minorHAnsi"/>
          <w:szCs w:val="22"/>
          <w:lang w:eastAsia="en-US"/>
        </w:rPr>
        <w:t>á smernica (druhá smernica o platobných službách).</w:t>
      </w:r>
    </w:p>
    <w:p w:rsidR="00F7624D" w:rsidRDefault="003C5F24">
      <w:pPr>
        <w:widowControl/>
        <w:spacing w:before="120" w:after="120"/>
        <w:ind w:left="709" w:hanging="709"/>
        <w:jc w:val="both"/>
        <w:rPr>
          <w:rFonts w:eastAsiaTheme="minorHAnsi"/>
          <w:noProof/>
          <w:szCs w:val="22"/>
          <w:lang w:eastAsia="en-US"/>
        </w:rPr>
      </w:pPr>
      <w:bookmarkStart w:id="8" w:name="_Hlk133830170"/>
      <w:r>
        <w:rPr>
          <w:rFonts w:eastAsiaTheme="minorHAnsi"/>
          <w:szCs w:val="22"/>
          <w:lang w:eastAsia="en-US"/>
        </w:rPr>
        <w:t>(5)</w:t>
      </w:r>
      <w:r>
        <w:rPr>
          <w:rFonts w:eastAsiaTheme="minorHAnsi"/>
          <w:szCs w:val="22"/>
          <w:lang w:eastAsia="en-US"/>
        </w:rPr>
        <w:tab/>
        <w:t>Hoci sa vydávanie elektronických peňazí upravuje smernicou Európskeho parlamentu a Rady 2009/110/ES</w:t>
      </w:r>
      <w:r>
        <w:rPr>
          <w:rFonts w:eastAsiaTheme="minorHAnsi"/>
          <w:noProof/>
          <w:szCs w:val="24"/>
          <w:vertAlign w:val="superscript"/>
          <w:lang w:eastAsia="en-IE"/>
        </w:rPr>
        <w:footnoteReference w:id="7"/>
      </w:r>
      <w:r>
        <w:rPr>
          <w:rFonts w:eastAsiaTheme="minorHAnsi"/>
          <w:szCs w:val="22"/>
          <w:lang w:eastAsia="en-US"/>
        </w:rPr>
        <w:t>, používanie elektronických peňazí na financovanie platobných transakcií sa v prevažnej miere upravuj</w:t>
      </w:r>
      <w:r>
        <w:rPr>
          <w:rFonts w:eastAsiaTheme="minorHAnsi"/>
          <w:szCs w:val="22"/>
          <w:lang w:eastAsia="en-US"/>
        </w:rPr>
        <w:t>e smernicou (EÚ) 2015/2366. V dôsledku toho sú právne rámce uplatniteľné na inštitúcie elektronického peňažníctva a platobné inštitúcie už teraz značne zosúladené, najmä s ohľadom na pravidlá vykonávania podnikateľskej činnosti.</w:t>
      </w:r>
      <w:bookmarkEnd w:id="8"/>
      <w:r>
        <w:rPr>
          <w:rFonts w:eastAsiaTheme="minorHAnsi"/>
          <w:szCs w:val="22"/>
          <w:lang w:eastAsia="en-US"/>
        </w:rPr>
        <w:t xml:space="preserve"> Príslušné orgány zodpovedné</w:t>
      </w:r>
      <w:r>
        <w:rPr>
          <w:rFonts w:eastAsiaTheme="minorHAnsi"/>
          <w:szCs w:val="22"/>
          <w:lang w:eastAsia="en-US"/>
        </w:rPr>
        <w:t xml:space="preserve"> za udeľovanie povolení platobným inštitúciám a inštitúciám elektronického peňažníctva a dohľad nad nimi zaznamenali v priebehu rokov ťažkosti pri praktickom vykonávaní, pokiaľ ide o jasné vymedzenie týchto dvoch režimov a odlišovanie produktov a služieb e</w:t>
      </w:r>
      <w:r>
        <w:rPr>
          <w:rFonts w:eastAsiaTheme="minorHAnsi"/>
          <w:szCs w:val="22"/>
          <w:lang w:eastAsia="en-US"/>
        </w:rPr>
        <w:t>lektronického peňažníctva od platobných služieb a služieb elektronických peňazí ponúkaných platobných inštitúciami. To viedlo k obavám v súvislosti s regulačnou arbitrážou a nerovnakými podmienkami, ako aj s problémami súvisiacimi s obchádzaním požiadaviek</w:t>
      </w:r>
      <w:r>
        <w:rPr>
          <w:rFonts w:eastAsiaTheme="minorHAnsi"/>
          <w:szCs w:val="22"/>
          <w:lang w:eastAsia="en-US"/>
        </w:rPr>
        <w:t xml:space="preserve"> smernice 2009/110/ES, keď platobné inštitúcie vydávajúce elektronické peniaze využívajú podobnosť medzi platobnými službami a službami elektronických peňazí a žiadajú o udelenie povolenia ako platobná inštitúcia. Je preto vhodné, aby bol režim udeľovania </w:t>
      </w:r>
      <w:r>
        <w:rPr>
          <w:rFonts w:eastAsiaTheme="minorHAnsi"/>
          <w:szCs w:val="22"/>
          <w:lang w:eastAsia="en-US"/>
        </w:rPr>
        <w:t xml:space="preserve">povolení a dohľadu uplatniteľný na inštitúcie elektronického peňažníctva ďalej zosúladený s režimom uplatniteľným na platobné inštitúcie. </w:t>
      </w:r>
      <w:bookmarkStart w:id="9" w:name="_Hlk133830673"/>
      <w:r>
        <w:rPr>
          <w:rFonts w:eastAsiaTheme="minorHAnsi"/>
          <w:szCs w:val="22"/>
          <w:lang w:eastAsia="en-US"/>
        </w:rPr>
        <w:t>Požiadavky na udeľovanie povolení, najmä v súvislosti s počiatočným kapitálom a vlastnými zdrojmi, ako aj niektoré kľú</w:t>
      </w:r>
      <w:r>
        <w:rPr>
          <w:rFonts w:eastAsiaTheme="minorHAnsi"/>
          <w:szCs w:val="22"/>
          <w:lang w:eastAsia="en-US"/>
        </w:rPr>
        <w:t>čové základné koncepcie, ktorými sa upravuje podnikanie v oblasti elektronických peňazí, vrátane vydávania elektronických peňazí, ich distribúcie a zameniteľnosti, sú odlišné než v prípade služieb poskytovaných platobnými inštitúciami. Pri spájaní ustanove</w:t>
      </w:r>
      <w:r>
        <w:rPr>
          <w:rFonts w:eastAsiaTheme="minorHAnsi"/>
          <w:szCs w:val="22"/>
          <w:lang w:eastAsia="en-US"/>
        </w:rPr>
        <w:t>ní smernice (EÚ) 2015/2366 a smernice 2009/110/ES je preto vhodné zachovať tieto špecifiká.</w:t>
      </w:r>
      <w:bookmarkEnd w:id="9"/>
      <w:r>
        <w:rPr>
          <w:rFonts w:eastAsiaTheme="minorHAnsi"/>
          <w:szCs w:val="22"/>
          <w:lang w:eastAsia="en-US"/>
        </w:rPr>
        <w:t xml:space="preserve">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(6)</w:t>
      </w:r>
      <w:r>
        <w:rPr>
          <w:rFonts w:eastAsiaTheme="minorHAnsi"/>
          <w:szCs w:val="22"/>
          <w:lang w:eastAsia="en-US"/>
        </w:rPr>
        <w:tab/>
        <w:t xml:space="preserve">Ako sa uvádza v preskúmaní uskutočnenom Komisiou a vzhľadom na vývoj príslušných trhov, podnikov a rizík spojených s danými činnosťami, treba aktualizovať </w:t>
      </w:r>
      <w:proofErr w:type="spellStart"/>
      <w:r>
        <w:rPr>
          <w:rFonts w:eastAsiaTheme="minorHAnsi"/>
          <w:szCs w:val="22"/>
          <w:lang w:eastAsia="en-US"/>
        </w:rPr>
        <w:t>prud</w:t>
      </w:r>
      <w:r>
        <w:rPr>
          <w:rFonts w:eastAsiaTheme="minorHAnsi"/>
          <w:szCs w:val="22"/>
          <w:lang w:eastAsia="en-US"/>
        </w:rPr>
        <w:t>enciálny</w:t>
      </w:r>
      <w:proofErr w:type="spellEnd"/>
      <w:r>
        <w:rPr>
          <w:rFonts w:eastAsiaTheme="minorHAnsi"/>
          <w:szCs w:val="22"/>
          <w:lang w:eastAsia="en-US"/>
        </w:rPr>
        <w:t xml:space="preserve"> režim v prípade platobných inštitúcií vrátane tých, ktoré vydávajú elektronické peniaze a poskytujú služby elektronických peňazí, a to vyžadovaním jediného povolenia pre poskytovateľov platobných služieb a služieb elektronických </w:t>
      </w:r>
      <w:r>
        <w:rPr>
          <w:rFonts w:eastAsiaTheme="minorHAnsi"/>
          <w:szCs w:val="22"/>
          <w:lang w:eastAsia="en-US"/>
        </w:rPr>
        <w:lastRenderedPageBreak/>
        <w:t>peňazí, ktorí nepr</w:t>
      </w:r>
      <w:r>
        <w:rPr>
          <w:rFonts w:eastAsiaTheme="minorHAnsi"/>
          <w:szCs w:val="22"/>
          <w:lang w:eastAsia="en-US"/>
        </w:rPr>
        <w:t>ijímajú vklady. Keďže v článku 48 ods. 2 nariadenia Európskeho parlamentu a Rady (EÚ) 2023/1114</w:t>
      </w:r>
      <w:r>
        <w:rPr>
          <w:rFonts w:eastAsiaTheme="minorHAnsi"/>
          <w:noProof/>
          <w:szCs w:val="22"/>
          <w:vertAlign w:val="superscript"/>
          <w:lang w:eastAsia="en-IE"/>
        </w:rPr>
        <w:footnoteReference w:id="8"/>
      </w:r>
      <w:r>
        <w:rPr>
          <w:rFonts w:eastAsiaTheme="minorHAnsi"/>
          <w:szCs w:val="22"/>
          <w:lang w:eastAsia="en-US"/>
        </w:rPr>
        <w:t xml:space="preserve"> sa stanovuje, že emitenti elektronických peňazí sa považujú za elektronické peniaze, režim udeľovania povolení by sa v prípade platobných inštitúcií mal uplatň</w:t>
      </w:r>
      <w:r>
        <w:rPr>
          <w:rFonts w:eastAsiaTheme="minorHAnsi"/>
          <w:szCs w:val="22"/>
          <w:lang w:eastAsia="en-US"/>
        </w:rPr>
        <w:t xml:space="preserve">ovať aj na emitentov tokenov elektronických peňazí, keďže nahradia inštitúcie elektronického peňažníctva. </w:t>
      </w:r>
      <w:proofErr w:type="spellStart"/>
      <w:r>
        <w:rPr>
          <w:rFonts w:eastAsiaTheme="minorHAnsi"/>
          <w:szCs w:val="22"/>
          <w:lang w:eastAsia="en-US"/>
        </w:rPr>
        <w:t>Prudenciálny</w:t>
      </w:r>
      <w:proofErr w:type="spellEnd"/>
      <w:r>
        <w:rPr>
          <w:rFonts w:eastAsiaTheme="minorHAnsi"/>
          <w:szCs w:val="22"/>
          <w:lang w:eastAsia="en-US"/>
        </w:rPr>
        <w:t xml:space="preserve"> režim uplatniteľný na platobné inštitúcie by mal v prípade právnických osôb, ktoré ponúkajú platobné služby, ale neprijímajú vklady, vych</w:t>
      </w:r>
      <w:r>
        <w:rPr>
          <w:rFonts w:eastAsiaTheme="minorHAnsi"/>
          <w:szCs w:val="22"/>
          <w:lang w:eastAsia="en-US"/>
        </w:rPr>
        <w:t xml:space="preserve">ádzať z udelenia povolenia, ktoré bude podliehať súboru prísnych a komplexných podmienok. </w:t>
      </w:r>
      <w:proofErr w:type="spellStart"/>
      <w:r>
        <w:rPr>
          <w:rFonts w:eastAsiaTheme="minorHAnsi"/>
          <w:szCs w:val="22"/>
          <w:lang w:eastAsia="en-US"/>
        </w:rPr>
        <w:t>Prudenciálnym</w:t>
      </w:r>
      <w:proofErr w:type="spellEnd"/>
      <w:r>
        <w:rPr>
          <w:rFonts w:eastAsiaTheme="minorHAnsi"/>
          <w:szCs w:val="22"/>
          <w:lang w:eastAsia="en-US"/>
        </w:rPr>
        <w:t xml:space="preserve"> režimom uplatniteľným na platobné inštitúcie by sa malo zabezpečiť, aby sa v rámci celej Únie uplatňovali na činnosť poskytovania platobných služieb rov</w:t>
      </w:r>
      <w:r>
        <w:rPr>
          <w:rFonts w:eastAsiaTheme="minorHAnsi"/>
          <w:szCs w:val="22"/>
          <w:lang w:eastAsia="en-US"/>
        </w:rPr>
        <w:t>naké podmienky.</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(7)</w:t>
      </w:r>
      <w:r>
        <w:rPr>
          <w:rFonts w:eastAsiaTheme="minorHAnsi"/>
          <w:szCs w:val="22"/>
          <w:lang w:eastAsia="en-US"/>
        </w:rPr>
        <w:tab/>
        <w:t>Je vhodné oddeliť službu, ktorou sa umožňuje výber hotovosti z platobného účtu, od činnosti spravovania platobného účtu, keďže poskytovatelia služieb výberu hotovosti nemusia spravovať platobné účty. Služby vydávania platobných nástrojo</w:t>
      </w:r>
      <w:r>
        <w:rPr>
          <w:rFonts w:eastAsiaTheme="minorHAnsi"/>
          <w:szCs w:val="22"/>
          <w:lang w:eastAsia="en-US"/>
        </w:rPr>
        <w:t>v a prijímania platobných transakcií, ktoré sa spoločne uvádzajú v bode 5 prílohy k smernici (EÚ) 2015/2366, ako keby sa jeden druh služieb nemohol poskytovať bez druhého, by sa mali uvádzať ako dve rozdielne platobné služby</w:t>
      </w:r>
      <w:bookmarkStart w:id="10" w:name="_Hlk134948683"/>
      <w:r>
        <w:rPr>
          <w:rFonts w:eastAsiaTheme="minorHAnsi"/>
          <w:szCs w:val="22"/>
          <w:lang w:eastAsia="en-US"/>
        </w:rPr>
        <w:t>.</w:t>
      </w:r>
      <w:bookmarkEnd w:id="10"/>
      <w:r>
        <w:rPr>
          <w:rFonts w:eastAsiaTheme="minorHAnsi"/>
          <w:szCs w:val="22"/>
          <w:lang w:eastAsia="en-US"/>
        </w:rPr>
        <w:t xml:space="preserve"> Tým, že sa služby vydávania a </w:t>
      </w:r>
      <w:r>
        <w:rPr>
          <w:rFonts w:eastAsiaTheme="minorHAnsi"/>
          <w:szCs w:val="22"/>
          <w:lang w:eastAsia="en-US"/>
        </w:rPr>
        <w:t>prijímania uvedú oddelene a každá zo služieb bude osobitne vymedzená, sa objasní aj skutočnosť, že poskytovatelia platobných služieb môžu služby vydávania a prijímania ponúkať oddelene.</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(8)</w:t>
      </w:r>
      <w:r>
        <w:rPr>
          <w:rFonts w:eastAsiaTheme="minorHAnsi"/>
          <w:szCs w:val="22"/>
          <w:lang w:eastAsia="en-US"/>
        </w:rPr>
        <w:tab/>
        <w:t xml:space="preserve">Vzhľadom na rýchly rozvoj </w:t>
      </w:r>
      <w:proofErr w:type="spellStart"/>
      <w:r>
        <w:rPr>
          <w:rFonts w:eastAsiaTheme="minorHAnsi"/>
          <w:szCs w:val="22"/>
          <w:lang w:eastAsia="en-US"/>
        </w:rPr>
        <w:t>retailového</w:t>
      </w:r>
      <w:proofErr w:type="spellEnd"/>
      <w:r>
        <w:rPr>
          <w:rFonts w:eastAsiaTheme="minorHAnsi"/>
          <w:szCs w:val="22"/>
          <w:lang w:eastAsia="en-US"/>
        </w:rPr>
        <w:t xml:space="preserve"> platobného trhu a neustále n</w:t>
      </w:r>
      <w:r>
        <w:rPr>
          <w:rFonts w:eastAsiaTheme="minorHAnsi"/>
          <w:szCs w:val="22"/>
          <w:lang w:eastAsia="en-US"/>
        </w:rPr>
        <w:t>ové ponuky platobných služieb a platobných riešení je vhodné prispôsobiť niektoré vymedzenia pojmov v smernici (EÚ) 2015/2366 realite na trhu, napríklad vymedzenie pojmov platobný účet, finančné prostriedky a platobný nástroj, aby sa zabezpečilo, že právne</w:t>
      </w:r>
      <w:r>
        <w:rPr>
          <w:rFonts w:eastAsiaTheme="minorHAnsi"/>
          <w:szCs w:val="22"/>
          <w:lang w:eastAsia="en-US"/>
        </w:rPr>
        <w:t xml:space="preserve"> predpisy Únie budú naďalej vhodné na svoj účel a zároveň zostanú technologicky neutrálne.</w:t>
      </w:r>
    </w:p>
    <w:p w:rsidR="00F7624D" w:rsidRDefault="003C5F24">
      <w:pPr>
        <w:widowControl/>
        <w:spacing w:before="120" w:after="120"/>
        <w:ind w:left="709" w:hanging="709"/>
        <w:jc w:val="both"/>
        <w:rPr>
          <w:rFonts w:eastAsiaTheme="minorHAnsi"/>
          <w:noProof/>
          <w:szCs w:val="22"/>
          <w:lang w:eastAsia="en-US"/>
        </w:rPr>
      </w:pPr>
      <w:bookmarkStart w:id="11" w:name="_Hlk133836669"/>
      <w:r>
        <w:rPr>
          <w:rFonts w:eastAsiaTheme="minorHAnsi"/>
          <w:szCs w:val="22"/>
          <w:lang w:eastAsia="en-US"/>
        </w:rPr>
        <w:t>(9)</w:t>
      </w:r>
      <w:r>
        <w:rPr>
          <w:rFonts w:eastAsiaTheme="minorHAnsi"/>
          <w:szCs w:val="22"/>
          <w:lang w:eastAsia="en-US"/>
        </w:rPr>
        <w:tab/>
        <w:t>Vzhľadom na rôzne názory, ktoré Komisia identifikovala vo svojom preskúmaní vykonávania smernice (EÚ) 2015/2366 a ktoré Európsky orgán pre bankovníctvo (EBA) zdô</w:t>
      </w:r>
      <w:r>
        <w:rPr>
          <w:rFonts w:eastAsiaTheme="minorHAnsi"/>
          <w:szCs w:val="22"/>
          <w:lang w:eastAsia="en-US"/>
        </w:rPr>
        <w:t>raznil vo svojom stanovisku k preskúmaniu smernice (EÚ) 2015/2366 z 23. júna 2022, treba objasniť vymedzenie pojmu platobný účet. Rozhodujúcim kritériom pre zaradenie účtu do kategórie platobných účtov je možnosť uskutočňovať z takéhoto účtu každodenné pla</w:t>
      </w:r>
      <w:r>
        <w:rPr>
          <w:rFonts w:eastAsiaTheme="minorHAnsi"/>
          <w:szCs w:val="22"/>
          <w:lang w:eastAsia="en-US"/>
        </w:rPr>
        <w:t>tobné transakcie. Možnosť vykonať platobnú transakciu v prospech tretej strany z účtu alebo prijímať takéto transakcie uskutočnené treťou stranou predstavuje základný prvok pojmu platobný účet. Platobný účet by sa teda mal vymedziť ako účet, ktorý sa použí</w:t>
      </w:r>
      <w:r>
        <w:rPr>
          <w:rFonts w:eastAsiaTheme="minorHAnsi"/>
          <w:szCs w:val="22"/>
          <w:lang w:eastAsia="en-US"/>
        </w:rPr>
        <w:t>va na odosielanie finančných prostriedkov tretím stranám a prijímanie finančných prostriedkov od tretích strán. Každý účet, ktorý nesie tieto charakteristické znaky, by sa mal považovať za platobný účet a mal by byť prístupný na účely poskytovania platobný</w:t>
      </w:r>
      <w:r>
        <w:rPr>
          <w:rFonts w:eastAsiaTheme="minorHAnsi"/>
          <w:szCs w:val="22"/>
          <w:lang w:eastAsia="en-US"/>
        </w:rPr>
        <w:t>ch iniciačných služieb a služieb informovania o účte. Situácie, v ktorých je na vykonanie platobných transakcií v prospech tretích strán alebo ich prijatie od tretích strán potrebný sprostredkovateľský účet, by do vymedzenia platobného účtu patriť nemali</w:t>
      </w:r>
      <w:bookmarkEnd w:id="11"/>
      <w:r>
        <w:rPr>
          <w:rFonts w:eastAsiaTheme="minorHAnsi"/>
          <w:szCs w:val="22"/>
          <w:lang w:eastAsia="en-US"/>
        </w:rPr>
        <w:t xml:space="preserve">. </w:t>
      </w:r>
      <w:r>
        <w:rPr>
          <w:rFonts w:eastAsiaTheme="minorHAnsi"/>
          <w:szCs w:val="22"/>
          <w:lang w:eastAsia="en-US"/>
        </w:rPr>
        <w:t>Sporiace účty sa nepoužívajú na odosielanie finančných prostriedkov tretej strane a ich prijímanie od tretej strany, preto sú z vymedzenia platobného účtu vyňaté.</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(10)</w:t>
      </w:r>
      <w:r>
        <w:rPr>
          <w:rFonts w:eastAsiaTheme="minorHAnsi"/>
          <w:szCs w:val="22"/>
          <w:lang w:eastAsia="en-US"/>
        </w:rPr>
        <w:tab/>
        <w:t>Vzhľadom na vznik nových typov platobných nástrojov</w:t>
      </w:r>
      <w:r>
        <w:rPr>
          <w:rFonts w:eastAsiaTheme="minorHAnsi"/>
          <w:b/>
          <w:i/>
          <w:szCs w:val="22"/>
          <w:lang w:eastAsia="en-US"/>
        </w:rPr>
        <w:t>, vývoj technologických riešení, ktor</w:t>
      </w:r>
      <w:r>
        <w:rPr>
          <w:rFonts w:eastAsiaTheme="minorHAnsi"/>
          <w:b/>
          <w:i/>
          <w:szCs w:val="22"/>
          <w:lang w:eastAsia="en-US"/>
        </w:rPr>
        <w:t>é zabezpečujú takéto nástroje,</w:t>
      </w:r>
      <w:r>
        <w:rPr>
          <w:rFonts w:eastAsiaTheme="minorHAnsi"/>
          <w:szCs w:val="22"/>
          <w:lang w:eastAsia="en-US"/>
        </w:rPr>
        <w:t xml:space="preserve"> a pretrvávajúce neistoty na trhu týkajúce sa ich právneho zaradenia by sa vymedzenie pojmu platobný nástroj malo ďalej spresniť, </w:t>
      </w:r>
      <w:r>
        <w:rPr>
          <w:rFonts w:eastAsiaTheme="minorHAnsi"/>
          <w:szCs w:val="22"/>
          <w:lang w:eastAsia="en-US"/>
        </w:rPr>
        <w:lastRenderedPageBreak/>
        <w:t>pokiaľ ide o to, čo predstavuje alebo nepredstavuje platobný nástroj, a to s ohľadom na zásadu t</w:t>
      </w:r>
      <w:r>
        <w:rPr>
          <w:rFonts w:eastAsiaTheme="minorHAnsi"/>
          <w:szCs w:val="22"/>
          <w:lang w:eastAsia="en-US"/>
        </w:rPr>
        <w:t xml:space="preserve">echnologickej neutrality.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11.</w:t>
      </w:r>
      <w:r>
        <w:rPr>
          <w:rFonts w:eastAsiaTheme="minorHAnsi"/>
          <w:szCs w:val="22"/>
          <w:lang w:eastAsia="en-US"/>
        </w:rPr>
        <w:tab/>
        <w:t>Napriek tomu, že komunikácia na blízku vzdialenosť (NFC) umožňuje iniciovanie platobnej transakcie, jej zaradenie medzi plnoprávne platobné nástroje by predstavovalo určité výzvy, a to aj v súvislosti s uplatňovaním silnej au</w:t>
      </w:r>
      <w:r>
        <w:rPr>
          <w:rFonts w:eastAsiaTheme="minorHAnsi"/>
          <w:szCs w:val="22"/>
          <w:lang w:eastAsia="en-US"/>
        </w:rPr>
        <w:t xml:space="preserve">tentifikácie zákazníka pri bezkontaktných platbách na predajnom mieste alebo s ohľadom na režim zodpovednosti poskytovateľa platobných služieb. NFC preto treba považovať skôr za funkciu platobného nástroja, a nie za samotný platobný nástroj.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(12)</w:t>
      </w:r>
      <w:r>
        <w:rPr>
          <w:rFonts w:eastAsiaTheme="minorHAnsi"/>
          <w:szCs w:val="22"/>
          <w:lang w:eastAsia="en-US"/>
        </w:rPr>
        <w:tab/>
        <w:t>Vo vymed</w:t>
      </w:r>
      <w:r>
        <w:rPr>
          <w:rFonts w:eastAsiaTheme="minorHAnsi"/>
          <w:szCs w:val="22"/>
          <w:lang w:eastAsia="en-US"/>
        </w:rPr>
        <w:t>zení pojmu „platobný nástroj“ podľa smernice (EÚ) 2015/2366 sa odkazuje na „</w:t>
      </w:r>
      <w:proofErr w:type="spellStart"/>
      <w:r>
        <w:rPr>
          <w:rFonts w:eastAsiaTheme="minorHAnsi"/>
          <w:szCs w:val="22"/>
          <w:lang w:eastAsia="en-US"/>
        </w:rPr>
        <w:t>personalizované</w:t>
      </w:r>
      <w:proofErr w:type="spellEnd"/>
      <w:r>
        <w:rPr>
          <w:rFonts w:eastAsiaTheme="minorHAnsi"/>
          <w:szCs w:val="22"/>
          <w:lang w:eastAsia="en-US"/>
        </w:rPr>
        <w:t xml:space="preserve"> zariadenie“. Keďže existujú predplatené karty, na ktorých nie je vytlačené meno držiteľa nástroja, mohlo by to viesť k vynechaniu takýchto kariet z rozsahu vymedzen</w:t>
      </w:r>
      <w:r>
        <w:rPr>
          <w:rFonts w:eastAsiaTheme="minorHAnsi"/>
          <w:szCs w:val="22"/>
          <w:lang w:eastAsia="en-US"/>
        </w:rPr>
        <w:t>ia platobného nástroja. Vymedzenie platobného nástroja by sa preto malo zmeniť tak, aby namiesto „</w:t>
      </w:r>
      <w:proofErr w:type="spellStart"/>
      <w:r>
        <w:rPr>
          <w:rFonts w:eastAsiaTheme="minorHAnsi"/>
          <w:szCs w:val="22"/>
          <w:lang w:eastAsia="en-US"/>
        </w:rPr>
        <w:t>personalizovaných</w:t>
      </w:r>
      <w:proofErr w:type="spellEnd"/>
      <w:r>
        <w:rPr>
          <w:rFonts w:eastAsiaTheme="minorHAnsi"/>
          <w:szCs w:val="22"/>
          <w:lang w:eastAsia="en-US"/>
        </w:rPr>
        <w:t>“ zariadení odkazovalo na „individualizované“ zariadenia, pričom sa špecifikuje, že predplatené karty, na ktorých nie je vytlačené meno držit</w:t>
      </w:r>
      <w:r>
        <w:rPr>
          <w:rFonts w:eastAsiaTheme="minorHAnsi"/>
          <w:szCs w:val="22"/>
          <w:lang w:eastAsia="en-US"/>
        </w:rPr>
        <w:t xml:space="preserve">eľa nástroja, sú platobné nástroje. </w:t>
      </w:r>
      <w:r>
        <w:rPr>
          <w:rFonts w:eastAsiaTheme="minorHAnsi"/>
          <w:b/>
          <w:i/>
          <w:szCs w:val="22"/>
          <w:lang w:eastAsia="en-US"/>
        </w:rPr>
        <w:t>Technický účet, ktorý sa používa len na splácanie úverového rámca poskytnutého výlučne v súvislosti s platobnou transakciou, by tiež nemal patriť do vymedzenia</w:t>
      </w:r>
      <w:r>
        <w:rPr>
          <w:rFonts w:eastAsiaTheme="minorHAnsi"/>
          <w:szCs w:val="22"/>
          <w:lang w:eastAsia="en-US"/>
        </w:rPr>
        <w:t xml:space="preserve"> </w:t>
      </w:r>
      <w:r>
        <w:rPr>
          <w:rFonts w:eastAsiaTheme="minorHAnsi"/>
          <w:b/>
          <w:i/>
          <w:szCs w:val="22"/>
          <w:lang w:eastAsia="en-US"/>
        </w:rPr>
        <w:t>„platobného účtu“</w:t>
      </w:r>
      <w:r>
        <w:rPr>
          <w:rFonts w:eastAsiaTheme="minorHAnsi"/>
          <w:szCs w:val="22"/>
          <w:lang w:eastAsia="en-US"/>
        </w:rPr>
        <w:t>.</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(13)</w:t>
      </w:r>
      <w:r>
        <w:rPr>
          <w:rFonts w:eastAsiaTheme="minorHAnsi"/>
          <w:szCs w:val="22"/>
          <w:lang w:eastAsia="en-US"/>
        </w:rPr>
        <w:tab/>
        <w:t>Takzvané priechodné digitálne peňaže</w:t>
      </w:r>
      <w:r>
        <w:rPr>
          <w:rFonts w:eastAsiaTheme="minorHAnsi"/>
          <w:szCs w:val="22"/>
          <w:lang w:eastAsia="en-US"/>
        </w:rPr>
        <w:t>nky (</w:t>
      </w:r>
      <w:proofErr w:type="spellStart"/>
      <w:r>
        <w:rPr>
          <w:rFonts w:eastAsiaTheme="minorHAnsi"/>
          <w:i/>
          <w:iCs/>
          <w:szCs w:val="22"/>
          <w:lang w:eastAsia="en-US"/>
        </w:rPr>
        <w:t>digital</w:t>
      </w:r>
      <w:proofErr w:type="spellEnd"/>
      <w:r>
        <w:rPr>
          <w:rFonts w:eastAsiaTheme="minorHAnsi"/>
          <w:i/>
          <w:iCs/>
          <w:szCs w:val="22"/>
          <w:lang w:eastAsia="en-US"/>
        </w:rPr>
        <w:t xml:space="preserve"> </w:t>
      </w:r>
      <w:proofErr w:type="spellStart"/>
      <w:r>
        <w:rPr>
          <w:rFonts w:eastAsiaTheme="minorHAnsi"/>
          <w:i/>
          <w:iCs/>
          <w:szCs w:val="22"/>
          <w:lang w:eastAsia="en-US"/>
        </w:rPr>
        <w:t>pass-through</w:t>
      </w:r>
      <w:proofErr w:type="spellEnd"/>
      <w:r>
        <w:rPr>
          <w:rFonts w:eastAsiaTheme="minorHAnsi"/>
          <w:i/>
          <w:iCs/>
          <w:szCs w:val="22"/>
          <w:lang w:eastAsia="en-US"/>
        </w:rPr>
        <w:t xml:space="preserve"> </w:t>
      </w:r>
      <w:proofErr w:type="spellStart"/>
      <w:r>
        <w:rPr>
          <w:rFonts w:eastAsiaTheme="minorHAnsi"/>
          <w:i/>
          <w:iCs/>
          <w:szCs w:val="22"/>
          <w:lang w:eastAsia="en-US"/>
        </w:rPr>
        <w:t>wallets</w:t>
      </w:r>
      <w:proofErr w:type="spellEnd"/>
      <w:r>
        <w:rPr>
          <w:rFonts w:eastAsiaTheme="minorHAnsi"/>
          <w:szCs w:val="22"/>
          <w:lang w:eastAsia="en-US"/>
        </w:rPr>
        <w:t>), ktoré zahŕňajú tokenizáciu existujúceho platobného nástroja vrátane platobnej karty, sa majú považovať za technické zariadenia, vzhľadom na čo by mali byť vyňaté z vymedzenia pojmu platobný nástroj, keďže token sám osebe</w:t>
      </w:r>
      <w:r>
        <w:rPr>
          <w:rFonts w:eastAsiaTheme="minorHAnsi"/>
          <w:szCs w:val="22"/>
          <w:lang w:eastAsia="en-US"/>
        </w:rPr>
        <w:t xml:space="preserve"> nemožno považovať za platobný nástroj, ale skôr za platobnú aplikáciu v zmysle článku 2 bodu 21 nariadenia Európskeho parlamentu a Rady (EÚ) </w:t>
      </w:r>
      <w:r>
        <w:rPr>
          <w:rFonts w:eastAsiaTheme="minorHAnsi"/>
          <w:b/>
          <w:i/>
          <w:szCs w:val="22"/>
          <w:lang w:eastAsia="en-US"/>
        </w:rPr>
        <w:t>2015/751</w:t>
      </w:r>
      <w:r>
        <w:rPr>
          <w:rFonts w:eastAsiaTheme="minorHAnsi"/>
          <w:noProof/>
          <w:szCs w:val="24"/>
          <w:vertAlign w:val="superscript"/>
          <w:lang w:eastAsia="en-US"/>
        </w:rPr>
        <w:footnoteReference w:id="9"/>
      </w:r>
      <w:r>
        <w:rPr>
          <w:rFonts w:eastAsiaTheme="minorHAnsi"/>
          <w:szCs w:val="22"/>
          <w:lang w:eastAsia="en-US"/>
        </w:rPr>
        <w:t xml:space="preserve">. </w:t>
      </w:r>
      <w:bookmarkStart w:id="12" w:name="_Hlk133914642"/>
      <w:r>
        <w:rPr>
          <w:rFonts w:eastAsiaTheme="minorHAnsi"/>
          <w:szCs w:val="22"/>
          <w:lang w:eastAsia="en-US"/>
        </w:rPr>
        <w:t>Niektoré iné kategórie digitálnych peňaženiek,</w:t>
      </w:r>
      <w:bookmarkEnd w:id="12"/>
      <w:r>
        <w:rPr>
          <w:rFonts w:eastAsiaTheme="minorHAnsi"/>
          <w:szCs w:val="22"/>
          <w:lang w:eastAsia="en-US"/>
        </w:rPr>
        <w:t xml:space="preserve"> konkrétne predplatené elektronické peňaženky, ako sú via</w:t>
      </w:r>
      <w:r>
        <w:rPr>
          <w:rFonts w:eastAsiaTheme="minorHAnsi"/>
          <w:szCs w:val="22"/>
          <w:lang w:eastAsia="en-US"/>
        </w:rPr>
        <w:t>cstupňové peňaženky (</w:t>
      </w:r>
      <w:proofErr w:type="spellStart"/>
      <w:r>
        <w:rPr>
          <w:rFonts w:eastAsiaTheme="minorHAnsi"/>
          <w:i/>
          <w:iCs/>
          <w:szCs w:val="22"/>
          <w:lang w:eastAsia="en-US"/>
        </w:rPr>
        <w:t>staged</w:t>
      </w:r>
      <w:proofErr w:type="spellEnd"/>
      <w:r>
        <w:rPr>
          <w:rFonts w:eastAsiaTheme="minorHAnsi"/>
          <w:i/>
          <w:iCs/>
          <w:szCs w:val="22"/>
          <w:lang w:eastAsia="en-US"/>
        </w:rPr>
        <w:t xml:space="preserve"> </w:t>
      </w:r>
      <w:proofErr w:type="spellStart"/>
      <w:r>
        <w:rPr>
          <w:rFonts w:eastAsiaTheme="minorHAnsi"/>
          <w:i/>
          <w:iCs/>
          <w:szCs w:val="22"/>
          <w:lang w:eastAsia="en-US"/>
        </w:rPr>
        <w:t>wallets</w:t>
      </w:r>
      <w:proofErr w:type="spellEnd"/>
      <w:r>
        <w:rPr>
          <w:rFonts w:eastAsiaTheme="minorHAnsi"/>
          <w:szCs w:val="22"/>
          <w:lang w:eastAsia="en-US"/>
        </w:rPr>
        <w:t>), v ktorých používatelia môžu uchovávať peniaze na budúcu online transakciu, sa majú považovať za platobný nástroj a ich vydávanie za platobnú službu.</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(14)</w:t>
      </w:r>
      <w:r>
        <w:rPr>
          <w:rFonts w:eastAsiaTheme="minorHAnsi"/>
          <w:szCs w:val="22"/>
          <w:lang w:eastAsia="en-US"/>
        </w:rPr>
        <w:tab/>
        <w:t>Poukázanie peňazí je platobnou službou, ktorá je obyčajne založe</w:t>
      </w:r>
      <w:r>
        <w:rPr>
          <w:rFonts w:eastAsiaTheme="minorHAnsi"/>
          <w:szCs w:val="22"/>
          <w:lang w:eastAsia="en-US"/>
        </w:rPr>
        <w:t>ná na tom, že platiteľ poskytne hotovosť poskytovateľovi platobných služieb bez toho, aby bol v mene platiteľa alebo príjemcu platby vytvorený platobný účet, pričom poskytovateľ platobných služieb poukáže zodpovedajúcu sumu príjemcovi platby alebo inému po</w:t>
      </w:r>
      <w:r>
        <w:rPr>
          <w:rFonts w:eastAsiaTheme="minorHAnsi"/>
          <w:szCs w:val="22"/>
          <w:lang w:eastAsia="en-US"/>
        </w:rPr>
        <w:t>skytovateľovi platobných služieb, ktorý koná v mene príjemcu platby. V niektorých členských štátoch poskytujú supermarkety, obchodníci a iní maloobchodní predajcovia verejnosti službu, ktorá umožňuje uskutočňovať platby za komunálne služby a platiť iné pra</w:t>
      </w:r>
      <w:r>
        <w:rPr>
          <w:rFonts w:eastAsiaTheme="minorHAnsi"/>
          <w:szCs w:val="22"/>
          <w:lang w:eastAsia="en-US"/>
        </w:rPr>
        <w:t>videlné účty domácností. S takýmito službami vyplatenia účtov by sa preto malo zaobchádzať ako s poukazovaním peňazí.</w:t>
      </w:r>
    </w:p>
    <w:p w:rsidR="00F7624D" w:rsidRDefault="003C5F24">
      <w:pPr>
        <w:widowControl/>
        <w:spacing w:before="120" w:after="120"/>
        <w:ind w:left="709" w:hanging="709"/>
        <w:jc w:val="both"/>
        <w:rPr>
          <w:rFonts w:eastAsiaTheme="minorHAnsi"/>
          <w:noProof/>
          <w:szCs w:val="22"/>
          <w:lang w:eastAsia="en-US"/>
        </w:rPr>
      </w:pPr>
      <w:bookmarkStart w:id="13" w:name="_Hlk138203711"/>
      <w:r>
        <w:rPr>
          <w:rFonts w:eastAsiaTheme="minorHAnsi"/>
          <w:szCs w:val="22"/>
          <w:lang w:eastAsia="en-US"/>
        </w:rPr>
        <w:t>(15)</w:t>
      </w:r>
      <w:r>
        <w:rPr>
          <w:rFonts w:eastAsiaTheme="minorHAnsi"/>
          <w:szCs w:val="22"/>
          <w:lang w:eastAsia="en-US"/>
        </w:rPr>
        <w:tab/>
        <w:t xml:space="preserve">Vymedzenie pojmu finančné prostriedky by sa malo vzťahovať na všetky formy peňazí centrálnej banky, ktoré boli vydané na použitie </w:t>
      </w:r>
      <w:r>
        <w:rPr>
          <w:rFonts w:eastAsiaTheme="minorHAnsi"/>
          <w:szCs w:val="22"/>
          <w:lang w:eastAsia="en-US"/>
        </w:rPr>
        <w:t>v maloobchode, vrátane bankoviek a mincí, ako aj na všetky potenciálne budúce digitálne meny centrálnej banky, elektronické peniaze a peniaze komerčných bánk. Peniaze centrálnej banky, ktoré boli vydané na používanie medzi centrálnou bankou a komerčnými ba</w:t>
      </w:r>
      <w:r>
        <w:rPr>
          <w:rFonts w:eastAsiaTheme="minorHAnsi"/>
          <w:szCs w:val="22"/>
          <w:lang w:eastAsia="en-US"/>
        </w:rPr>
        <w:t>nkami, teda na použitie vo veľkoobchode, by zahrnuté byť nemali.</w:t>
      </w:r>
      <w:bookmarkEnd w:id="13"/>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(16)</w:t>
      </w:r>
      <w:r>
        <w:rPr>
          <w:rFonts w:eastAsiaTheme="minorHAnsi"/>
          <w:szCs w:val="22"/>
          <w:lang w:eastAsia="en-US"/>
        </w:rPr>
        <w:tab/>
        <w:t xml:space="preserve">V nariadení (EÚ) 2023/1114 z 31. mája 2023 sa stanovuje, že tokeny elektronických peňazí sa považujú za elektronické peniaze. Tokeny elektronických peňazí by preto mali </w:t>
      </w:r>
      <w:r>
        <w:rPr>
          <w:rFonts w:eastAsiaTheme="minorHAnsi"/>
          <w:szCs w:val="22"/>
          <w:lang w:eastAsia="en-US"/>
        </w:rPr>
        <w:lastRenderedPageBreak/>
        <w:t>byť zahrnuté do v</w:t>
      </w:r>
      <w:r>
        <w:rPr>
          <w:rFonts w:eastAsiaTheme="minorHAnsi"/>
          <w:szCs w:val="22"/>
          <w:lang w:eastAsia="en-US"/>
        </w:rPr>
        <w:t xml:space="preserve">ymedzenia pojmu finančné prostriedky, rovnako ako elektronické peniaze.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(17)</w:t>
      </w:r>
      <w:r>
        <w:rPr>
          <w:rFonts w:eastAsiaTheme="minorHAnsi"/>
          <w:szCs w:val="22"/>
          <w:lang w:eastAsia="en-US"/>
        </w:rPr>
        <w:tab/>
        <w:t>V rámci hodnotenia vykonávania smernice (EÚ) 2015/2366 nebola identifikovaná jasná potreba významne meniť podmienky udeľovania a zachovania platnosti povolenia na vykonávanie čin</w:t>
      </w:r>
      <w:r>
        <w:rPr>
          <w:rFonts w:eastAsiaTheme="minorHAnsi"/>
          <w:szCs w:val="22"/>
          <w:lang w:eastAsia="en-US"/>
        </w:rPr>
        <w:t>nosti platobnej inštitúcie alebo inštitúcie elektronického peňažníctva, ako ich v prípade platobných inštitúcií predpisuje smernica Európskeho parlamentu a Rady 2007/64/ES</w:t>
      </w:r>
      <w:r>
        <w:rPr>
          <w:rFonts w:eastAsiaTheme="minorHAnsi"/>
          <w:noProof/>
          <w:szCs w:val="24"/>
          <w:vertAlign w:val="superscript"/>
          <w:lang w:eastAsia="en-IE"/>
        </w:rPr>
        <w:footnoteReference w:id="10"/>
      </w:r>
      <w:r>
        <w:rPr>
          <w:rFonts w:eastAsiaTheme="minorHAnsi"/>
          <w:szCs w:val="22"/>
          <w:lang w:eastAsia="en-US"/>
        </w:rPr>
        <w:t xml:space="preserve"> a smernica (EÚ) 2015/2366 a v prípade inštitúcií elektronického peňažníctva smernic</w:t>
      </w:r>
      <w:r>
        <w:rPr>
          <w:rFonts w:eastAsiaTheme="minorHAnsi"/>
          <w:szCs w:val="22"/>
          <w:lang w:eastAsia="en-US"/>
        </w:rPr>
        <w:t xml:space="preserve">a 2009/110/ES. Takéto podmienky naďalej zahŕňajú </w:t>
      </w:r>
      <w:proofErr w:type="spellStart"/>
      <w:r>
        <w:rPr>
          <w:rFonts w:eastAsiaTheme="minorHAnsi"/>
          <w:szCs w:val="22"/>
          <w:lang w:eastAsia="en-US"/>
        </w:rPr>
        <w:t>prudenciálne</w:t>
      </w:r>
      <w:proofErr w:type="spellEnd"/>
      <w:r>
        <w:rPr>
          <w:rFonts w:eastAsiaTheme="minorHAnsi"/>
          <w:szCs w:val="22"/>
          <w:lang w:eastAsia="en-US"/>
        </w:rPr>
        <w:t xml:space="preserve"> požiadavky, ktoré sú primerané prevádzkovým a finančným rizikám, ktorým v rámci výkonu svojich činností čelia platobné inštitúcie vrátane inštitúcií vydávajúcich elektronické peniaze a poskytujú</w:t>
      </w:r>
      <w:r>
        <w:rPr>
          <w:rFonts w:eastAsiaTheme="minorHAnsi"/>
          <w:szCs w:val="22"/>
          <w:lang w:eastAsia="en-US"/>
        </w:rPr>
        <w:t>cich služby elektronických peňazí. Do podpornej dokumentácie požadovanej v súvislosti so žiadosťou o udelenie povolenia na vykonávanie činnosti platobnej inštitúcie je vhodné doplniť plán likvidácie pre prípad zlyhania, ktorý je primeraný obchodnému modelu</w:t>
      </w:r>
      <w:r>
        <w:rPr>
          <w:rFonts w:eastAsiaTheme="minorHAnsi"/>
          <w:szCs w:val="22"/>
          <w:lang w:eastAsia="en-US"/>
        </w:rPr>
        <w:t xml:space="preserve"> budúcej platobnej inštitúcie; tento plán likvidácie by mal byť vhodný na podporu riadneho ukončenia činností podľa uplatniteľných vnútroštátnych právnych predpisov vrátane kontinuity alebo obnovenia všetkých kritických činností, ktoré vykonávajú externí p</w:t>
      </w:r>
      <w:r>
        <w:rPr>
          <w:rFonts w:eastAsiaTheme="minorHAnsi"/>
          <w:szCs w:val="22"/>
          <w:lang w:eastAsia="en-US"/>
        </w:rPr>
        <w:t>oskytovatelia služieb, agenti alebo distribútori. Aby sa zabránilo udeleniu povolenia na služby, ktoré v skutočnosti nie sú poskytované platobnou inštitúciou, treba stanoviť, že platobná inštitúcia by nemala byť povinná získať povolenie na platobné služby,</w:t>
      </w:r>
      <w:r>
        <w:rPr>
          <w:rFonts w:eastAsiaTheme="minorHAnsi"/>
          <w:szCs w:val="22"/>
          <w:lang w:eastAsia="en-US"/>
        </w:rPr>
        <w:t xml:space="preserve"> ktoré nemá v úmysle poskytovať.</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(18)</w:t>
      </w:r>
      <w:r>
        <w:rPr>
          <w:rFonts w:eastAsiaTheme="minorHAnsi"/>
          <w:szCs w:val="22"/>
          <w:lang w:eastAsia="en-US"/>
        </w:rPr>
        <w:tab/>
        <w:t>V partnerskom preskúmaní orgánu EBA týkajúcom sa udeľovania povolení podľa smernice (EÚ) 2015/2366 vydanom v januári 2023</w:t>
      </w:r>
      <w:r>
        <w:rPr>
          <w:rFonts w:eastAsiaTheme="minorHAnsi"/>
          <w:noProof/>
          <w:szCs w:val="22"/>
          <w:vertAlign w:val="superscript"/>
          <w:lang w:eastAsia="en-IE"/>
        </w:rPr>
        <w:footnoteReference w:id="11"/>
      </w:r>
      <w:r>
        <w:rPr>
          <w:rFonts w:eastAsiaTheme="minorHAnsi"/>
          <w:szCs w:val="22"/>
          <w:lang w:eastAsia="en-US"/>
        </w:rPr>
        <w:t xml:space="preserve"> sa dospelo k záveru, že nedostatky v rámci procesu udeľovania povolenia viedli k situácii, keď </w:t>
      </w:r>
      <w:r>
        <w:rPr>
          <w:rFonts w:eastAsiaTheme="minorHAnsi"/>
          <w:szCs w:val="22"/>
          <w:lang w:eastAsia="en-US"/>
        </w:rPr>
        <w:t>sú žiadatelia vystavení rozdielnym očakávaniam dohľadu, pokiaľ ide o požiadavky na udelenie povolenia na vykonávanie činnosti platobnej inštitúcie alebo inštitúcie elektronického peňažníctva v celej Únii, a že niekedy môže proces udeľovania povolenia trvať</w:t>
      </w:r>
      <w:r>
        <w:rPr>
          <w:rFonts w:eastAsiaTheme="minorHAnsi"/>
          <w:szCs w:val="22"/>
          <w:lang w:eastAsia="en-US"/>
        </w:rPr>
        <w:t xml:space="preserve"> príliš dlho. S cieľom zabezpečiť rovnaké podmienky a harmonizovaný proces udeľovania povolení podnikom, ktoré podali žiadosť o udelenie povolenia na vykonávanie činnosti platobnej inštitúcie, je vhodné stanoviť pre príslušné orgány lehotu na dokončenie pr</w:t>
      </w:r>
      <w:r>
        <w:rPr>
          <w:rFonts w:eastAsiaTheme="minorHAnsi"/>
          <w:szCs w:val="22"/>
          <w:lang w:eastAsia="en-US"/>
        </w:rPr>
        <w:t xml:space="preserve">ocesu udeľovania povolenia v trvaní </w:t>
      </w:r>
      <w:r>
        <w:rPr>
          <w:rFonts w:eastAsiaTheme="minorHAnsi"/>
          <w:b/>
          <w:i/>
          <w:szCs w:val="22"/>
          <w:lang w:eastAsia="en-US"/>
        </w:rPr>
        <w:t>dvoch mesiacov</w:t>
      </w:r>
      <w:r>
        <w:rPr>
          <w:rFonts w:eastAsiaTheme="minorHAnsi"/>
          <w:szCs w:val="22"/>
          <w:lang w:eastAsia="en-US"/>
        </w:rPr>
        <w:t xml:space="preserve"> od doručenia všetkých informácií potrebných na rozhodnutie.</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(19) S cieľom zabezpečiť pre platobné inštitúcie väčšiu konzistentnosť v rámci procesu podávania žiadosti je vhodné poveriť orgán EBA, aby vyprac</w:t>
      </w:r>
      <w:r>
        <w:rPr>
          <w:rFonts w:eastAsiaTheme="minorHAnsi"/>
          <w:szCs w:val="22"/>
          <w:lang w:eastAsia="en-US"/>
        </w:rPr>
        <w:t>oval návrh regulačných technických predpisov týkajúcich sa udeľovania povolení, ako aj informácií, ktoré sa majú poskytnúť príslušným orgánom v žiadosti o udelenie povolenia na vykonávanie činnosti platobnej inštitúcie, spoločnú metodiku posudzovania na úč</w:t>
      </w:r>
      <w:r>
        <w:rPr>
          <w:rFonts w:eastAsiaTheme="minorHAnsi"/>
          <w:szCs w:val="22"/>
          <w:lang w:eastAsia="en-US"/>
        </w:rPr>
        <w:t>ely udelenia povolenia alebo registrácie, čo možno považovať za záruku porovnateľnú s poistením zodpovednosti za škodu spôsobenú pri výkone činnosti, a kritérií, ktoré sa majú použiť na stanovenie minimálnej peňažnej sumy poistenia zodpovednosti za škodu s</w:t>
      </w:r>
      <w:r>
        <w:rPr>
          <w:rFonts w:eastAsiaTheme="minorHAnsi"/>
          <w:szCs w:val="22"/>
          <w:lang w:eastAsia="en-US"/>
        </w:rPr>
        <w:t xml:space="preserve">pôsobenú pri výkone činnosti alebo porovnateľnej záruky. Orgán EBA by tým mal zohľadniť </w:t>
      </w:r>
      <w:r>
        <w:rPr>
          <w:rFonts w:eastAsiaTheme="minorHAnsi"/>
          <w:szCs w:val="22"/>
          <w:lang w:eastAsia="en-US"/>
        </w:rPr>
        <w:lastRenderedPageBreak/>
        <w:t>skúsenosti získané pri uplatňovaní svojich usmernení týkajúcich sa informácií, ktoré majú poskytnúť žiadajúci poskytovatelia platobných služieb príslušným vnútroštátnym</w:t>
      </w:r>
      <w:r>
        <w:rPr>
          <w:rFonts w:eastAsiaTheme="minorHAnsi"/>
          <w:szCs w:val="22"/>
          <w:lang w:eastAsia="en-US"/>
        </w:rPr>
        <w:t xml:space="preserve"> orgánom na účely udelenia povolenia alebo registrácie, a svojich usmernení týkajúcich sa uplatňovania kritérií použitých na stanovenie minimálnej peňažnej sumy poistenia zodpovednosti za škodu spôsobenú pri výkone činnosti alebo inej porovnateľnej záruky.</w:t>
      </w:r>
      <w:r>
        <w:rPr>
          <w:rFonts w:eastAsiaTheme="minorHAnsi"/>
          <w:szCs w:val="22"/>
          <w:lang w:eastAsia="en-US"/>
        </w:rPr>
        <w:t xml:space="preserve">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(20)</w:t>
      </w:r>
      <w:r>
        <w:rPr>
          <w:rFonts w:eastAsiaTheme="minorHAnsi"/>
          <w:szCs w:val="22"/>
          <w:lang w:eastAsia="en-US"/>
        </w:rPr>
        <w:tab/>
      </w:r>
      <w:proofErr w:type="spellStart"/>
      <w:r>
        <w:rPr>
          <w:rFonts w:eastAsiaTheme="minorHAnsi"/>
          <w:szCs w:val="22"/>
          <w:lang w:eastAsia="en-US"/>
        </w:rPr>
        <w:t>Prudenciálny</w:t>
      </w:r>
      <w:proofErr w:type="spellEnd"/>
      <w:r>
        <w:rPr>
          <w:rFonts w:eastAsiaTheme="minorHAnsi"/>
          <w:szCs w:val="22"/>
          <w:lang w:eastAsia="en-US"/>
        </w:rPr>
        <w:t xml:space="preserve"> rámec uplatniteľný na platobné inštitúcie by mal naďalej vychádzať z predpokladu, že tieto inštitúcie majú zakázané prijímať vklady od používateľov platobných služieb a majú povolené používať finančné prostriedky prijaté od používateľov platobných služieb</w:t>
      </w:r>
      <w:r>
        <w:rPr>
          <w:rFonts w:eastAsiaTheme="minorHAnsi"/>
          <w:szCs w:val="22"/>
          <w:lang w:eastAsia="en-US"/>
        </w:rPr>
        <w:t xml:space="preserve"> len na účely poskytovania platobných služieb. V dôsledku toho je vhodné, aby </w:t>
      </w:r>
      <w:proofErr w:type="spellStart"/>
      <w:r>
        <w:rPr>
          <w:rFonts w:eastAsiaTheme="minorHAnsi"/>
          <w:szCs w:val="22"/>
          <w:lang w:eastAsia="en-US"/>
        </w:rPr>
        <w:t>prudenciálne</w:t>
      </w:r>
      <w:proofErr w:type="spellEnd"/>
      <w:r>
        <w:rPr>
          <w:rFonts w:eastAsiaTheme="minorHAnsi"/>
          <w:szCs w:val="22"/>
          <w:lang w:eastAsia="en-US"/>
        </w:rPr>
        <w:t xml:space="preserve"> požiadavky uplatniteľné na platobné inštitúcie zohľadňovali skutočnosť, že platobné inštitúcie vykonávajú špecializovanejšie a obmedzenejšie činnosti než úverové inš</w:t>
      </w:r>
      <w:r>
        <w:rPr>
          <w:rFonts w:eastAsiaTheme="minorHAnsi"/>
          <w:szCs w:val="22"/>
          <w:lang w:eastAsia="en-US"/>
        </w:rPr>
        <w:t>titúcie, a preto sa vystavujú rizikám, ktoré sú oveľa užšie a ktoré je možné oveľa ľahšie monitorovať a kontrolovať než tie, ktoré vznikajú v širšom spektre činností úverových inštitúcií.</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(21)</w:t>
      </w:r>
      <w:r>
        <w:rPr>
          <w:rFonts w:eastAsiaTheme="minorHAnsi"/>
          <w:szCs w:val="22"/>
          <w:lang w:eastAsia="en-US"/>
        </w:rPr>
        <w:tab/>
        <w:t>Príslušné orgány by pri posudzovaní žiadostí o udelenie povolen</w:t>
      </w:r>
      <w:r>
        <w:rPr>
          <w:rFonts w:eastAsiaTheme="minorHAnsi"/>
          <w:szCs w:val="22"/>
          <w:lang w:eastAsia="en-US"/>
        </w:rPr>
        <w:t>ia na vykonávanie činnosti platobnej inštitúcie mali venovať osobitnú pozornosť plánu správy a riadenia, ktorý bol predložený v rámci uvedenej žiadosti. Platobné inštitúcie by mali riešiť potenciálne škodlivý vplyv zle navrhnutých mechanizmov správy a riad</w:t>
      </w:r>
      <w:r>
        <w:rPr>
          <w:rFonts w:eastAsiaTheme="minorHAnsi"/>
          <w:szCs w:val="22"/>
          <w:lang w:eastAsia="en-US"/>
        </w:rPr>
        <w:t>enia na riadne riadenie rizika uplatňovaním správnej kultúry rizika na všetkých úrovniach. Príslušné orgány by mali monitorovať vhodnosť mechanizmov vnútornej správy a riadenia. Je vhodné, aby orgán EBA prijal usmernenia týkajúce sa mechanizmov vnútornej s</w:t>
      </w:r>
      <w:r>
        <w:rPr>
          <w:rFonts w:eastAsiaTheme="minorHAnsi"/>
          <w:szCs w:val="22"/>
          <w:lang w:eastAsia="en-US"/>
        </w:rPr>
        <w:t>právy a riadenia s prihliadnutím na rôzne veľkosti a obchodné modely platobných inštitúcií a rešpektujúc zásadu proporcionality.</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(22)</w:t>
      </w:r>
      <w:r>
        <w:rPr>
          <w:rFonts w:eastAsiaTheme="minorHAnsi"/>
          <w:szCs w:val="22"/>
          <w:lang w:eastAsia="en-US"/>
        </w:rPr>
        <w:tab/>
        <w:t xml:space="preserve">Hoci sa v požiadavkách na udeľovanie povolení stanovujú osobitné pravidlá týkajúce sa bezpečnostných kontrol informačných </w:t>
      </w:r>
      <w:r>
        <w:rPr>
          <w:rFonts w:eastAsiaTheme="minorHAnsi"/>
          <w:szCs w:val="22"/>
          <w:lang w:eastAsia="en-US"/>
        </w:rPr>
        <w:t>a komunikačných technológií (ďalej len „IKT“) a zmierňujúce prvky na účely udelenia povolenia na poskytovanie platobných služieb, tieto požiadavky by mali byť zosúladené s požiadavkami nariadenia Európskeho parlamentu a Rady (EÚ) 2022/2554</w:t>
      </w:r>
      <w:r>
        <w:rPr>
          <w:rFonts w:eastAsiaTheme="minorHAnsi"/>
          <w:noProof/>
          <w:szCs w:val="24"/>
          <w:vertAlign w:val="superscript"/>
          <w:lang w:eastAsia="en-IE"/>
        </w:rPr>
        <w:footnoteReference w:id="12"/>
      </w:r>
      <w:r>
        <w:rPr>
          <w:rFonts w:eastAsiaTheme="minorHAnsi"/>
          <w:szCs w:val="22"/>
          <w:lang w:eastAsia="en-US"/>
        </w:rPr>
        <w:t>.</w:t>
      </w:r>
    </w:p>
    <w:p w:rsidR="00F7624D" w:rsidRDefault="003C5F24">
      <w:pPr>
        <w:widowControl/>
        <w:spacing w:before="120" w:after="120"/>
        <w:ind w:left="709" w:hanging="709"/>
        <w:jc w:val="both"/>
        <w:rPr>
          <w:rFonts w:eastAsiaTheme="minorHAnsi"/>
          <w:noProof/>
          <w:szCs w:val="22"/>
          <w:lang w:eastAsia="en-US"/>
        </w:rPr>
      </w:pPr>
      <w:bookmarkStart w:id="14" w:name="_Hlk138192625"/>
      <w:r>
        <w:rPr>
          <w:rFonts w:eastAsiaTheme="minorHAnsi"/>
          <w:szCs w:val="22"/>
          <w:lang w:eastAsia="en-US"/>
        </w:rPr>
        <w:t>(23)</w:t>
      </w:r>
      <w:r>
        <w:rPr>
          <w:rFonts w:eastAsiaTheme="minorHAnsi"/>
          <w:szCs w:val="22"/>
          <w:lang w:eastAsia="en-US"/>
        </w:rPr>
        <w:tab/>
        <w:t>Keď posky</w:t>
      </w:r>
      <w:r>
        <w:rPr>
          <w:rFonts w:eastAsiaTheme="minorHAnsi"/>
          <w:szCs w:val="22"/>
          <w:lang w:eastAsia="en-US"/>
        </w:rPr>
        <w:t>tovatelia platobných iniciačných služieb a poskytovatelia služieb informovania o účte</w:t>
      </w:r>
      <w:bookmarkEnd w:id="14"/>
      <w:r>
        <w:rPr>
          <w:rFonts w:eastAsiaTheme="minorHAnsi"/>
          <w:szCs w:val="22"/>
          <w:lang w:eastAsia="en-US"/>
        </w:rPr>
        <w:t xml:space="preserve"> poskytujú uvedené služby, nemajú v držbe finančné prostriedky klienta. Preto by bolo neprimerané ukladať uvedeným účastníkom trhu požiadavky na vlastné zdroje. Napriek to</w:t>
      </w:r>
      <w:r>
        <w:rPr>
          <w:rFonts w:eastAsiaTheme="minorHAnsi"/>
          <w:szCs w:val="22"/>
          <w:lang w:eastAsia="en-US"/>
        </w:rPr>
        <w:t>mu je dôležité zabezpečiť, aby si poskytovatelia platobných iniciačných služieb a poskytovatelia služieb informovania o účte dokázali splniť záväzky v súvislosti so svojimi činnosťami. S cieľom zabezpečiť riadne pokrytie rizík spojených s platobnými inicia</w:t>
      </w:r>
      <w:r>
        <w:rPr>
          <w:rFonts w:eastAsiaTheme="minorHAnsi"/>
          <w:szCs w:val="22"/>
          <w:lang w:eastAsia="en-US"/>
        </w:rPr>
        <w:t>čnými službami a službami informovania o účte je vhodné požadovať od platobných inštitúcií, ktoré ponúkajú tieto služby, aby mali buď poistenie zodpovednosti za škodu spôsobenú pri výkone činnosti alebo porovnateľnú záruku, a ďalej stanoviť, ktoré riziká t</w:t>
      </w:r>
      <w:r>
        <w:rPr>
          <w:rFonts w:eastAsiaTheme="minorHAnsi"/>
          <w:szCs w:val="22"/>
          <w:lang w:eastAsia="en-US"/>
        </w:rPr>
        <w:t>reba pokryť, a to vzhľadom na ustanovenia týkajúce sa zodpovednosti uvedené v nariadení XXX [ďalej len „nariadenie o platobných službách“]. Vzhľadom na ťažkosti, s ktorými sa poskytovatelia služieb informovania o účte a poskytovatelia platobných iniciačnýc</w:t>
      </w:r>
      <w:r>
        <w:rPr>
          <w:rFonts w:eastAsiaTheme="minorHAnsi"/>
          <w:szCs w:val="22"/>
          <w:lang w:eastAsia="en-US"/>
        </w:rPr>
        <w:t>h služieb stretávajú pri uzatváraní poistenia zodpovednosti za škodu spôsobenú pri výkone činnosti, ktoré kryje riziká súvisiace s ich činnosťou, je vhodné poskytnúť týmto inštitúciám možnosť vybrať si, či budú mať v držbe počiatočný kapitál vo výške 50 00</w:t>
      </w:r>
      <w:r>
        <w:rPr>
          <w:rFonts w:eastAsiaTheme="minorHAnsi"/>
          <w:szCs w:val="22"/>
          <w:lang w:eastAsia="en-US"/>
        </w:rPr>
        <w:t xml:space="preserve">0 EUR ako alternatívu </w:t>
      </w:r>
      <w:r>
        <w:rPr>
          <w:rFonts w:eastAsiaTheme="minorHAnsi"/>
          <w:szCs w:val="22"/>
          <w:lang w:eastAsia="en-US"/>
        </w:rPr>
        <w:lastRenderedPageBreak/>
        <w:t xml:space="preserve">k poisteniu zodpovednosti za škodu spôsobenú pri výkone činnosti, a to len vo fáze udeľovania povolenia alebo registrácie. Touto možnosťou výberu pre poskytovateľov platobných iniciačných služieb a poskytovateľov služieb informovania </w:t>
      </w:r>
      <w:r>
        <w:rPr>
          <w:rFonts w:eastAsiaTheme="minorHAnsi"/>
          <w:szCs w:val="22"/>
          <w:lang w:eastAsia="en-US"/>
        </w:rPr>
        <w:t>o účte vo fáze udeľovania povolenia alebo registrácie by nemala byť dotknutá požiadavka na týchto poskytovateľov, aby uzatvorili poistenie zodpovednosti za škodu spôsobenú pri výkone činnosti bez zbytočného odkladu po tom, ako získali povolenie alebo regis</w:t>
      </w:r>
      <w:r>
        <w:rPr>
          <w:rFonts w:eastAsiaTheme="minorHAnsi"/>
          <w:szCs w:val="22"/>
          <w:lang w:eastAsia="en-US"/>
        </w:rPr>
        <w:t xml:space="preserve">tráciu.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(24)</w:t>
      </w:r>
      <w:r>
        <w:rPr>
          <w:rFonts w:eastAsiaTheme="minorHAnsi"/>
          <w:szCs w:val="22"/>
          <w:lang w:eastAsia="en-US"/>
        </w:rPr>
        <w:tab/>
        <w:t>V záujme riešenia rizík týkajúcich sa nadobudnutia kvalifikovanej účasti v platobnej inštitúcii v zmysle nariadenia Európskeho parlamentu a Rady (EÚ) č. 575/2013</w:t>
      </w:r>
      <w:r>
        <w:rPr>
          <w:rFonts w:eastAsiaTheme="minorHAnsi"/>
          <w:noProof/>
          <w:szCs w:val="24"/>
          <w:vertAlign w:val="superscript"/>
          <w:lang w:eastAsia="en-IE"/>
        </w:rPr>
        <w:footnoteReference w:id="13"/>
      </w:r>
      <w:r>
        <w:rPr>
          <w:rFonts w:eastAsiaTheme="minorHAnsi"/>
          <w:szCs w:val="22"/>
          <w:lang w:eastAsia="en-US"/>
        </w:rPr>
        <w:t xml:space="preserve"> je vhodné požadovať oznámenie nadobudnutia príslušnému orgánu.</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(25)</w:t>
      </w:r>
      <w:r>
        <w:rPr>
          <w:rFonts w:eastAsiaTheme="minorHAnsi"/>
          <w:szCs w:val="22"/>
          <w:lang w:eastAsia="en-US"/>
        </w:rPr>
        <w:tab/>
        <w:t>Na riešenie</w:t>
      </w:r>
      <w:r>
        <w:rPr>
          <w:rFonts w:eastAsiaTheme="minorHAnsi"/>
          <w:szCs w:val="22"/>
          <w:lang w:eastAsia="en-US"/>
        </w:rPr>
        <w:t xml:space="preserve"> rizík, ktoré predstavujú ich činnosti, potrebujú mať platobné inštitúcie v držbe dostatočný počiatočný kapitál kombinovaný s vlastnými zdrojmi. Vzhľadom na to, že platobné inštitúcie môžu vykonávať širokú škálu činností, na ktoré sa vzťahuje táto smernica</w:t>
      </w:r>
      <w:r>
        <w:rPr>
          <w:rFonts w:eastAsiaTheme="minorHAnsi"/>
          <w:szCs w:val="22"/>
          <w:lang w:eastAsia="en-US"/>
        </w:rPr>
        <w:t>, je vhodné prispôsobiť úroveň počiatočného kapitálu spojeného s jednotlivými službami povahe a rizikám, ktoré sú s týmito službami spojené.</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(26)</w:t>
      </w:r>
      <w:r>
        <w:rPr>
          <w:rFonts w:eastAsiaTheme="minorHAnsi"/>
          <w:szCs w:val="22"/>
          <w:lang w:eastAsia="en-US"/>
        </w:rPr>
        <w:tab/>
        <w:t>Vzhľadom na to, že počiatočné požiadavky uplatniteľné na platobné inštitúcie neboli od prijatia smernice 2007/</w:t>
      </w:r>
      <w:r>
        <w:rPr>
          <w:rFonts w:eastAsiaTheme="minorHAnsi"/>
          <w:szCs w:val="22"/>
          <w:lang w:eastAsia="en-US"/>
        </w:rPr>
        <w:t>64/ES prispôsobované, je vhodné upraviť tieto požiadavky o infláciu. Pokiaľ však ide o kapitálové požiadavky uplatniteľné na platobné inštitúcie, ktoré poskytujú len platobné iniciačné služby, tieto sa vykonávajú len od nadobudnutia účinnosti smernice (EÚ)</w:t>
      </w:r>
      <w:r>
        <w:rPr>
          <w:rFonts w:eastAsiaTheme="minorHAnsi"/>
          <w:szCs w:val="22"/>
          <w:lang w:eastAsia="en-US"/>
        </w:rPr>
        <w:t> 2015/2366 a nenašiel sa žiadny dôkaz o neprimeranosti týchto požiadaviek, vzhľadom na čo by sa tieto požiadavky meniť nemali.</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(27)</w:t>
      </w:r>
      <w:r>
        <w:rPr>
          <w:rFonts w:eastAsiaTheme="minorHAnsi"/>
          <w:szCs w:val="22"/>
          <w:lang w:eastAsia="en-US"/>
        </w:rPr>
        <w:tab/>
        <w:t xml:space="preserve">Veľká škála obchodných modelov v sektore </w:t>
      </w:r>
      <w:proofErr w:type="spellStart"/>
      <w:r>
        <w:rPr>
          <w:rFonts w:eastAsiaTheme="minorHAnsi"/>
          <w:szCs w:val="22"/>
          <w:lang w:eastAsia="en-US"/>
        </w:rPr>
        <w:t>retailových</w:t>
      </w:r>
      <w:proofErr w:type="spellEnd"/>
      <w:r>
        <w:rPr>
          <w:rFonts w:eastAsiaTheme="minorHAnsi"/>
          <w:szCs w:val="22"/>
          <w:lang w:eastAsia="en-US"/>
        </w:rPr>
        <w:t xml:space="preserve"> platieb odôvodňuje možnosť uplatňovať rozdielne metódy výpočtu vlastnýc</w:t>
      </w:r>
      <w:r>
        <w:rPr>
          <w:rFonts w:eastAsiaTheme="minorHAnsi"/>
          <w:szCs w:val="22"/>
          <w:lang w:eastAsia="en-US"/>
        </w:rPr>
        <w:t>h zdrojov, ktoré však nemôžu klesnúť pod úroveň príslušného počiatočného kapitálu.</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(28)</w:t>
      </w:r>
      <w:r>
        <w:rPr>
          <w:rFonts w:eastAsiaTheme="minorHAnsi"/>
          <w:szCs w:val="22"/>
          <w:lang w:eastAsia="en-US"/>
        </w:rPr>
        <w:tab/>
        <w:t>V rámci tejto smernice sa uplatňuje rovnaký prístup ako v prípade smernice (EÚ) 2015/2366, ktorý umožnil používať viaceré metódy na účely výpočtu požiadaviek na kombino</w:t>
      </w:r>
      <w:r>
        <w:rPr>
          <w:rFonts w:eastAsiaTheme="minorHAnsi"/>
          <w:szCs w:val="22"/>
          <w:lang w:eastAsia="en-US"/>
        </w:rPr>
        <w:t>vané vlastné zdroje s určitou úrovňou vlastného uváženia orgánov dohľadu s cieľom zabezpečiť, aby sa s rovnakými rizikami zaobchádzalo u všetkých poskytovateľov platobných služieb rovnako. Používanie objemu platieb platobnej inštitúcie za predchádzajúci ro</w:t>
      </w:r>
      <w:r>
        <w:rPr>
          <w:rFonts w:eastAsiaTheme="minorHAnsi"/>
          <w:szCs w:val="22"/>
          <w:lang w:eastAsia="en-US"/>
        </w:rPr>
        <w:t>k na výpočet jej požiadaviek na vlastné zdroje je pre väčšinu obchodných modelov tou najvhodnejšou a najpoužívanejšou metódou výpočtu vlastných zdrojov. Z týchto dôvodov a s cieľom zlepšiť konzistentnosť a zabezpečiť rovnaké podmienky je vhodné požadovať o</w:t>
      </w:r>
      <w:r>
        <w:rPr>
          <w:rFonts w:eastAsiaTheme="minorHAnsi"/>
          <w:szCs w:val="22"/>
          <w:lang w:eastAsia="en-US"/>
        </w:rPr>
        <w:t xml:space="preserve">d príslušných vnútroštátnych orgánov, aby vyžadovali používanie tejto metódy. Príslušné vnútroštátne orgány by však mali mať možnosť odchýliť sa od tejto zásady a požadovať od platobných inštitúcií, aby uplatňovali iné metódy v prípade obchodných modelov, </w:t>
      </w:r>
      <w:r>
        <w:rPr>
          <w:rFonts w:eastAsiaTheme="minorHAnsi"/>
          <w:szCs w:val="22"/>
          <w:lang w:eastAsia="en-US"/>
        </w:rPr>
        <w:t>ktorých výsledkom je nízky objem, ale vysoká hodnota transakcií. S cieľom zabezpečiť právnu istotu a maximálnu jasnosť, pokiaľ ide o takéto obchodné modely, je vhodné poveriť orgán EBA, aby vypracoval návrh regulačných technických predpisov.</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(29)</w:t>
      </w:r>
      <w:r>
        <w:rPr>
          <w:rFonts w:eastAsiaTheme="minorHAnsi"/>
          <w:szCs w:val="22"/>
          <w:lang w:eastAsia="en-US"/>
        </w:rPr>
        <w:tab/>
        <w:t>Bez ohľad</w:t>
      </w:r>
      <w:r>
        <w:rPr>
          <w:rFonts w:eastAsiaTheme="minorHAnsi"/>
          <w:szCs w:val="22"/>
          <w:lang w:eastAsia="en-US"/>
        </w:rPr>
        <w:t xml:space="preserve">u na cieľ zosúladiť </w:t>
      </w:r>
      <w:proofErr w:type="spellStart"/>
      <w:r>
        <w:rPr>
          <w:rFonts w:eastAsiaTheme="minorHAnsi"/>
          <w:szCs w:val="22"/>
          <w:lang w:eastAsia="en-US"/>
        </w:rPr>
        <w:t>prudenciálne</w:t>
      </w:r>
      <w:proofErr w:type="spellEnd"/>
      <w:r>
        <w:rPr>
          <w:rFonts w:eastAsiaTheme="minorHAnsi"/>
          <w:szCs w:val="22"/>
          <w:lang w:eastAsia="en-US"/>
        </w:rPr>
        <w:t xml:space="preserve"> požiadavky na platobné inštitúcie, ktoré poskytujú platobné služby a služby elektronických peňazí, je vhodné zohľadniť osobitosti podnikateľskej činnosti vydávania elektronických peňazí a vykonávania podnikateľskej činnosti</w:t>
      </w:r>
      <w:r>
        <w:rPr>
          <w:rFonts w:eastAsiaTheme="minorHAnsi"/>
          <w:szCs w:val="22"/>
          <w:lang w:eastAsia="en-US"/>
        </w:rPr>
        <w:t xml:space="preserve"> v oblasti elektronického peňažníctva a umožniť platobným inštitúciám, ktoré vydávajú elektronické peniaze a poskytujú služby elektronických </w:t>
      </w:r>
      <w:r>
        <w:rPr>
          <w:rFonts w:eastAsiaTheme="minorHAnsi"/>
          <w:szCs w:val="22"/>
          <w:lang w:eastAsia="en-US"/>
        </w:rPr>
        <w:lastRenderedPageBreak/>
        <w:t>peňazí, aby uplatňovali vhodnejšiu metódu na výpočet svojich požiadaviek na vlastné zdroje.</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(30)</w:t>
      </w:r>
      <w:r>
        <w:rPr>
          <w:rFonts w:eastAsiaTheme="minorHAnsi"/>
          <w:szCs w:val="22"/>
          <w:lang w:eastAsia="en-US"/>
        </w:rPr>
        <w:tab/>
        <w:t>Ak tá istá platobn</w:t>
      </w:r>
      <w:r>
        <w:rPr>
          <w:rFonts w:eastAsiaTheme="minorHAnsi"/>
          <w:szCs w:val="22"/>
          <w:lang w:eastAsia="en-US"/>
        </w:rPr>
        <w:t>á inštitúcia vykonáva platobnú transakciu pre platiteľa i príjemcu platby a platiteľovi sa poskytne úverová linka, je vhodné zabezpečiť finančné prostriedky v prospech príjemcu platby hneď, ako začnú predstavovať pohľadávku príjemcu platby voči platobnej i</w:t>
      </w:r>
      <w:r>
        <w:rPr>
          <w:rFonts w:eastAsiaTheme="minorHAnsi"/>
          <w:szCs w:val="22"/>
          <w:lang w:eastAsia="en-US"/>
        </w:rPr>
        <w:t>nštitúcii.</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(31)</w:t>
      </w:r>
      <w:r>
        <w:rPr>
          <w:rFonts w:eastAsiaTheme="minorHAnsi"/>
          <w:szCs w:val="22"/>
          <w:lang w:eastAsia="en-US"/>
        </w:rPr>
        <w:tab/>
        <w:t>Vzhľadom na ťažkosti, s ktorými sa stretávajú platobné inštitúcie pri otváraní a vedení platobných účtov v úverových inštitúciách, je potrebné poskytnúť dodatočnú možnosť na zabezpečenie finančných prostriedkov používateľov, konkrétne možno</w:t>
      </w:r>
      <w:r>
        <w:rPr>
          <w:rFonts w:eastAsiaTheme="minorHAnsi"/>
          <w:szCs w:val="22"/>
          <w:lang w:eastAsia="en-US"/>
        </w:rPr>
        <w:t xml:space="preserve">sť držať tieto finančné prostriedky v centrálnej banke. Touto možnosťou by však nemala byť dotknutá možnosť, že centrálna banka nebude na základe svojho organického zákona túto možnosť ponúkať. </w:t>
      </w:r>
      <w:r>
        <w:rPr>
          <w:rFonts w:eastAsiaTheme="minorHAnsi"/>
          <w:b/>
          <w:i/>
          <w:szCs w:val="22"/>
          <w:lang w:eastAsia="en-US"/>
        </w:rPr>
        <w:t>Každé zamietnutie tejto možnosti centrálnou bankou by malo byť</w:t>
      </w:r>
      <w:r>
        <w:rPr>
          <w:rFonts w:eastAsiaTheme="minorHAnsi"/>
          <w:b/>
          <w:i/>
          <w:szCs w:val="22"/>
          <w:lang w:eastAsia="en-US"/>
        </w:rPr>
        <w:t xml:space="preserve"> príslušnej platobnej inštitúcii riadne odôvodnené</w:t>
      </w:r>
      <w:r>
        <w:rPr>
          <w:rFonts w:eastAsiaTheme="minorHAnsi"/>
          <w:szCs w:val="22"/>
          <w:lang w:eastAsia="en-US"/>
        </w:rPr>
        <w:t>. S prihliadnutím na potrebu chrániť finančné prostriedky používateľov a zabrániť tomu, aby sa takéto finančné prostriedky použili na iné účely než na poskytovanie platobných služieb alebo služieb elektroni</w:t>
      </w:r>
      <w:r>
        <w:rPr>
          <w:rFonts w:eastAsiaTheme="minorHAnsi"/>
          <w:szCs w:val="22"/>
          <w:lang w:eastAsia="en-US"/>
        </w:rPr>
        <w:t>ckých peňazí, je vhodné požadovať, aby boli finančné prostriedky používateľov platobných služieb vedené oddelene od vlastných zdrojov platobnej inštitúcie. Aby sa zabezpečili rovnaké podmienky medzi platobnými inštitúciami poskytujúcimi platobné služby a p</w:t>
      </w:r>
      <w:r>
        <w:rPr>
          <w:rFonts w:eastAsiaTheme="minorHAnsi"/>
          <w:szCs w:val="22"/>
          <w:lang w:eastAsia="en-US"/>
        </w:rPr>
        <w:t>latobnými inštitúciami vydávajúcimi elektronické peniaze a poskytujúcimi služby elektronických peňazí, je vhodné čo najviac zosúladiť režimy uplatniteľné na zabezpečenie finančných prostriedkov používateľov a zároveň zachovať osobitosti elektronických peňa</w:t>
      </w:r>
      <w:r>
        <w:rPr>
          <w:rFonts w:eastAsiaTheme="minorHAnsi"/>
          <w:szCs w:val="22"/>
          <w:lang w:eastAsia="en-US"/>
        </w:rPr>
        <w:t>zí. Riziko koncentrácie je významné riziko, ktorému čelia platobné inštitúcie, najmä ak sú finančné prostriedky zabezpečené v jedinej úverovej inštitúcii. Je preto dôležité zabezpečiť, aby platobné inštitúcie riziku koncentrácie predchádzali v čo najväčšej</w:t>
      </w:r>
      <w:r>
        <w:rPr>
          <w:rFonts w:eastAsiaTheme="minorHAnsi"/>
          <w:szCs w:val="22"/>
          <w:lang w:eastAsia="en-US"/>
        </w:rPr>
        <w:t xml:space="preserve"> možnej miere. Z tohto dôvodu by mal orgán EBA dostať pokyn na vypracovanie regulačných technických predpisov týkajúcich sa predchádzaniu riziku pri zabezpečovaní finančných prostriedkov zákazníkov.</w:t>
      </w:r>
    </w:p>
    <w:p w:rsidR="00F7624D" w:rsidRDefault="003C5F24">
      <w:pPr>
        <w:spacing w:line="276" w:lineRule="auto"/>
        <w:ind w:left="709" w:hanging="709"/>
        <w:jc w:val="both"/>
        <w:rPr>
          <w:b/>
          <w:i/>
        </w:rPr>
      </w:pPr>
      <w:r>
        <w:rPr>
          <w:b/>
          <w:i/>
        </w:rPr>
        <w:t>(31a)</w:t>
      </w:r>
      <w:r>
        <w:rPr>
          <w:b/>
          <w:i/>
        </w:rPr>
        <w:tab/>
        <w:t>Môže sa stať, že úverová inštitúcia odmietne otvori</w:t>
      </w:r>
      <w:r>
        <w:rPr>
          <w:b/>
          <w:i/>
        </w:rPr>
        <w:t>ť a viesť účet platobnej inštitúcii. To by poškodilo cieľ diverzifikácie rizika platobných inštitúcií. Preto ak úverová inštitúcia odmietne otvoriť alebo sa rozhodne zrušiť účet platobnej inštitúcii, malo by sa od nej vyžadovať, aby tejto platobnej inštitú</w:t>
      </w:r>
      <w:r>
        <w:rPr>
          <w:b/>
          <w:i/>
        </w:rPr>
        <w:t>cii poskytla riadne odôvodnenú odpoveď a odôvodnenie.</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(32)</w:t>
      </w:r>
      <w:r>
        <w:rPr>
          <w:rFonts w:eastAsiaTheme="minorHAnsi"/>
          <w:szCs w:val="22"/>
          <w:lang w:eastAsia="en-US"/>
        </w:rPr>
        <w:tab/>
        <w:t>Platobné inštitúcie by mali mať možnosť vykonávať aj ďalšie činnosti nad rámec činností, na ktoré sa vzťahuje táto smernica, vrátane poskytovania prevádzkových a s nimi úzko súvisiacich doplnkových</w:t>
      </w:r>
      <w:r>
        <w:rPr>
          <w:rFonts w:eastAsiaTheme="minorHAnsi"/>
          <w:szCs w:val="22"/>
          <w:lang w:eastAsia="en-US"/>
        </w:rPr>
        <w:t xml:space="preserve"> služieb a prevádzkovania platobných systémov alebo vykonávania iných podnikateľských činností regulovaných uplatniteľným právom Únie a vnútroštátnym právom.</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(33)</w:t>
      </w:r>
      <w:r>
        <w:rPr>
          <w:rFonts w:eastAsiaTheme="minorHAnsi"/>
          <w:szCs w:val="22"/>
          <w:lang w:eastAsia="en-US"/>
        </w:rPr>
        <w:tab/>
        <w:t>Vzhľadom na skutočnosť, že činnosť prijímania vkladov je spojená s vyššími rizikami, je vhodn</w:t>
      </w:r>
      <w:r>
        <w:rPr>
          <w:rFonts w:eastAsiaTheme="minorHAnsi"/>
          <w:szCs w:val="22"/>
          <w:lang w:eastAsia="en-US"/>
        </w:rPr>
        <w:t>é zakázať platobným inštitúciám, ktoré ponúkajú platobné služby, aby prijímali vklady od používateľov, a požadovať od nich, aby používali finančné prostriedky prijaté od používateľov len na poskytovanie platobných služieb. Finančné prostriedky používateľov</w:t>
      </w:r>
      <w:r>
        <w:rPr>
          <w:rFonts w:eastAsiaTheme="minorHAnsi"/>
          <w:szCs w:val="22"/>
          <w:lang w:eastAsia="en-US"/>
        </w:rPr>
        <w:t xml:space="preserve"> platobných služieb prijaté platobnými inštitúciami, ktoré ponúkajú služby </w:t>
      </w:r>
      <w:r>
        <w:rPr>
          <w:rFonts w:eastAsiaTheme="minorHAnsi"/>
          <w:szCs w:val="22"/>
          <w:lang w:eastAsia="en-US"/>
        </w:rPr>
        <w:lastRenderedPageBreak/>
        <w:t>elektronických peňazí, by nemali predstavovať vklad ani iné návratné zdroje od verejnosti v zmysle článku 9 smernice Európskeho parlamentu a Rady 2013/36/EÚ</w:t>
      </w:r>
      <w:r>
        <w:rPr>
          <w:rFonts w:eastAsiaTheme="minorHAnsi"/>
          <w:noProof/>
          <w:szCs w:val="24"/>
          <w:vertAlign w:val="superscript"/>
          <w:lang w:eastAsia="en-IE"/>
        </w:rPr>
        <w:footnoteReference w:id="14"/>
      </w:r>
      <w:r>
        <w:rPr>
          <w:rFonts w:eastAsiaTheme="minorHAnsi"/>
          <w:szCs w:val="22"/>
          <w:lang w:eastAsia="en-US"/>
        </w:rPr>
        <w:t>.</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(34)</w:t>
      </w:r>
      <w:r>
        <w:rPr>
          <w:rFonts w:eastAsiaTheme="minorHAnsi"/>
          <w:szCs w:val="22"/>
          <w:lang w:eastAsia="en-US"/>
        </w:rPr>
        <w:tab/>
        <w:t xml:space="preserve">V snahe obmedziť </w:t>
      </w:r>
      <w:r>
        <w:rPr>
          <w:rFonts w:eastAsiaTheme="minorHAnsi"/>
          <w:szCs w:val="22"/>
          <w:lang w:eastAsia="en-US"/>
        </w:rPr>
        <w:t xml:space="preserve">riziká používania platobných účtov na iné účely než vykonávanie platobných transakcií je vhodné spresniť, že keď platobné inštitúcie poskytujú jednu alebo viac platobných služieb alebo služieb elektronických peňazí, mali by vždy viesť platobné účty, ktoré </w:t>
      </w:r>
      <w:r>
        <w:rPr>
          <w:rFonts w:eastAsiaTheme="minorHAnsi"/>
          <w:szCs w:val="22"/>
          <w:lang w:eastAsia="en-US"/>
        </w:rPr>
        <w:t>sa používajú výlučne na platobné transakcie.</w:t>
      </w:r>
    </w:p>
    <w:p w:rsidR="00F7624D" w:rsidRDefault="003C5F24">
      <w:pPr>
        <w:widowControl/>
        <w:ind w:left="709" w:hanging="709"/>
        <w:jc w:val="both"/>
        <w:rPr>
          <w:noProof/>
        </w:rPr>
      </w:pPr>
      <w:r>
        <w:t>(35)</w:t>
      </w:r>
      <w:r>
        <w:tab/>
        <w:t>Platobné inštitúcie by mali mať dovolené poskytovať úvery, ale táto činnosť by mala podliehať určitým prísnym podmienkam. Je preto vhodné regulovať poskytovanie úverov platobnými inštitúciami vo forme úvero</w:t>
      </w:r>
      <w:r>
        <w:t>vých liniek a vydávania kreditných kariet v prípade, že tieto služby uľahčujú platobné služby ▌. Je vhodné umožniť platobným inštitúciám poskytovať krátkodobý úver, pokiaľ ide o ich cezhraničné činnosti, a to pod podmienkou, že je refinancovaný najmä z vla</w:t>
      </w:r>
      <w:r>
        <w:t>stných zdrojov platobnej inštitúcie, ako aj z iných finančných prostriedkov z kapitálových trhov, ale nie z finančných prostriedkov držaných v mene klientov na účel platobných služieb. Táto možnosť by sa však mala uplatňovať bez toho, aby bola dotknutá sme</w:t>
      </w:r>
      <w:r>
        <w:t>rnica Európskeho parlamentu a Rady 2008/48/ES</w:t>
      </w:r>
      <w:r>
        <w:rPr>
          <w:noProof/>
          <w:vertAlign w:val="superscript"/>
          <w:lang w:eastAsia="en-IE"/>
        </w:rPr>
        <w:footnoteReference w:id="15"/>
      </w:r>
      <w:r>
        <w:t xml:space="preserve"> alebo iné príslušné právo Únie alebo vnútroštátne opatrenia týkajúce sa podmienok poskytovania úverov spotrebiteľom. Služby typu „kúpte teraz a zaplaťte neskôr“ by vzhľadom na svoju v zásade úverovú povahu nem</w:t>
      </w:r>
      <w:r>
        <w:t xml:space="preserve">ali predstavovať platobnú službu. Na tieto služby sa vzťahuje nová smernica o spotrebiteľských úveroch, ktorá nahrádza smernicu 2008/48/ES. </w:t>
      </w:r>
      <w:r>
        <w:rPr>
          <w:b/>
          <w:i/>
        </w:rPr>
        <w:t>Podniky poskytujúce služby typu „kúpte teraz a zaplaťte neskôr“ však podliehajú tejto smernici, ak poskytujú niektor</w:t>
      </w:r>
      <w:r>
        <w:rPr>
          <w:b/>
          <w:i/>
        </w:rPr>
        <w:t>ú z platobných služieb uvedených v prílohe I.</w:t>
      </w:r>
      <w:r>
        <w:t xml:space="preserve">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(36)</w:t>
      </w:r>
      <w:r>
        <w:rPr>
          <w:rFonts w:eastAsiaTheme="minorHAnsi"/>
          <w:szCs w:val="22"/>
          <w:lang w:eastAsia="en-US"/>
        </w:rPr>
        <w:tab/>
        <w:t>Aby sa zabezpečilo riadne uchovávanie dôkazov o dodržiavaní povinností stanovených v tejto smernici na primerané obdobie, je vhodné požadovať od platobných inštitúcií, aby všetky príslušné záznamy uchováv</w:t>
      </w:r>
      <w:r>
        <w:rPr>
          <w:rFonts w:eastAsiaTheme="minorHAnsi"/>
          <w:szCs w:val="22"/>
          <w:lang w:eastAsia="en-US"/>
        </w:rPr>
        <w:t>ali aspoň päť rokov. Osobné údaje by sa nemali uchovávať dlhšie, než je potrebné na zabezpečenie tohto účelu, a v prípade odňatia povolenia by sa údaje nemali uchovávať dlhšie ako päť rokov po tomto odňatí.</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(37)</w:t>
      </w:r>
      <w:r>
        <w:rPr>
          <w:rFonts w:eastAsiaTheme="minorHAnsi"/>
          <w:szCs w:val="22"/>
          <w:lang w:eastAsia="en-US"/>
        </w:rPr>
        <w:tab/>
        <w:t>S cieľom zabezpečiť, aby podnik neposkytoval</w:t>
      </w:r>
      <w:r>
        <w:rPr>
          <w:rFonts w:eastAsiaTheme="minorHAnsi"/>
          <w:szCs w:val="22"/>
          <w:lang w:eastAsia="en-US"/>
        </w:rPr>
        <w:t xml:space="preserve"> platobné služby alebo služby elektronických peňazí bez toho, aby mal na to udelené povolenie, je vhodné požadovať od všetkých podnikov, ktoré plánujú poskytovať platobné služby alebo služby elektronických peňazí, aby požiadali o udelenie povolenia, s výni</w:t>
      </w:r>
      <w:r>
        <w:rPr>
          <w:rFonts w:eastAsiaTheme="minorHAnsi"/>
          <w:szCs w:val="22"/>
          <w:lang w:eastAsia="en-US"/>
        </w:rPr>
        <w:t>mkou prípadov, keď sa v tejto smernici namiesto povolenia stanovuje povinnosť registrácie. Okrem toho musia byť v záujme zabezpečenia stability a integrity finančného systému a platobných systémov a v záujme ochrany spotrebiteľov takéto podniky usadené v č</w:t>
      </w:r>
      <w:r>
        <w:rPr>
          <w:rFonts w:eastAsiaTheme="minorHAnsi"/>
          <w:szCs w:val="22"/>
          <w:lang w:eastAsia="en-US"/>
        </w:rPr>
        <w:t xml:space="preserve">lenskom štáte a musia podliehať účinnému dohľadu. Táto požiadavka by sa mala vzťahovať aj na platobné inštitúcie, ktoré vydávajú elektronické peniaze, vzhľadom na významné nové </w:t>
      </w:r>
      <w:proofErr w:type="spellStart"/>
      <w:r>
        <w:rPr>
          <w:rFonts w:eastAsiaTheme="minorHAnsi"/>
          <w:szCs w:val="22"/>
          <w:lang w:eastAsia="en-US"/>
        </w:rPr>
        <w:t>prudenciálne</w:t>
      </w:r>
      <w:proofErr w:type="spellEnd"/>
      <w:r>
        <w:rPr>
          <w:rFonts w:eastAsiaTheme="minorHAnsi"/>
          <w:szCs w:val="22"/>
          <w:lang w:eastAsia="en-US"/>
        </w:rPr>
        <w:t xml:space="preserve"> riziká spojené so skutočnosťou, že inštitúcie elektronického peňaž</w:t>
      </w:r>
      <w:r>
        <w:rPr>
          <w:rFonts w:eastAsiaTheme="minorHAnsi"/>
          <w:szCs w:val="22"/>
          <w:lang w:eastAsia="en-US"/>
        </w:rPr>
        <w:t>níctva majú možnosť vydávať aj tokeny elektronických peňazí. V prípade vydavateľov elektronických peňazí by sa malo vyžadovať zriadenie právnickej osoby v EÚ, aby sa umožnil účinný dohľad nad týmito subjektmi a uvedenie do súladu s nariadením (EÚ) 2023/111</w:t>
      </w:r>
      <w:r>
        <w:rPr>
          <w:rFonts w:eastAsiaTheme="minorHAnsi"/>
          <w:szCs w:val="22"/>
          <w:lang w:eastAsia="en-US"/>
        </w:rPr>
        <w:t xml:space="preserve">4. Tokeny elektronických peňazí sú formou </w:t>
      </w:r>
      <w:proofErr w:type="spellStart"/>
      <w:r>
        <w:rPr>
          <w:rFonts w:eastAsiaTheme="minorHAnsi"/>
          <w:szCs w:val="22"/>
          <w:lang w:eastAsia="en-US"/>
        </w:rPr>
        <w:t>kryptoaktíva</w:t>
      </w:r>
      <w:proofErr w:type="spellEnd"/>
      <w:r>
        <w:rPr>
          <w:rFonts w:eastAsiaTheme="minorHAnsi"/>
          <w:szCs w:val="22"/>
          <w:lang w:eastAsia="en-US"/>
        </w:rPr>
        <w:t xml:space="preserve">, ktoré môže </w:t>
      </w:r>
      <w:r>
        <w:rPr>
          <w:rFonts w:eastAsiaTheme="minorHAnsi"/>
          <w:szCs w:val="22"/>
          <w:lang w:eastAsia="en-US"/>
        </w:rPr>
        <w:lastRenderedPageBreak/>
        <w:t xml:space="preserve">značne zväčšiť svoj rozsah a predstavovať riziká ovplyvňujúce finančnú stabilitu, menovú suverenitu a menovú politiku. </w:t>
      </w:r>
    </w:p>
    <w:p w:rsidR="00F7624D" w:rsidRDefault="003C5F24">
      <w:pPr>
        <w:widowControl/>
        <w:ind w:left="709" w:hanging="709"/>
        <w:jc w:val="both"/>
        <w:rPr>
          <w:szCs w:val="24"/>
        </w:rPr>
      </w:pPr>
      <w:r>
        <w:rPr>
          <w:b/>
          <w:i/>
        </w:rPr>
        <w:t>(37a)</w:t>
      </w:r>
      <w:r>
        <w:rPr>
          <w:b/>
          <w:i/>
        </w:rPr>
        <w:tab/>
        <w:t xml:space="preserve">Na to, aby sa platobné inštitúcie mohli skutočne zapojiť do </w:t>
      </w:r>
      <w:r>
        <w:rPr>
          <w:b/>
          <w:i/>
        </w:rPr>
        <w:t>cezhraničných služieb, by Komisia mala vytvoriť špecializované internetové webové sídlo alebo jednotné kontaktné miesto so všetkými informáciami na jednom mieste o tom, ako sa zaregistrovať v každom členskom štáte.</w:t>
      </w:r>
      <w:r>
        <w:t xml:space="preserve">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(38)</w:t>
      </w:r>
      <w:r>
        <w:rPr>
          <w:rFonts w:eastAsiaTheme="minorHAnsi"/>
          <w:szCs w:val="22"/>
          <w:lang w:eastAsia="en-US"/>
        </w:rPr>
        <w:tab/>
        <w:t xml:space="preserve">Aby sa zabránilo zneužívaniu práva </w:t>
      </w:r>
      <w:r>
        <w:rPr>
          <w:rFonts w:eastAsiaTheme="minorHAnsi"/>
          <w:szCs w:val="22"/>
          <w:lang w:eastAsia="en-US"/>
        </w:rPr>
        <w:t>usadiť sa a predišlo prípadom, keď sa platobná inštitúcia usadí v členskom štáte bez toho, aby v danom členskom štáte plánovala vykonávať akúkoľvek činnosť, je vhodné vyžadovať, aby platobná inštitúcia, ktorá žiada o udelenie povolenia v členskom štáte, vy</w:t>
      </w:r>
      <w:r>
        <w:rPr>
          <w:rFonts w:eastAsiaTheme="minorHAnsi"/>
          <w:szCs w:val="22"/>
          <w:lang w:eastAsia="en-US"/>
        </w:rPr>
        <w:t>konávala v danom členskom štáte aspoň časť svojej podnikateľskej činnosti v oblasti platobných služieb. Povinnosť inštitúcie vykonávať časť svojej podnikateľskej činnosti vo svojej domovskej krajine, ktorá sa zaviedla už smernicou (EÚ) 2015/2366, bola vykl</w:t>
      </w:r>
      <w:r>
        <w:rPr>
          <w:rFonts w:eastAsiaTheme="minorHAnsi"/>
          <w:szCs w:val="22"/>
          <w:lang w:eastAsia="en-US"/>
        </w:rPr>
        <w:t xml:space="preserve">adaná veľmi rozdielne, pričom niektoré domovské krajiny požadujú, aby sa podnikateľská činnosť vykonávala v ich krajine. Slovo „časť“ by </w:t>
      </w:r>
      <w:r>
        <w:rPr>
          <w:rFonts w:eastAsiaTheme="minorHAnsi"/>
          <w:b/>
          <w:i/>
          <w:szCs w:val="22"/>
          <w:lang w:eastAsia="en-US"/>
        </w:rPr>
        <w:t>sa</w:t>
      </w:r>
      <w:r>
        <w:rPr>
          <w:rFonts w:eastAsiaTheme="minorHAnsi"/>
          <w:szCs w:val="22"/>
          <w:lang w:eastAsia="en-US"/>
        </w:rPr>
        <w:t xml:space="preserve"> malo </w:t>
      </w:r>
      <w:r>
        <w:rPr>
          <w:rFonts w:eastAsiaTheme="minorHAnsi"/>
          <w:b/>
          <w:i/>
          <w:szCs w:val="22"/>
          <w:lang w:eastAsia="en-US"/>
        </w:rPr>
        <w:t>vykladať</w:t>
      </w:r>
      <w:r>
        <w:rPr>
          <w:rFonts w:eastAsiaTheme="minorHAnsi"/>
          <w:szCs w:val="22"/>
          <w:lang w:eastAsia="en-US"/>
        </w:rPr>
        <w:t xml:space="preserve"> tak, že znamená menej ako väčšinu podnikateľskej činnosti inštitúcie, aby sa zachoval praktický účinok</w:t>
      </w:r>
      <w:r>
        <w:rPr>
          <w:rFonts w:eastAsiaTheme="minorHAnsi"/>
          <w:szCs w:val="22"/>
          <w:lang w:eastAsia="en-US"/>
        </w:rPr>
        <w:t xml:space="preserve"> slobody platobnej inštitúcie poskytovať cezhraničné služby.</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(39)</w:t>
      </w:r>
      <w:r>
        <w:rPr>
          <w:rFonts w:eastAsiaTheme="minorHAnsi"/>
          <w:szCs w:val="22"/>
          <w:lang w:eastAsia="en-US"/>
        </w:rPr>
        <w:tab/>
        <w:t>Platobná inštitúcia môže vykonávať aj iné činnosti ako poskytovanie platobných služieb alebo služieb elektronických peňazí. Na zabezpečenie riadneho dohľadu nad platobnou inštitúciou je vhod</w:t>
      </w:r>
      <w:r>
        <w:rPr>
          <w:rFonts w:eastAsiaTheme="minorHAnsi"/>
          <w:szCs w:val="22"/>
          <w:lang w:eastAsia="en-US"/>
        </w:rPr>
        <w:t>né umožniť príslušným vnútroštátnym orgánom, aby v prípade potreby požadovali zriadenie samostatného subjektu na účely poskytovania platobných služieb alebo služieb elektronických peňazí. Pri takomto rozhodnutí príslušného orgánu by sa mal zohľadniť potenc</w:t>
      </w:r>
      <w:r>
        <w:rPr>
          <w:rFonts w:eastAsiaTheme="minorHAnsi"/>
          <w:szCs w:val="22"/>
          <w:lang w:eastAsia="en-US"/>
        </w:rPr>
        <w:t>iálny nepriaznivý vplyv, ktorý by udalosť ovplyvňujúca ostatné podnikateľské činnosti mohla mať na finančné zdravie danej platobnej inštitúcie, alebo potenciálny nepriaznivý vplyv vyplývajúci zo situácie, keď by platobná inštitúcia nebola schopná poskytova</w:t>
      </w:r>
      <w:r>
        <w:rPr>
          <w:rFonts w:eastAsiaTheme="minorHAnsi"/>
          <w:szCs w:val="22"/>
          <w:lang w:eastAsia="en-US"/>
        </w:rPr>
        <w:t xml:space="preserve">ť samostatné správy o vlastných zdrojoch v súvislosti s jej platobnými činnosťami a činnosťami elektronického peňažníctva a jej inými činnosťami.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(40)</w:t>
      </w:r>
      <w:r>
        <w:rPr>
          <w:rFonts w:eastAsiaTheme="minorHAnsi"/>
          <w:szCs w:val="22"/>
          <w:lang w:eastAsia="en-US"/>
        </w:rPr>
        <w:tab/>
        <w:t>S cieľom zabezpečiť riadny priebežný dohľad nad platobnými inštitúciami a dostupnosť presných a aktuálny</w:t>
      </w:r>
      <w:r>
        <w:rPr>
          <w:rFonts w:eastAsiaTheme="minorHAnsi"/>
          <w:szCs w:val="22"/>
          <w:lang w:eastAsia="en-US"/>
        </w:rPr>
        <w:t>ch informácií je vhodné požadovať od platobných inštitúcií, aby informovali príslušné vnútroštátne orgány o každej zmene svojej podnikateľskej činnosti, ktorá ovplyvňuje presnosť informácií poskytnutých v súvislosti s udelením povolenia, vrátane informácií</w:t>
      </w:r>
      <w:r>
        <w:rPr>
          <w:rFonts w:eastAsiaTheme="minorHAnsi"/>
          <w:szCs w:val="22"/>
          <w:lang w:eastAsia="en-US"/>
        </w:rPr>
        <w:t xml:space="preserve"> týkajúcich sa dodatočných agentov alebo subjektov, ktoré zabezpečujú dané činnosti externe. V prípade pochybností by príslušné orgány mali overiť správnosť oznámených informácií.</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(41)</w:t>
      </w:r>
      <w:r>
        <w:rPr>
          <w:rFonts w:eastAsiaTheme="minorHAnsi"/>
          <w:szCs w:val="22"/>
          <w:lang w:eastAsia="en-US"/>
        </w:rPr>
        <w:tab/>
        <w:t>Aby sa zabezpečil jednotný režim udeľovania povolení platobným inštitúc</w:t>
      </w:r>
      <w:r>
        <w:rPr>
          <w:rFonts w:eastAsiaTheme="minorHAnsi"/>
          <w:szCs w:val="22"/>
          <w:lang w:eastAsia="en-US"/>
        </w:rPr>
        <w:t>iám v celej Únii, je vhodné stanoviť harmonizované podmienky, za ktorých príslušné vnútroštátne orgány môžu odňať povolenie vydané platobnej inštitúcii.</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(42)</w:t>
      </w:r>
      <w:r>
        <w:rPr>
          <w:rFonts w:eastAsiaTheme="minorHAnsi"/>
          <w:szCs w:val="22"/>
          <w:lang w:eastAsia="en-US"/>
        </w:rPr>
        <w:tab/>
        <w:t>S cieľom zvýšiť transparentnosť operácií platobných inštitúcií, ktorým príslušné orgány domovského</w:t>
      </w:r>
      <w:r>
        <w:rPr>
          <w:rFonts w:eastAsiaTheme="minorHAnsi"/>
          <w:szCs w:val="22"/>
          <w:lang w:eastAsia="en-US"/>
        </w:rPr>
        <w:t xml:space="preserve"> členského štátu udelili povolenie alebo ktoré tieto príslušné orgány zaregistrovali, a to vrátane ich agentov, distribútorov a pobočiek, a zabezpečiť vysokú úroveň ochrany spotrebiteľov v Únii je potrebné zabezpečiť ľahký prístup verejnosti k zoznamu podn</w:t>
      </w:r>
      <w:r>
        <w:rPr>
          <w:rFonts w:eastAsiaTheme="minorHAnsi"/>
          <w:szCs w:val="22"/>
          <w:lang w:eastAsia="en-US"/>
        </w:rPr>
        <w:t>ikov poskytujúcich platobné služby spolu s ich súvisiacimi značkami, ktoré by mali byť zahrnuté do verejného vnútroštátneho registra.</w:t>
      </w:r>
    </w:p>
    <w:p w:rsidR="00F7624D" w:rsidRDefault="003C5F24">
      <w:pPr>
        <w:widowControl/>
        <w:spacing w:before="120" w:after="120"/>
        <w:ind w:left="709" w:hanging="709"/>
        <w:jc w:val="both"/>
        <w:rPr>
          <w:rFonts w:eastAsiaTheme="minorHAnsi"/>
          <w:noProof/>
          <w:szCs w:val="22"/>
          <w:lang w:eastAsia="en-US"/>
        </w:rPr>
      </w:pPr>
      <w:r>
        <w:rPr>
          <w:rFonts w:eastAsiaTheme="minorHAnsi"/>
          <w:sz w:val="23"/>
          <w:szCs w:val="22"/>
          <w:lang w:eastAsia="en-US"/>
        </w:rPr>
        <w:t>(43)</w:t>
      </w:r>
      <w:r>
        <w:rPr>
          <w:rFonts w:eastAsiaTheme="minorHAnsi"/>
          <w:sz w:val="23"/>
          <w:szCs w:val="22"/>
          <w:lang w:eastAsia="en-US"/>
        </w:rPr>
        <w:tab/>
        <w:t>Aby sa zabezpečila dostupnosť informácií o platobných inštitúciách, ktorým bolo udelené povolenie alebo boli registro</w:t>
      </w:r>
      <w:r>
        <w:rPr>
          <w:rFonts w:eastAsiaTheme="minorHAnsi"/>
          <w:sz w:val="23"/>
          <w:szCs w:val="22"/>
          <w:lang w:eastAsia="en-US"/>
        </w:rPr>
        <w:t xml:space="preserve">vané, alebo o subjektoch, ktoré sú podľa vnútroštátneho práva oprávnené poskytovať platobné služby alebo služby elektronických peňazí, v celej Únii </w:t>
      </w:r>
      <w:r>
        <w:rPr>
          <w:rFonts w:eastAsiaTheme="minorHAnsi"/>
          <w:sz w:val="23"/>
          <w:szCs w:val="22"/>
          <w:lang w:eastAsia="en-US"/>
        </w:rPr>
        <w:lastRenderedPageBreak/>
        <w:t>v centrálnom registri, orgán EBA by mal prevádzkovať takýto register, v ktorom by mal uverejňovať zoznam náz</w:t>
      </w:r>
      <w:r>
        <w:rPr>
          <w:rFonts w:eastAsiaTheme="minorHAnsi"/>
          <w:sz w:val="23"/>
          <w:szCs w:val="22"/>
          <w:lang w:eastAsia="en-US"/>
        </w:rPr>
        <w:t>vov podnikov, ktorým bolo udelené povolenie alebo boli registrované na poskytovanie platobných služieb alebo služieb elektronických peňazí. Ak je to spojené so spracúvaním osobných údajov, na zaručenie toho, aby na vnútornom trhu pôsobili len oprávnení age</w:t>
      </w:r>
      <w:r>
        <w:rPr>
          <w:rFonts w:eastAsiaTheme="minorHAnsi"/>
          <w:sz w:val="23"/>
          <w:szCs w:val="22"/>
          <w:lang w:eastAsia="en-US"/>
        </w:rPr>
        <w:t>nti a distribútori, je potrebné uverejniť informácie na úrovni Únie o fyzických osobách, ktoré vystupujú ako agenti alebo distribútori, a teda je v záujme primeraného fungovania vnútorného trhu s platobnými službami. Členské štáty by mali zabezpečiť, aby ú</w:t>
      </w:r>
      <w:r>
        <w:rPr>
          <w:rFonts w:eastAsiaTheme="minorHAnsi"/>
          <w:sz w:val="23"/>
          <w:szCs w:val="22"/>
          <w:lang w:eastAsia="en-US"/>
        </w:rPr>
        <w:t>daje, ktoré poskytujú o dotknutých podnikoch vrátane ich agentov, distribútorov a pobočiek, boli presné a aktuálne a aby sa orgánu EBA zasielali bez zbytočného odkladu a pokiaľ možno automatizovaným spôsobom. Orgán EBA by mal preto vypracovať návrh regulač</w:t>
      </w:r>
      <w:r>
        <w:rPr>
          <w:rFonts w:eastAsiaTheme="minorHAnsi"/>
          <w:sz w:val="23"/>
          <w:szCs w:val="22"/>
          <w:lang w:eastAsia="en-US"/>
        </w:rPr>
        <w:t xml:space="preserve">ných technických predpisov s cieľom stanoviť metódy a mechanizmy prenosu takýchto informácií. Týmto návrhom regulačných technických predpisov by sa mala zabezpečiť vysoká úroveň podrobnosti a konzistentnosti týchto informácií. Pri vypracúvaní tohto návrhu </w:t>
      </w:r>
      <w:r>
        <w:rPr>
          <w:rFonts w:eastAsiaTheme="minorHAnsi"/>
          <w:sz w:val="23"/>
          <w:szCs w:val="22"/>
          <w:lang w:eastAsia="en-US"/>
        </w:rPr>
        <w:t>regulačných technických predpisov by mal orgán EBA zohľadniť skúsenosti získané pri uplatňovaní delegovaného nariadenia Komisie (EÚ) 2019/411.</w:t>
      </w:r>
      <w:r>
        <w:rPr>
          <w:rFonts w:eastAsiaTheme="minorHAnsi"/>
          <w:szCs w:val="22"/>
          <w:lang w:eastAsia="en-US"/>
        </w:rPr>
        <w:t xml:space="preserve"> </w:t>
      </w:r>
      <w:r>
        <w:rPr>
          <w:rFonts w:eastAsiaTheme="minorHAnsi"/>
          <w:sz w:val="23"/>
          <w:szCs w:val="22"/>
          <w:lang w:eastAsia="en-US"/>
        </w:rPr>
        <w:t>S cieľom zvýšiť transparentnosť je vhodné, aby prenášané informácie obsahovali značky všetkých poskytovaných plat</w:t>
      </w:r>
      <w:r>
        <w:rPr>
          <w:rFonts w:eastAsiaTheme="minorHAnsi"/>
          <w:sz w:val="23"/>
          <w:szCs w:val="22"/>
          <w:lang w:eastAsia="en-US"/>
        </w:rPr>
        <w:t>obných služieb a služieb elektronických peňazí. Zverejňovanie osobných údajov by sa malo uskutočňovať v súlade s platnými pravidlami týkajúcimi sa ochrany údajov. Ak sa osobné údaje uverejňujú, mali by sa zaviesť vhodné záruky na ochranu údajov s cieľom za</w:t>
      </w:r>
      <w:r>
        <w:rPr>
          <w:rFonts w:eastAsiaTheme="minorHAnsi"/>
          <w:sz w:val="23"/>
          <w:szCs w:val="22"/>
          <w:lang w:eastAsia="en-US"/>
        </w:rPr>
        <w:t>brániť ďalšiemu nechcenému šíreniu informácií online.</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(44)</w:t>
      </w:r>
      <w:r>
        <w:rPr>
          <w:rFonts w:eastAsiaTheme="minorHAnsi"/>
          <w:szCs w:val="22"/>
          <w:lang w:eastAsia="en-US"/>
        </w:rPr>
        <w:tab/>
        <w:t>S cieľom zvýšiť transparentnosť a povedomie o službách poskytovaných poskytovateľmi platobných iniciačných služieb a služieb informovania o účte je vhodné, aby orgán EBA viedol strojovo čitateľný z</w:t>
      </w:r>
      <w:r>
        <w:rPr>
          <w:rFonts w:eastAsiaTheme="minorHAnsi"/>
          <w:szCs w:val="22"/>
          <w:lang w:eastAsia="en-US"/>
        </w:rPr>
        <w:t xml:space="preserve">oznam obsahujúci základné informácie o takýchto podnikoch a o službách, ktoré poskytujú. Informácie obsiahnuté v tomto zozname by mali umožňovať jednoznačnú identifikáciu poskytovateľov platobných iniciačných služieb a služieb informovania o účte.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(45)</w:t>
      </w:r>
      <w:r>
        <w:rPr>
          <w:rFonts w:eastAsiaTheme="minorHAnsi"/>
          <w:szCs w:val="22"/>
          <w:lang w:eastAsia="en-US"/>
        </w:rPr>
        <w:tab/>
        <w:t>Na</w:t>
      </w:r>
      <w:r>
        <w:rPr>
          <w:rFonts w:eastAsiaTheme="minorHAnsi"/>
          <w:szCs w:val="22"/>
          <w:lang w:eastAsia="en-US"/>
        </w:rPr>
        <w:t xml:space="preserve"> rozšírenie dosahu platobných služieb platobných inštitúcií môže byť potrebné, aby platobné inštitúcie využívali subjekty poskytujúce platobné služby v ich mene vrátane agentov alebo – v prípade služieb elektronických peňazí – distribútorov. Platobné inšti</w:t>
      </w:r>
      <w:r>
        <w:rPr>
          <w:rFonts w:eastAsiaTheme="minorHAnsi"/>
          <w:szCs w:val="22"/>
          <w:lang w:eastAsia="en-US"/>
        </w:rPr>
        <w:t>túcie môžu takisto uplatňovať svoje právo usadiť sa v hostiteľskom členskom štáte, ktorý je iný ako domovský členský štát, prostredníctvom pobočiek. V takýchto prípadoch je vhodné, aby platobná inštitúcia oznámila príslušnému vnútroštátnemu orgánu všetky r</w:t>
      </w:r>
      <w:r>
        <w:rPr>
          <w:rFonts w:eastAsiaTheme="minorHAnsi"/>
          <w:szCs w:val="22"/>
          <w:lang w:eastAsia="en-US"/>
        </w:rPr>
        <w:t>elevantné informácie týkajúce sa agentov, distribútorov a pobočiek a bez zbytočného odkladu informovala príslušné vnútroštátne orgány o všetkých zmenách. S cieľom zabezpečiť transparentnosť voči koncovým používateľom je takisto vhodné, aby agenti, distribú</w:t>
      </w:r>
      <w:r>
        <w:rPr>
          <w:rFonts w:eastAsiaTheme="minorHAnsi"/>
          <w:szCs w:val="22"/>
          <w:lang w:eastAsia="en-US"/>
        </w:rPr>
        <w:t>tori alebo pobočky konajúce v mene platobnej inštitúcie informovali o tejto skutočnosti používateľov platobných služieb.</w:t>
      </w:r>
    </w:p>
    <w:p w:rsidR="00F7624D" w:rsidRDefault="003C5F24">
      <w:pPr>
        <w:widowControl/>
        <w:spacing w:before="120" w:after="120"/>
        <w:ind w:left="709" w:hanging="709"/>
        <w:jc w:val="both"/>
        <w:rPr>
          <w:b/>
          <w:i/>
        </w:rPr>
      </w:pPr>
      <w:r>
        <w:rPr>
          <w:b/>
          <w:i/>
        </w:rPr>
        <w:t>(45a)</w:t>
      </w:r>
      <w:r>
        <w:rPr>
          <w:b/>
          <w:i/>
        </w:rPr>
        <w:tab/>
        <w:t>Ak nadobúdatelia využívajú na poskytovanie platobných služieb agenta, treba poznamenať, že agent koná len v mene jedného nadobúda</w:t>
      </w:r>
      <w:r>
        <w:rPr>
          <w:b/>
          <w:i/>
        </w:rPr>
        <w:t>teľa ako hlavného poskytovateľa platobných služieb, a nie vo vzťahu ku všetkým platobným službám poskytovaným používateľovi platobných služieb.</w:t>
      </w:r>
    </w:p>
    <w:p w:rsidR="00F7624D" w:rsidRDefault="003C5F24">
      <w:pPr>
        <w:widowControl/>
        <w:spacing w:before="120" w:after="120"/>
        <w:ind w:left="709" w:hanging="709"/>
        <w:jc w:val="both"/>
        <w:rPr>
          <w:noProof/>
        </w:rPr>
      </w:pPr>
      <w:r>
        <w:rPr>
          <w:b/>
          <w:i/>
        </w:rPr>
        <w:t>(45b)</w:t>
      </w:r>
      <w:r>
        <w:rPr>
          <w:b/>
          <w:i/>
        </w:rPr>
        <w:tab/>
        <w:t xml:space="preserve">S </w:t>
      </w:r>
      <w:r>
        <w:rPr>
          <w:rFonts w:eastAsiaTheme="minorHAnsi"/>
          <w:szCs w:val="22"/>
          <w:lang w:eastAsia="en-US"/>
        </w:rPr>
        <w:t>cieľom</w:t>
      </w:r>
      <w:r>
        <w:rPr>
          <w:b/>
          <w:i/>
        </w:rPr>
        <w:t xml:space="preserve"> zohľadniť vyvíjajúcu sa trhovú realitu by sa trhoviská a platformy podporované poskytovateľmi pla</w:t>
      </w:r>
      <w:r>
        <w:rPr>
          <w:b/>
          <w:i/>
        </w:rPr>
        <w:t>tobných služieb, ktorí poskytujú služby týmto trhoviskám a platformám tak, že tieto trhoviská a platformy nemajú kontrolu alebo držbu finančných prostriedkov pre tretie strany, nemali štandardne považovať za agentov poskytovateľov platobných služieb.</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(46)</w:t>
      </w:r>
      <w:r>
        <w:rPr>
          <w:rFonts w:eastAsiaTheme="minorHAnsi"/>
          <w:szCs w:val="22"/>
          <w:lang w:eastAsia="en-US"/>
        </w:rPr>
        <w:tab/>
      </w:r>
      <w:r>
        <w:rPr>
          <w:rFonts w:eastAsiaTheme="minorHAnsi"/>
          <w:szCs w:val="22"/>
          <w:lang w:eastAsia="en-US"/>
        </w:rPr>
        <w:t xml:space="preserve">Pri vykonávaní svojej podnikateľskej činnosti môžu byť platobné inštitúcie nútené externe zabezpečovať prevádzkové úlohy časti svojich činností. V snahe zabezpečiť, </w:t>
      </w:r>
      <w:r>
        <w:rPr>
          <w:rFonts w:eastAsiaTheme="minorHAnsi"/>
          <w:szCs w:val="22"/>
          <w:lang w:eastAsia="en-US"/>
        </w:rPr>
        <w:lastRenderedPageBreak/>
        <w:t>aby to nebolo na úkor nepretržitého dodržiavania požiadaviek, ktoré platobnej inštitúcii vy</w:t>
      </w:r>
      <w:r>
        <w:rPr>
          <w:rFonts w:eastAsiaTheme="minorHAnsi"/>
          <w:szCs w:val="22"/>
          <w:lang w:eastAsia="en-US"/>
        </w:rPr>
        <w:t>plývajú z jej povolenia, alebo iných uplatniteľných požiadaviek podľa tejto smernice platobnou inštitúciou, je vhodné požadovať od platobnej inštitúcie, aby bez zbytočného odkladu informovala príslušné vnútroštátne orgány, ak plánuje externe zabezpečovať p</w:t>
      </w:r>
      <w:r>
        <w:rPr>
          <w:rFonts w:eastAsiaTheme="minorHAnsi"/>
          <w:szCs w:val="22"/>
          <w:lang w:eastAsia="en-US"/>
        </w:rPr>
        <w:t>revádzkové úlohy, ako aj o každej zmene týkajúcej sa využívania subjektov, ktoré zabezpečujú činnosti externe.</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(47)</w:t>
      </w:r>
      <w:r>
        <w:rPr>
          <w:rFonts w:eastAsiaTheme="minorHAnsi"/>
          <w:szCs w:val="22"/>
          <w:lang w:eastAsia="en-US"/>
        </w:rPr>
        <w:tab/>
        <w:t>Na zaistenie riadneho zmiernenia rizík, ktoré môže vytvárať externé zabezpečovanie prevádzkových úloh, je vhodné od platobných inštitúcií po</w:t>
      </w:r>
      <w:r>
        <w:rPr>
          <w:rFonts w:eastAsiaTheme="minorHAnsi"/>
          <w:szCs w:val="22"/>
          <w:lang w:eastAsia="en-US"/>
        </w:rPr>
        <w:t>žadovať, aby prijali primerané kroky na zaistenie toho, aby sa takýmto externým zabezpečovaním neporušovali požiadavky tejto smernice. Platobné inštitúcie by mali naďalej niesť plnú zodpovednosť za každé konanie svojich zamestnancov alebo za každého agenta</w:t>
      </w:r>
      <w:r>
        <w:rPr>
          <w:rFonts w:eastAsiaTheme="minorHAnsi"/>
          <w:szCs w:val="22"/>
          <w:lang w:eastAsia="en-US"/>
        </w:rPr>
        <w:t>, distribútora alebo subjekt, ktorý zabezpečuje činnosti externe.</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(48)</w:t>
      </w:r>
      <w:r>
        <w:rPr>
          <w:rFonts w:eastAsiaTheme="minorHAnsi"/>
          <w:szCs w:val="22"/>
          <w:lang w:eastAsia="en-US"/>
        </w:rPr>
        <w:tab/>
        <w:t>S cieľom zabezpečiť účinné presadzovanie ustanovení vnútroštátneho práva prijatých podľa tejto smernice by členské štáty mali určiť príslušné orgány zodpovedné za udeľovanie povolení a </w:t>
      </w:r>
      <w:r>
        <w:rPr>
          <w:rFonts w:eastAsiaTheme="minorHAnsi"/>
          <w:szCs w:val="22"/>
          <w:lang w:eastAsia="en-US"/>
        </w:rPr>
        <w:t>dohľad nad platobnými inštitúciami. Členské štáty by mali zabezpečiť, aby boli príslušným orgánom udelené potrebné právomoci a zdroje, vrátane zamestnancov, na riadne vykonávanie ich funkcií.</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(49)</w:t>
      </w:r>
      <w:r>
        <w:rPr>
          <w:rFonts w:eastAsiaTheme="minorHAnsi"/>
          <w:szCs w:val="22"/>
          <w:lang w:eastAsia="en-US"/>
        </w:rPr>
        <w:tab/>
        <w:t xml:space="preserve">Aby sa príslušným orgánom umožnilo riadne vykonávať dohľad </w:t>
      </w:r>
      <w:r>
        <w:rPr>
          <w:rFonts w:eastAsiaTheme="minorHAnsi"/>
          <w:szCs w:val="22"/>
          <w:lang w:eastAsia="en-US"/>
        </w:rPr>
        <w:t>nad platobnými inštitúciami, je vhodné udeliť týmto orgánom vyšetrovacie právomoci a právomoci v oblasti dohľadu a poskytnúť im možnosť ukladať administratívne sankcie a opatrenia potrebné na vykonávanie ich úloh. Z rovnakého dôvodu je vhodné udeliť príslu</w:t>
      </w:r>
      <w:r>
        <w:rPr>
          <w:rFonts w:eastAsiaTheme="minorHAnsi"/>
          <w:szCs w:val="22"/>
          <w:lang w:eastAsia="en-US"/>
        </w:rPr>
        <w:t xml:space="preserve">šným orgánom právomoc požadovať informácie, vykonávať kontroly na mieste a vydávať odporúčania, usmernenia a záväzné administratívne rozhodnutia. Členské štáty by mali stanoviť vnútroštátne ustanovenia </w:t>
      </w:r>
      <w:r>
        <w:rPr>
          <w:rFonts w:eastAsiaTheme="minorHAnsi"/>
          <w:b/>
          <w:i/>
          <w:szCs w:val="22"/>
          <w:lang w:eastAsia="en-US"/>
        </w:rPr>
        <w:t>harmonizované podľa ustanovení tejto smernice</w:t>
      </w:r>
      <w:r>
        <w:rPr>
          <w:rFonts w:eastAsiaTheme="minorHAnsi"/>
          <w:szCs w:val="22"/>
          <w:lang w:eastAsia="en-US"/>
        </w:rPr>
        <w:t xml:space="preserve">, pokiaľ </w:t>
      </w:r>
      <w:r>
        <w:rPr>
          <w:rFonts w:eastAsiaTheme="minorHAnsi"/>
          <w:szCs w:val="22"/>
          <w:lang w:eastAsia="en-US"/>
        </w:rPr>
        <w:t>ide o pozastavenie platnosti alebo odňatie povolenia platobnej inštitúcie. Členské štáty by mali splnomocniť svoje príslušné orgány na ukladanie administratívnych sankcií a opatrení zameraných konkrétne na ukončenia porušovania ustanovení týkajúcich sa doh</w:t>
      </w:r>
      <w:r>
        <w:rPr>
          <w:rFonts w:eastAsiaTheme="minorHAnsi"/>
          <w:szCs w:val="22"/>
          <w:lang w:eastAsia="en-US"/>
        </w:rPr>
        <w:t>ľadu nad podnikateľskou činnosťou v oblasti platobných služieb alebo jej vykonávania.</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(50)</w:t>
      </w:r>
      <w:r>
        <w:rPr>
          <w:rFonts w:eastAsiaTheme="minorHAnsi"/>
          <w:szCs w:val="22"/>
          <w:lang w:eastAsia="en-US"/>
        </w:rPr>
        <w:tab/>
        <w:t xml:space="preserve">Z dôvodu širokej škály možných obchodných modelov v sektore platieb je vhodné umožniť určitú úroveň voľného uváženia pri vykonávaní dohľadu s cieľom zabezpečiť, aby </w:t>
      </w:r>
      <w:r>
        <w:rPr>
          <w:rFonts w:eastAsiaTheme="minorHAnsi"/>
          <w:szCs w:val="22"/>
          <w:lang w:eastAsia="en-US"/>
        </w:rPr>
        <w:t xml:space="preserve">sa s rovnakými rizikami zaobchádzalo rovnakým spôsobom </w:t>
      </w:r>
      <w:r>
        <w:rPr>
          <w:rFonts w:eastAsiaTheme="minorHAnsi"/>
          <w:b/>
          <w:i/>
          <w:szCs w:val="22"/>
          <w:lang w:eastAsia="en-US"/>
        </w:rPr>
        <w:t>vo všetkých členských štátoch</w:t>
      </w:r>
      <w:r>
        <w:rPr>
          <w:rFonts w:eastAsiaTheme="minorHAnsi"/>
          <w:szCs w:val="22"/>
          <w:lang w:eastAsia="en-US"/>
        </w:rPr>
        <w:t>.</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(51)</w:t>
      </w:r>
      <w:r>
        <w:rPr>
          <w:rFonts w:eastAsiaTheme="minorHAnsi"/>
          <w:szCs w:val="22"/>
          <w:lang w:eastAsia="en-US"/>
        </w:rPr>
        <w:tab/>
        <w:t>Pri vykonávaní dohľadu nad dodržiavaním povinností platobných inštitúcií by príslušné orgány mali vykonávať svoje právomoci v oblasti dohľadu rešpektujúc základné pr</w:t>
      </w:r>
      <w:r>
        <w:rPr>
          <w:rFonts w:eastAsiaTheme="minorHAnsi"/>
          <w:szCs w:val="22"/>
          <w:lang w:eastAsia="en-US"/>
        </w:rPr>
        <w:t xml:space="preserve">áva vrátane práva na súkromie. Bez toho, aby bola dotknutá kontrola zo strany nezávislého orgánu (vnútroštátneho orgánu na ochranu údajov) a v súlade s Chartou základných práv Európskej únie by členské štáty mali mať zavedené primerané a účinné záruky, ak </w:t>
      </w:r>
      <w:r>
        <w:rPr>
          <w:rFonts w:eastAsiaTheme="minorHAnsi"/>
          <w:szCs w:val="22"/>
          <w:lang w:eastAsia="en-US"/>
        </w:rPr>
        <w:t>existuje riziko, že by vykonávanie uvedených právomocí mohlo viesť k zneužitiu alebo svojvoľnému konaniu spôsobujúcemu závažné narušenie takýchto práv, v prípade potreby aj prostredníctvom povolenia, ktoré udelí vopred súdny orgán príslušného členského štá</w:t>
      </w:r>
      <w:r>
        <w:rPr>
          <w:rFonts w:eastAsiaTheme="minorHAnsi"/>
          <w:szCs w:val="22"/>
          <w:lang w:eastAsia="en-US"/>
        </w:rPr>
        <w:t>tu.</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(52)</w:t>
      </w:r>
      <w:r>
        <w:rPr>
          <w:rFonts w:eastAsiaTheme="minorHAnsi"/>
          <w:szCs w:val="22"/>
          <w:lang w:eastAsia="en-US"/>
        </w:rPr>
        <w:tab/>
        <w:t>S cieľom zabezpečiť ochranu práv jednotlivcov a podnikov by členské štáty mali zabezpečiť, aby sa na všetky osoby, ktoré pracujú alebo pracovali pre príslušné orgány, vzťahovala povinnosť zachovávať služobné tajomstvo.</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(53)</w:t>
      </w:r>
      <w:r>
        <w:rPr>
          <w:rFonts w:eastAsiaTheme="minorHAnsi"/>
          <w:szCs w:val="22"/>
          <w:lang w:eastAsia="en-US"/>
        </w:rPr>
        <w:tab/>
        <w:t>Činnosť platobných inšt</w:t>
      </w:r>
      <w:r>
        <w:rPr>
          <w:rFonts w:eastAsiaTheme="minorHAnsi"/>
          <w:szCs w:val="22"/>
          <w:lang w:eastAsia="en-US"/>
        </w:rPr>
        <w:t xml:space="preserve">itúcií sa môže šíriť aj cez hranice a byť relevantná pre rôzne príslušné orgány, ako aj pre orgán EBA, Európsku centrálnu banku (ďalej len „ECB“) </w:t>
      </w:r>
      <w:r>
        <w:rPr>
          <w:rFonts w:eastAsiaTheme="minorHAnsi"/>
          <w:szCs w:val="22"/>
          <w:lang w:eastAsia="en-US"/>
        </w:rPr>
        <w:lastRenderedPageBreak/>
        <w:t>a národné centrálne banky v rámci výkonu ich funkcie menových orgánov a orgánov dohľadu. Je preto vhodné zabez</w:t>
      </w:r>
      <w:r>
        <w:rPr>
          <w:rFonts w:eastAsiaTheme="minorHAnsi"/>
          <w:szCs w:val="22"/>
          <w:lang w:eastAsia="en-US"/>
        </w:rPr>
        <w:t>pečiť ich účinnú spoluprácu a výmenu informácií. Dohody o výmene informácií by mali byť v plnom súlade s pravidlami v oblasti ochrany údajov stanoveným v nariadení Európskeho parlamentu a Rady (EÚ) 2016/679</w:t>
      </w:r>
      <w:r>
        <w:rPr>
          <w:rFonts w:eastAsiaTheme="minorHAnsi"/>
          <w:noProof/>
          <w:szCs w:val="24"/>
          <w:vertAlign w:val="superscript"/>
          <w:lang w:eastAsia="en-US"/>
        </w:rPr>
        <w:footnoteReference w:id="16"/>
      </w:r>
      <w:r>
        <w:rPr>
          <w:rFonts w:eastAsiaTheme="minorHAnsi"/>
          <w:szCs w:val="22"/>
          <w:lang w:eastAsia="en-US"/>
        </w:rPr>
        <w:t xml:space="preserve"> a v nariadení Európskeho parlamentu a Rady (EÚ) </w:t>
      </w:r>
      <w:r>
        <w:rPr>
          <w:rFonts w:eastAsiaTheme="minorHAnsi"/>
          <w:szCs w:val="22"/>
          <w:lang w:eastAsia="en-US"/>
        </w:rPr>
        <w:t>2018/1725</w:t>
      </w:r>
      <w:r>
        <w:rPr>
          <w:rFonts w:eastAsiaTheme="minorHAnsi"/>
          <w:noProof/>
          <w:szCs w:val="22"/>
          <w:vertAlign w:val="superscript"/>
          <w:lang w:eastAsia="en-US"/>
        </w:rPr>
        <w:footnoteReference w:id="17"/>
      </w:r>
      <w:r>
        <w:rPr>
          <w:rFonts w:eastAsiaTheme="minorHAnsi"/>
          <w:szCs w:val="22"/>
          <w:lang w:eastAsia="en-US"/>
        </w:rPr>
        <w:t>.</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(54)</w:t>
      </w:r>
      <w:r>
        <w:rPr>
          <w:rFonts w:eastAsiaTheme="minorHAnsi"/>
          <w:szCs w:val="22"/>
          <w:lang w:eastAsia="en-US"/>
        </w:rPr>
        <w:tab/>
        <w:t>Ak sa vyskytnú nezhody v súvislosti s cezhraničnou spoluprácou medzi príslušnými orgánmi, tieto príslušné orgány by mali mať možnosť požiadať o pomoc orgán EBA, ktorý by mal prijať rozhodnutie bez zbytočného odkladu. Orgán EBA by takisto m</w:t>
      </w:r>
      <w:r>
        <w:rPr>
          <w:rFonts w:eastAsiaTheme="minorHAnsi"/>
          <w:szCs w:val="22"/>
          <w:lang w:eastAsia="en-US"/>
        </w:rPr>
        <w:t>al mať možnosť z vlastnej iniciatívy pomáhať príslušným orgánom pri dosahovaní dohody.</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(55)</w:t>
      </w:r>
      <w:r>
        <w:rPr>
          <w:rFonts w:eastAsiaTheme="minorHAnsi"/>
          <w:szCs w:val="22"/>
          <w:lang w:eastAsia="en-US"/>
        </w:rPr>
        <w:tab/>
        <w:t>Platobná inštitúcia, ktorá si uplatňuje právo usadiť sa alebo slobodu poskytovať služby, by mala príslušnému orgánu domovského členského štátu poskytnúť všetky prís</w:t>
      </w:r>
      <w:r>
        <w:rPr>
          <w:rFonts w:eastAsiaTheme="minorHAnsi"/>
          <w:szCs w:val="22"/>
          <w:lang w:eastAsia="en-US"/>
        </w:rPr>
        <w:t>lušné informácie, pokiaľ ide o jej podnikateľskú činnosť, a informovať tento príslušný orgán o tom, v ktorom členskom štáte či členských štátoch plánuje pôsobiť, či plánuje využívať pobočky, agentov alebo distribútorov a či plánuje využívať externé zabezpe</w:t>
      </w:r>
      <w:r>
        <w:rPr>
          <w:rFonts w:eastAsiaTheme="minorHAnsi"/>
          <w:szCs w:val="22"/>
          <w:lang w:eastAsia="en-US"/>
        </w:rPr>
        <w:t xml:space="preserve">čovanie činností. </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(56)</w:t>
      </w:r>
      <w:r>
        <w:rPr>
          <w:rFonts w:eastAsiaTheme="minorHAnsi"/>
          <w:szCs w:val="22"/>
          <w:lang w:eastAsia="en-US"/>
        </w:rPr>
        <w:tab/>
        <w:t>S cieľom uľahčiť spoluprácu medzi príslušnými orgánmi a účinný dohľad nad platobnými inštitúciami v súvislosti s uplatňovaním práva usadiť sa alebo slobody poskytovať služby je vhodné, aby príslušné orgány v domovskom členskom štáte</w:t>
      </w:r>
      <w:r>
        <w:rPr>
          <w:rFonts w:eastAsiaTheme="minorHAnsi"/>
          <w:szCs w:val="22"/>
          <w:lang w:eastAsia="en-US"/>
        </w:rPr>
        <w:t xml:space="preserve"> oznamovali informácie hostiteľskému členskému štátu. V situáciách tzv. trojstranného režimu povolení v zahraničí, keď platobná inštitúcia, ktorej bolo udelené povolenie v krajine A, využíva sprostredkovateľa – napríklad agenta, distribútora alebo pobočku </w:t>
      </w:r>
      <w:r>
        <w:rPr>
          <w:rFonts w:eastAsiaTheme="minorHAnsi"/>
          <w:szCs w:val="22"/>
          <w:lang w:eastAsia="en-US"/>
        </w:rPr>
        <w:t>– nachádzajúcich sa v krajine B, na účely ponúkania platobných služieb v inej krajine C, by sa za hostiteľský členský štát mal považovať ten členský štát, v ktorom sa služby ponúkajú koncovým používateľom. Vzhľadom na výzvy spojené s cezhraničnou spoluprác</w:t>
      </w:r>
      <w:r>
        <w:rPr>
          <w:rFonts w:eastAsiaTheme="minorHAnsi"/>
          <w:szCs w:val="22"/>
          <w:lang w:eastAsia="en-US"/>
        </w:rPr>
        <w:t>ou medzi príslušnými orgánmi je vhodné, aby orgán EBA vypracoval návrh regulačných technických predpisov týkajúcich sa spolupráce a výmeny informácií s prihliadnutím na skúsenosti získané pri uplatňovaní delegovaného nariadenia Komisie (EÚ) 2017/2055</w:t>
      </w:r>
      <w:r>
        <w:rPr>
          <w:rFonts w:eastAsiaTheme="minorHAnsi"/>
          <w:noProof/>
          <w:szCs w:val="22"/>
          <w:vertAlign w:val="superscript"/>
          <w:lang w:eastAsia="en-US"/>
        </w:rPr>
        <w:footnoteReference w:id="18"/>
      </w:r>
      <w:r>
        <w:rPr>
          <w:rFonts w:eastAsiaTheme="minorHAnsi"/>
          <w:szCs w:val="22"/>
          <w:lang w:eastAsia="en-US"/>
        </w:rPr>
        <w:t>.</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(57</w:t>
      </w:r>
      <w:r>
        <w:rPr>
          <w:rFonts w:eastAsiaTheme="minorHAnsi"/>
          <w:szCs w:val="22"/>
          <w:lang w:eastAsia="en-US"/>
        </w:rPr>
        <w:t>)</w:t>
      </w:r>
      <w:r>
        <w:rPr>
          <w:rFonts w:eastAsiaTheme="minorHAnsi"/>
          <w:szCs w:val="22"/>
          <w:lang w:eastAsia="en-US"/>
        </w:rPr>
        <w:tab/>
        <w:t>Členské štáty by mali mať možnosť vyžadovať, aby im platobné inštitúcie pôsobiace na ich území, ktorých ústredie sa nachádza v inom členskom štáte, pravidelne podávali správy o svojich činnostiach na ich území na informačné alebo štatistické účely. Ak ti</w:t>
      </w:r>
      <w:r>
        <w:rPr>
          <w:rFonts w:eastAsiaTheme="minorHAnsi"/>
          <w:szCs w:val="22"/>
          <w:lang w:eastAsia="en-US"/>
        </w:rPr>
        <w:t xml:space="preserve">eto platobné inštitúcie podnikajú na základe práva usadiť sa, príslušné orgány hostiteľského členského štátu alebo hostiteľských členských štátov by mali mať možnosť požadovať, </w:t>
      </w:r>
      <w:r>
        <w:rPr>
          <w:rFonts w:eastAsiaTheme="minorHAnsi"/>
          <w:szCs w:val="22"/>
          <w:lang w:eastAsia="en-US"/>
        </w:rPr>
        <w:lastRenderedPageBreak/>
        <w:t>aby sa informácie používali aj na monitorovanie súladu s nariadením XXX [nariad</w:t>
      </w:r>
      <w:r>
        <w:rPr>
          <w:rFonts w:eastAsiaTheme="minorHAnsi"/>
          <w:szCs w:val="22"/>
          <w:lang w:eastAsia="en-US"/>
        </w:rPr>
        <w:t>enie o platobných službách]. To isté by malo platiť v prípade, že v hostiteľskom členskom štáte alebo v hostiteľských členských štátoch nie je žiadna prevádzkareň a platobná inštitúcia poskytuje služby v hostiteľskom členskom štáte alebo v hostiteľských čl</w:t>
      </w:r>
      <w:r>
        <w:rPr>
          <w:rFonts w:eastAsiaTheme="minorHAnsi"/>
          <w:szCs w:val="22"/>
          <w:lang w:eastAsia="en-US"/>
        </w:rPr>
        <w:t>enských štátoch na základe slobodného poskytovania služieb. S cieľom uľahčiť dohľad príslušných orgánov nad sieťami agentov, distribútorov alebo pobočiek je vhodné, aby členské štáty, v ktorých agenti, distribútori alebo pobočky pôsobia, mohli požadovať od</w:t>
      </w:r>
      <w:r>
        <w:rPr>
          <w:rFonts w:eastAsiaTheme="minorHAnsi"/>
          <w:szCs w:val="22"/>
          <w:lang w:eastAsia="en-US"/>
        </w:rPr>
        <w:t xml:space="preserve"> materskej platobnej inštitúcie, aby na svojom území stanovila ústredný kontaktný bod. </w:t>
      </w:r>
      <w:r>
        <w:rPr>
          <w:rFonts w:eastAsiaTheme="minorHAnsi"/>
          <w:b/>
          <w:i/>
          <w:szCs w:val="22"/>
          <w:lang w:eastAsia="en-US"/>
        </w:rPr>
        <w:t>Ak členský štát takúto požiadavku uloží, každá platobná inštitúcia by mala určiť len jeden ústredný kontaktný bod pre každý členský štát.</w:t>
      </w:r>
      <w:r>
        <w:rPr>
          <w:rFonts w:eastAsiaTheme="minorHAnsi"/>
          <w:szCs w:val="22"/>
          <w:lang w:eastAsia="en-US"/>
        </w:rPr>
        <w:t xml:space="preserve"> Orgán EBA by mal vypracovať reg</w:t>
      </w:r>
      <w:r>
        <w:rPr>
          <w:rFonts w:eastAsiaTheme="minorHAnsi"/>
          <w:szCs w:val="22"/>
          <w:lang w:eastAsia="en-US"/>
        </w:rPr>
        <w:t>ulačné predpisy, v ktorých sa stanovia kritériá na určenie toho, či je stanovenie ústredného kontaktného bodu vhodné a aké by mali byť jeho úlohy. Orgán EBA by mal pritom zohľadniť skúsenosti získané pri uplatňovaní delegovaných nariadení Komisie (EÚ) 2021</w:t>
      </w:r>
      <w:r>
        <w:rPr>
          <w:rFonts w:eastAsiaTheme="minorHAnsi"/>
          <w:szCs w:val="22"/>
          <w:lang w:eastAsia="en-US"/>
        </w:rPr>
        <w:t>/1722</w:t>
      </w:r>
      <w:r>
        <w:rPr>
          <w:rFonts w:eastAsiaTheme="minorHAnsi"/>
          <w:noProof/>
          <w:szCs w:val="22"/>
          <w:vertAlign w:val="superscript"/>
          <w:lang w:eastAsia="en-US"/>
        </w:rPr>
        <w:footnoteReference w:id="19"/>
      </w:r>
      <w:r>
        <w:rPr>
          <w:rFonts w:eastAsiaTheme="minorHAnsi"/>
          <w:szCs w:val="22"/>
          <w:lang w:eastAsia="en-US"/>
        </w:rPr>
        <w:t xml:space="preserve"> a (EÚ) 2020/1423</w:t>
      </w:r>
      <w:r>
        <w:rPr>
          <w:rFonts w:eastAsiaTheme="minorHAnsi"/>
          <w:noProof/>
          <w:szCs w:val="22"/>
          <w:vertAlign w:val="superscript"/>
          <w:lang w:eastAsia="en-US"/>
        </w:rPr>
        <w:footnoteReference w:id="20"/>
      </w:r>
      <w:r>
        <w:rPr>
          <w:rFonts w:eastAsiaTheme="minorHAnsi"/>
          <w:szCs w:val="22"/>
          <w:lang w:eastAsia="en-US"/>
        </w:rPr>
        <w:t xml:space="preserve">. Požiadavka stanoviť ústredný kontaktný bod by mala byť primeraná na dosiahnutie cieľa spočívajúceho v zodpovedajúcej komunikácii a podávaní informácií o dodržiavaní príslušných ustanovení nariadenia XXX [nariadenie o platobných </w:t>
      </w:r>
      <w:r>
        <w:rPr>
          <w:rFonts w:eastAsiaTheme="minorHAnsi"/>
          <w:szCs w:val="22"/>
          <w:lang w:eastAsia="en-US"/>
        </w:rPr>
        <w:t>službách] v hostiteľskom členskom štáte.</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(58)</w:t>
      </w:r>
      <w:r>
        <w:rPr>
          <w:rFonts w:eastAsiaTheme="minorHAnsi"/>
          <w:szCs w:val="22"/>
          <w:lang w:eastAsia="en-US"/>
        </w:rPr>
        <w:tab/>
        <w:t>V naliehavých situáciách, ak sú na riešenie závažného ohrozenia kolektívnych záujmov používateľov platobných služieb v hostiteľskom členskom štáte vrátane rozsiahleho podvodu potrebné okamžité opatrenia, by prí</w:t>
      </w:r>
      <w:r>
        <w:rPr>
          <w:rFonts w:eastAsiaTheme="minorHAnsi"/>
          <w:szCs w:val="22"/>
          <w:lang w:eastAsia="en-US"/>
        </w:rPr>
        <w:t>slušné orgány hostiteľského členského štátu mali mať možnosť prijať preventívne opatrenia súbežne s cezhraničnou spoluprácou medzi príslušnými orgánmi hostiteľského a domovského členského štátu a kým príslušný orgán domovského členského štátu neprijme opat</w:t>
      </w:r>
      <w:r>
        <w:rPr>
          <w:rFonts w:eastAsiaTheme="minorHAnsi"/>
          <w:szCs w:val="22"/>
          <w:lang w:eastAsia="en-US"/>
        </w:rPr>
        <w:t>renia. Uvedené opatrenia by mali byť vhodné, primerané účelu, nediskriminačné a dočasné. Všetky opatrenia by sa mali riadne odôvodniť. Príslušné orgány domovského členského štátu príslušnej platobnej inštitúcie a iné dotknuté orgány vrátane Komisie a EBA b</w:t>
      </w:r>
      <w:r>
        <w:rPr>
          <w:rFonts w:eastAsiaTheme="minorHAnsi"/>
          <w:szCs w:val="22"/>
          <w:lang w:eastAsia="en-US"/>
        </w:rPr>
        <w:t>y mali byť informované vopred alebo, ak to vzhľadom na núdzovú situáciu nie je možné, bez zbytočného odkladu.</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(59)</w:t>
      </w:r>
      <w:r>
        <w:rPr>
          <w:rFonts w:eastAsiaTheme="minorHAnsi"/>
          <w:szCs w:val="22"/>
          <w:lang w:eastAsia="en-US"/>
        </w:rPr>
        <w:tab/>
        <w:t>Je dôležité zabezpečiť, aby sa na všetky subjekty poskytujúce platobné služby uplatňovali určité minimálne zákonné a regulačné požiadavky. Z </w:t>
      </w:r>
      <w:r>
        <w:rPr>
          <w:rFonts w:eastAsiaTheme="minorHAnsi"/>
          <w:szCs w:val="22"/>
          <w:lang w:eastAsia="en-US"/>
        </w:rPr>
        <w:t>tohto dôvodu je potrebné požadovať registráciu totožnosti a bydliska alebo sídla všetkých osôb poskytujúcich platobné služby, a to vrátane subjektov, ktoré nie sú schopné splniť všetky podmienky na udelenie povolenia na vykonávanie činnosti platobnej inšti</w:t>
      </w:r>
      <w:r>
        <w:rPr>
          <w:rFonts w:eastAsiaTheme="minorHAnsi"/>
          <w:szCs w:val="22"/>
          <w:lang w:eastAsia="en-US"/>
        </w:rPr>
        <w:t xml:space="preserve">túcie, vrátane niektorých malých platobných inštitúcií. Takýto prístup je v súlade s logikou odporúčania 14 Finančnej akčnej skupiny, ktorým sa stanovuje mechanizmus, podľa ktorého sa s poskytovateľmi platobných služieb, ktorí nie sú schopní splniť všetky </w:t>
      </w:r>
      <w:r>
        <w:rPr>
          <w:rFonts w:eastAsiaTheme="minorHAnsi"/>
          <w:szCs w:val="22"/>
          <w:lang w:eastAsia="en-US"/>
        </w:rPr>
        <w:lastRenderedPageBreak/>
        <w:t>podmienky stanovené v danom odporúčaní, môže i napriek tomu zaobchádzať ako s platobnými inštitúciami. Na tieto účely – a to aj v prípade, že sa na subjekty vzťahuje výnimka zo všetkých podmienok na udelenie povolenia alebo ich časti – by členské štáty mal</w:t>
      </w:r>
      <w:r>
        <w:rPr>
          <w:rFonts w:eastAsiaTheme="minorHAnsi"/>
          <w:szCs w:val="22"/>
          <w:lang w:eastAsia="en-US"/>
        </w:rPr>
        <w:t xml:space="preserve">i zaregistrovať tieto subjekty v registri platobných inštitúcií. Je však dôležité, aby možnosť výnimky z povolenia podliehala prísnym požiadavkám týkajúcim sa hodnoty platobných transakcií. Subjekty, na ktoré sa vzťahuje výnimka z povolenia, by nemali mať </w:t>
      </w:r>
      <w:r>
        <w:rPr>
          <w:rFonts w:eastAsiaTheme="minorHAnsi"/>
          <w:szCs w:val="22"/>
          <w:lang w:eastAsia="en-US"/>
        </w:rPr>
        <w:t>právo usadiť sa ani slobodu poskytovať služby a nemali by si nepriamo uplatňovať tieto práva, kým sú účastníkom platobného systému.</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(60)</w:t>
      </w:r>
      <w:r>
        <w:rPr>
          <w:rFonts w:eastAsiaTheme="minorHAnsi"/>
          <w:szCs w:val="22"/>
          <w:lang w:eastAsia="en-US"/>
        </w:rPr>
        <w:tab/>
        <w:t>S cieľom zabezpečiť transparentnosť, pokiaľ ide o možné výnimky pre malé platobné inštitúcie, je vhodné požadovať od čl</w:t>
      </w:r>
      <w:r>
        <w:rPr>
          <w:rFonts w:eastAsiaTheme="minorHAnsi"/>
          <w:szCs w:val="22"/>
          <w:lang w:eastAsia="en-US"/>
        </w:rPr>
        <w:t>enských štátov, aby takéto rozhodnutia oznámili Komisii.</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(61)</w:t>
      </w:r>
      <w:r>
        <w:rPr>
          <w:rFonts w:eastAsiaTheme="minorHAnsi"/>
          <w:szCs w:val="22"/>
          <w:lang w:eastAsia="en-US"/>
        </w:rPr>
        <w:tab/>
        <w:t xml:space="preserve">So zreteľom na osobitnú povahu vykonávanej činnosti a riziká spojené s poskytovaním služieb informovania o účte je vhodné stanoviť pre poskytovateľov služieb informovania o účte osobitný </w:t>
      </w:r>
      <w:proofErr w:type="spellStart"/>
      <w:r>
        <w:rPr>
          <w:rFonts w:eastAsiaTheme="minorHAnsi"/>
          <w:szCs w:val="22"/>
          <w:lang w:eastAsia="en-US"/>
        </w:rPr>
        <w:t>prudenc</w:t>
      </w:r>
      <w:r>
        <w:rPr>
          <w:rFonts w:eastAsiaTheme="minorHAnsi"/>
          <w:szCs w:val="22"/>
          <w:lang w:eastAsia="en-US"/>
        </w:rPr>
        <w:t>iálny</w:t>
      </w:r>
      <w:proofErr w:type="spellEnd"/>
      <w:r>
        <w:rPr>
          <w:rFonts w:eastAsiaTheme="minorHAnsi"/>
          <w:szCs w:val="22"/>
          <w:lang w:eastAsia="en-US"/>
        </w:rPr>
        <w:t xml:space="preserve"> režim, pričom nie je potrebný plnohodnotný režim udeľovania povolení, ale len menej prísne požiadavky na registráciu, doplnené o podklady a informácie, ktoré majú príslušnému orgánu pomáhať pri vykonávaní dohľadu. Poskytovatelia služieb informovania </w:t>
      </w:r>
      <w:r>
        <w:rPr>
          <w:rFonts w:eastAsiaTheme="minorHAnsi"/>
          <w:szCs w:val="22"/>
          <w:lang w:eastAsia="en-US"/>
        </w:rPr>
        <w:t>o účte by mali mať možnosť poskytovať služby cezhranične, pričom by sa na nich vzťahovali pravidlá tzv. režimu povolení v zahraničí.</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(62)</w:t>
      </w:r>
      <w:r>
        <w:rPr>
          <w:rFonts w:eastAsiaTheme="minorHAnsi"/>
          <w:szCs w:val="22"/>
          <w:lang w:eastAsia="en-US"/>
        </w:rPr>
        <w:tab/>
        <w:t>S cieľom ďalej zlepšiť prístup k hotovosti, ktorý je pre Komisiu prioritou, by maloobchodníci mali mať možnosť ponúkať</w:t>
      </w:r>
      <w:r>
        <w:rPr>
          <w:rFonts w:eastAsiaTheme="minorHAnsi"/>
          <w:szCs w:val="22"/>
          <w:lang w:eastAsia="en-US"/>
        </w:rPr>
        <w:t xml:space="preserve"> v kamenných obchodoch služby poskytovania hotovosti, a to aj vtedy, keď si zákazník nič nekúpi, bez toho, aby museli získať povolenie na vykonávanie činnosti poskytovateľa platobných služieb, registrovať sa alebo byť agentom platobnej inštitúcie. Na takét</w:t>
      </w:r>
      <w:r>
        <w:rPr>
          <w:rFonts w:eastAsiaTheme="minorHAnsi"/>
          <w:szCs w:val="22"/>
          <w:lang w:eastAsia="en-US"/>
        </w:rPr>
        <w:t xml:space="preserve">o služby poskytovania hotovosti by sa však mala vzťahovať povinnosť oznámiť prípadné poplatky účtované zákazníkovi. Uvedené služby by maloobchodníci mali poskytovať dobrovoľne a v závislosti od toho, či majú k dispozícii hotovosť. Aby sa zabránilo nekalej </w:t>
      </w:r>
      <w:r>
        <w:rPr>
          <w:rFonts w:eastAsiaTheme="minorHAnsi"/>
          <w:szCs w:val="22"/>
          <w:lang w:eastAsia="en-US"/>
        </w:rPr>
        <w:t xml:space="preserve">súťaži medzi prevádzkovateľmi bankomatov, ktorí nespravujú platobné účty, a maloobchodníkmi, ktorí ponúkajú výbery hotovosti bez nákupu, a aby sa zabezpečilo, že obchodom sa rýchlo nevyčerpá hotovosť, je vhodné stanoviť strop vo výške </w:t>
      </w:r>
      <w:r>
        <w:rPr>
          <w:rFonts w:eastAsiaTheme="minorHAnsi"/>
          <w:b/>
          <w:i/>
          <w:szCs w:val="22"/>
          <w:lang w:eastAsia="en-US"/>
        </w:rPr>
        <w:t>100 EUR alebo prísluš</w:t>
      </w:r>
      <w:r>
        <w:rPr>
          <w:rFonts w:eastAsiaTheme="minorHAnsi"/>
          <w:b/>
          <w:i/>
          <w:szCs w:val="22"/>
          <w:lang w:eastAsia="en-US"/>
        </w:rPr>
        <w:t>nú sumu v mene dotknutého členského štátu</w:t>
      </w:r>
      <w:r>
        <w:rPr>
          <w:rFonts w:eastAsiaTheme="minorHAnsi"/>
          <w:szCs w:val="22"/>
          <w:lang w:eastAsia="en-US"/>
        </w:rPr>
        <w:t xml:space="preserve"> na transakciu. </w:t>
      </w:r>
      <w:r>
        <w:rPr>
          <w:rFonts w:eastAsiaTheme="minorHAnsi"/>
          <w:b/>
          <w:i/>
          <w:szCs w:val="22"/>
          <w:lang w:eastAsia="en-US"/>
        </w:rPr>
        <w:t>Pri ponúkaní tejto služby by klienti mali transakciu autentifikovať a maloobchodníci by mali zabezpečiť, aby transakcia nebola anonymná.</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(63)</w:t>
      </w:r>
      <w:r>
        <w:rPr>
          <w:rFonts w:eastAsiaTheme="minorHAnsi"/>
          <w:szCs w:val="22"/>
          <w:lang w:eastAsia="en-US"/>
        </w:rPr>
        <w:tab/>
        <w:t xml:space="preserve">Z rozsahu pôsobnosti smerníc 2007/64/ES a (EÚ) 2015/2366 </w:t>
      </w:r>
      <w:r>
        <w:rPr>
          <w:rFonts w:eastAsiaTheme="minorHAnsi"/>
          <w:szCs w:val="22"/>
          <w:lang w:eastAsia="en-US"/>
        </w:rPr>
        <w:t>sa podmienečne vyňali platobné služby ponúkané určitými prevádzkovateľmi bankomatov. Uvedeným vyňatím sa stimuloval rast bankomatových služieb v mnohých členských štátoch, najmä v menej obývaných oblastiach, ktoré dopĺňajú bankomaty bánk. Uplatňovanie toht</w:t>
      </w:r>
      <w:r>
        <w:rPr>
          <w:rFonts w:eastAsiaTheme="minorHAnsi"/>
          <w:szCs w:val="22"/>
          <w:lang w:eastAsia="en-US"/>
        </w:rPr>
        <w:t>o vyňatia sa však ukázalo byť zložité z dôvodu nejednoznačnosti, pokiaľ ide o subjekty, na ktoré sa vzťahuje. V záujme riešenia tejto otázky je vhodné výslovne uviesť, že predtým vyňatí prevádzkovatelia bankomatov sú tí prevádzkovatelia bankomatov, ktorí n</w:t>
      </w:r>
      <w:r>
        <w:rPr>
          <w:rFonts w:eastAsiaTheme="minorHAnsi"/>
          <w:szCs w:val="22"/>
          <w:lang w:eastAsia="en-US"/>
        </w:rPr>
        <w:t xml:space="preserve">espravujú platobné účty. Vzhľadom na obmedzené riziká spojené s činnosťou takýchto prevádzkovateľov bankomatov je namiesto ich úplného vyňatia z rozsahu pôsobnosti vhodné podrobiť ich osobitnému </w:t>
      </w:r>
      <w:proofErr w:type="spellStart"/>
      <w:r>
        <w:rPr>
          <w:rFonts w:eastAsiaTheme="minorHAnsi"/>
          <w:szCs w:val="22"/>
          <w:lang w:eastAsia="en-US"/>
        </w:rPr>
        <w:t>prudenciálnemu</w:t>
      </w:r>
      <w:proofErr w:type="spellEnd"/>
      <w:r>
        <w:rPr>
          <w:rFonts w:eastAsiaTheme="minorHAnsi"/>
          <w:szCs w:val="22"/>
          <w:lang w:eastAsia="en-US"/>
        </w:rPr>
        <w:t xml:space="preserve"> režimu prispôsobenému týmto rizikám, pričom by</w:t>
      </w:r>
      <w:r>
        <w:rPr>
          <w:rFonts w:eastAsiaTheme="minorHAnsi"/>
          <w:szCs w:val="22"/>
          <w:lang w:eastAsia="en-US"/>
        </w:rPr>
        <w:t xml:space="preserve"> sa vyžadoval len režim registrácie.</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(64)</w:t>
      </w:r>
      <w:r>
        <w:rPr>
          <w:rFonts w:eastAsiaTheme="minorHAnsi"/>
          <w:szCs w:val="22"/>
          <w:lang w:eastAsia="en-US"/>
        </w:rPr>
        <w:tab/>
        <w:t>Poskytovatelia služieb, ktorí chceli využiť vyňatie z rozsahu pôsobnosti smernice (EÚ) 2015/2366, často nekonzultovali so svojimi orgánmi, či sa na ich činnosti uvedená smernica vzťahuje alebo či sú vyňaté z rozsah</w:t>
      </w:r>
      <w:r>
        <w:rPr>
          <w:rFonts w:eastAsiaTheme="minorHAnsi"/>
          <w:szCs w:val="22"/>
          <w:lang w:eastAsia="en-US"/>
        </w:rPr>
        <w:t xml:space="preserve">u jej pôsobnosti, ale často sa spoliehali na svoje vlastné posúdenie. To viedlo k veľmi rozdielnemu uplatňovaniu niektorých </w:t>
      </w:r>
      <w:r>
        <w:rPr>
          <w:rFonts w:eastAsiaTheme="minorHAnsi"/>
          <w:szCs w:val="22"/>
          <w:lang w:eastAsia="en-US"/>
        </w:rPr>
        <w:lastRenderedPageBreak/>
        <w:t xml:space="preserve">výnimiek v jednotlivých členských štátoch. Zdá sa tiež, že niektoré vyňatia mohli poskytovatelia platobných služieb použiť na zmenu </w:t>
      </w:r>
      <w:r>
        <w:rPr>
          <w:rFonts w:eastAsiaTheme="minorHAnsi"/>
          <w:szCs w:val="22"/>
          <w:lang w:eastAsia="en-US"/>
        </w:rPr>
        <w:t>svojich obchodných modelov tak, aby ich činnosti ponúkané v oblasti platieb nepatrili do rozsahu pôsobnosti uvedenej smernice. To môže mať za následok zvýšené riziká pre používateľov platobných služieb a rozdielne podmienky pre poskytovateľov platobných sl</w:t>
      </w:r>
      <w:r>
        <w:rPr>
          <w:rFonts w:eastAsiaTheme="minorHAnsi"/>
          <w:szCs w:val="22"/>
          <w:lang w:eastAsia="en-US"/>
        </w:rPr>
        <w:t>užieb na vnútornom trhu. Poskytovatelia služieb by preto mali byť povinní oznamovať relevantné činnosti príslušným orgánom, aby príslušné orgány mohli posúdiť, či sú splnené požiadavky stanovené v príslušných ustanoveniach, a zabezpečiť rovnaký výklad prav</w:t>
      </w:r>
      <w:r>
        <w:rPr>
          <w:rFonts w:eastAsiaTheme="minorHAnsi"/>
          <w:szCs w:val="22"/>
          <w:lang w:eastAsia="en-US"/>
        </w:rPr>
        <w:t>idiel v rámci celého vnútorného trhu. Konkrétne by sa pre všetky vyňatia založené na dodržiavaní určitej prahovej hodnoty mal stanoviť postup oznamovania s cieľom zabezpečiť súlad s konkrétnymi požiadavkami. Okrem toho je dôležité, aby bola zahrnutá požiad</w:t>
      </w:r>
      <w:r>
        <w:rPr>
          <w:rFonts w:eastAsiaTheme="minorHAnsi"/>
          <w:szCs w:val="22"/>
          <w:lang w:eastAsia="en-US"/>
        </w:rPr>
        <w:t>avka na potenciálnych poskytovateľov platobných služieb oznamovať príslušným orgánom činnosti, ktoré poskytujú v rámci obmedzenej siete na základe kritérií stanovených v nariadení XXX [nariadenie o platobných službách], ak hodnota platobných transakcií pre</w:t>
      </w:r>
      <w:r>
        <w:rPr>
          <w:rFonts w:eastAsiaTheme="minorHAnsi"/>
          <w:szCs w:val="22"/>
          <w:lang w:eastAsia="en-US"/>
        </w:rPr>
        <w:t>sahuje určitú prahovú hodnotu. Príslušné orgány by mali posúdiť, či sa tak oznámené činnosti môžu považovať za činnosti poskytované v rámci obmedzenej siete, aby sa uistili, či by mali zostať vyňaté z rozsahu pôsobnosti.</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(65)</w:t>
      </w:r>
      <w:r>
        <w:rPr>
          <w:rFonts w:eastAsiaTheme="minorHAnsi"/>
          <w:szCs w:val="22"/>
          <w:lang w:eastAsia="en-US"/>
        </w:rPr>
        <w:tab/>
        <w:t>Na Komisiu by sa mala delegova</w:t>
      </w:r>
      <w:r>
        <w:rPr>
          <w:rFonts w:eastAsiaTheme="minorHAnsi"/>
          <w:szCs w:val="22"/>
          <w:lang w:eastAsia="en-US"/>
        </w:rPr>
        <w:t>ť právomoc prijímať akty v súlade s článkom 290 Zmluvy o fungovaní Európskej únie, pokiaľ ide o aktualizáciu ktorejkoľvek zo súm na účely zohľadnenia inflácie. Pri príprave a vypracúvaní delegovaných aktov by Komisia mala zabezpečiť, aby sa príslušné dokum</w:t>
      </w:r>
      <w:r>
        <w:rPr>
          <w:rFonts w:eastAsiaTheme="minorHAnsi"/>
          <w:szCs w:val="22"/>
          <w:lang w:eastAsia="en-US"/>
        </w:rPr>
        <w:t>enty súčasne, vo vhodnom čase a vhodným spôsobom postúpili Európskemu parlamentu a Rade.</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(66)</w:t>
      </w:r>
      <w:r>
        <w:rPr>
          <w:rFonts w:eastAsiaTheme="minorHAnsi"/>
          <w:szCs w:val="22"/>
          <w:lang w:eastAsia="en-US"/>
        </w:rPr>
        <w:tab/>
        <w:t xml:space="preserve">S cieľom zabezpečiť konzistentné uplatňovanie príslušných požiadaviek by Komisia mala mať možnosť využívať expertízu a podporu orgánu EBA, ktorého úlohou by malo </w:t>
      </w:r>
      <w:r>
        <w:rPr>
          <w:rFonts w:eastAsiaTheme="minorHAnsi"/>
          <w:szCs w:val="22"/>
          <w:lang w:eastAsia="en-US"/>
        </w:rPr>
        <w:t xml:space="preserve">byť vypracovanie usmernení a návrhu regulačných technických predpisov. Komisia by mala byť splnomocnená prijať uvedený návrh regulačných technických predpisov. Uvedené osobitné úlohy sú plne v súlade s úlohou a zodpovednosťami orgánu EBA, ako sa stanovuje </w:t>
      </w:r>
      <w:r>
        <w:rPr>
          <w:rFonts w:eastAsiaTheme="minorHAnsi"/>
          <w:szCs w:val="22"/>
          <w:lang w:eastAsia="en-US"/>
        </w:rPr>
        <w:t>v nariadení Európskeho parlamentu a Rady (EÚ) č. 1093/2010</w:t>
      </w:r>
      <w:r>
        <w:rPr>
          <w:rFonts w:eastAsiaTheme="minorHAnsi"/>
          <w:noProof/>
          <w:szCs w:val="22"/>
          <w:vertAlign w:val="superscript"/>
          <w:lang w:eastAsia="en-IE"/>
        </w:rPr>
        <w:footnoteReference w:id="21"/>
      </w:r>
      <w:r>
        <w:rPr>
          <w:rFonts w:eastAsiaTheme="minorHAnsi"/>
          <w:szCs w:val="22"/>
          <w:lang w:eastAsia="en-US"/>
        </w:rPr>
        <w:t>.</w:t>
      </w:r>
    </w:p>
    <w:p w:rsidR="00F7624D" w:rsidRDefault="003C5F24">
      <w:pPr>
        <w:widowControl/>
        <w:spacing w:before="120" w:after="120"/>
        <w:ind w:left="709" w:hanging="709"/>
        <w:jc w:val="both"/>
        <w:rPr>
          <w:rFonts w:eastAsiaTheme="minorHAnsi"/>
          <w:noProof/>
          <w:szCs w:val="22"/>
          <w:lang w:eastAsia="en-US"/>
        </w:rPr>
      </w:pPr>
      <w:r>
        <w:rPr>
          <w:rFonts w:eastAsiaTheme="minorHAnsi"/>
          <w:b/>
          <w:i/>
          <w:szCs w:val="22"/>
          <w:lang w:eastAsia="en-US"/>
        </w:rPr>
        <w:t>(66a)</w:t>
      </w:r>
      <w:r>
        <w:rPr>
          <w:rFonts w:eastAsiaTheme="minorHAnsi"/>
          <w:b/>
          <w:i/>
          <w:szCs w:val="22"/>
          <w:lang w:eastAsia="en-US"/>
        </w:rPr>
        <w:tab/>
        <w:t>EBA by mal aspoň raz ročne koordinovať fórum spolupráce medzi príslušnými vnútroštátnymi orgánmi s cieľom uľahčiť ďalšiu harmonizáciu, pokiaľ ide o transpozíciu, vykonávanie a presadzovanie</w:t>
      </w:r>
      <w:r>
        <w:rPr>
          <w:rFonts w:eastAsiaTheme="minorHAnsi"/>
          <w:b/>
          <w:i/>
          <w:szCs w:val="22"/>
          <w:lang w:eastAsia="en-US"/>
        </w:rPr>
        <w:t xml:space="preserve"> ustanovení tejto smernice.</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(67)</w:t>
      </w:r>
      <w:r>
        <w:rPr>
          <w:rFonts w:eastAsiaTheme="minorHAnsi"/>
          <w:szCs w:val="22"/>
          <w:lang w:eastAsia="en-US"/>
        </w:rPr>
        <w:tab/>
        <w:t>Keďže ďalšiu integráciu vnútorného trhu s platobnými službami nie je možné uspokojivo dosiahnuť na úrovni jednotlivých členských štátov, pretože si vyžaduje harmonizáciu odlišných pravidiel, ktoré v súčasnosti existujú v pr</w:t>
      </w:r>
      <w:r>
        <w:rPr>
          <w:rFonts w:eastAsiaTheme="minorHAnsi"/>
          <w:szCs w:val="22"/>
          <w:lang w:eastAsia="en-US"/>
        </w:rPr>
        <w:t>ávnych systémoch rôznych členských štátov, čo by sa lepšie dosiahlo na úrovni Únie, môže Únia prijať opatrenia v súlade so zásadou subsidiarity, ako sa stanovuje v článku 5 Zmluvy o Európskej únii. V súlade so zásadou proporcionality podľa uvedeného článku</w:t>
      </w:r>
      <w:r>
        <w:rPr>
          <w:rFonts w:eastAsiaTheme="minorHAnsi"/>
          <w:szCs w:val="22"/>
          <w:lang w:eastAsia="en-US"/>
        </w:rPr>
        <w:t xml:space="preserve"> táto smernica neprekračuje rámec nevyhnutný na dosiahnutie tohto cieľa.</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(68)</w:t>
      </w:r>
      <w:r>
        <w:rPr>
          <w:rFonts w:eastAsiaTheme="minorHAnsi"/>
          <w:szCs w:val="22"/>
          <w:lang w:eastAsia="en-US"/>
        </w:rPr>
        <w:tab/>
        <w:t>V tejto smernici nie sú zahrnuté požiadavky na platobné systémy, platobné schémy alebo platobné mechanizmy týkajúce sa udeľovania povolení vzhľadom na potrebu zabrániť akémukoľve</w:t>
      </w:r>
      <w:r>
        <w:rPr>
          <w:rFonts w:eastAsiaTheme="minorHAnsi"/>
          <w:szCs w:val="22"/>
          <w:lang w:eastAsia="en-US"/>
        </w:rPr>
        <w:t xml:space="preserve">k prekrývaniu s rámcom Eurosystému v oblasti dohľadu nad maloobchodnými platobnými systémami vrátane dohľadu nad systémovo dôležitými platobnými systémami a inými systémami, ako aj s novým rámcom Eurosystému </w:t>
      </w:r>
      <w:r>
        <w:rPr>
          <w:rFonts w:eastAsiaTheme="minorHAnsi"/>
          <w:szCs w:val="22"/>
          <w:lang w:eastAsia="en-US"/>
        </w:rPr>
        <w:lastRenderedPageBreak/>
        <w:t>s názvom PISA, a s dohľadom vykonávaným národným</w:t>
      </w:r>
      <w:r>
        <w:rPr>
          <w:rFonts w:eastAsiaTheme="minorHAnsi"/>
          <w:szCs w:val="22"/>
          <w:lang w:eastAsia="en-US"/>
        </w:rPr>
        <w:t>i centrálnymi bankami. Táto smernica sa svojím rozsahom pôsobnosti nevzťahuje ani na poskytovanie technických služieb vrátane spracovania alebo prevádzkovania digitálnych peňaženiek. Vzhľadom na tempo inovácií v sektore platieb a možný vznik nových rizík j</w:t>
      </w:r>
      <w:r>
        <w:rPr>
          <w:rFonts w:eastAsiaTheme="minorHAnsi"/>
          <w:szCs w:val="22"/>
          <w:lang w:eastAsia="en-US"/>
        </w:rPr>
        <w:t>e však potrebné, aby Komisia v rámci svojho budúceho preskúmania tejto smernice venovala osobitnú pozornosť tomuto vývoju a posúdila, či by sa mal rozsah pôsobnosti smernice rozšíriť tak, aby sa vzťahoval na nové služby a subjekty.</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(69)</w:t>
      </w:r>
      <w:r>
        <w:rPr>
          <w:rFonts w:eastAsiaTheme="minorHAnsi"/>
          <w:szCs w:val="22"/>
          <w:lang w:eastAsia="en-US"/>
        </w:rPr>
        <w:tab/>
        <w:t>V záujme právnej is</w:t>
      </w:r>
      <w:r>
        <w:rPr>
          <w:rFonts w:eastAsiaTheme="minorHAnsi"/>
          <w:szCs w:val="22"/>
          <w:lang w:eastAsia="en-US"/>
        </w:rPr>
        <w:t>toty je vhodné prijať prechodné opatrenia, ktoré by podnikom, ktoré začali vykonávať činnosti platobných inštitúcií v súlade s vnútroštátnym právom, ktorým sa transponuje smernica (EÚ) 2015/2366, pred nadobudnutím účinnosti tejto smernice, umožnili počas u</w:t>
      </w:r>
      <w:r>
        <w:rPr>
          <w:rFonts w:eastAsiaTheme="minorHAnsi"/>
          <w:szCs w:val="22"/>
          <w:lang w:eastAsia="en-US"/>
        </w:rPr>
        <w:t>rčitého obdobia v týchto činnostiach v dotknutom členskom štáte pokračovať.</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(70)</w:t>
      </w:r>
      <w:r>
        <w:rPr>
          <w:rFonts w:eastAsiaTheme="minorHAnsi"/>
          <w:szCs w:val="22"/>
          <w:lang w:eastAsia="en-US"/>
        </w:rPr>
        <w:tab/>
        <w:t>V záujme právnej istoty by sa mali prijať prechodné opatrenia s cieľom zabezpečiť, aby inštitúcie elektronického peňažníctva, ktoré začali svoju činnosť v súlade s vnútroštátn</w:t>
      </w:r>
      <w:r>
        <w:rPr>
          <w:rFonts w:eastAsiaTheme="minorHAnsi"/>
          <w:szCs w:val="22"/>
          <w:lang w:eastAsia="en-US"/>
        </w:rPr>
        <w:t xml:space="preserve">ymi právnymi predpismi, ktorými sa transponuje smernica 2009/110/ES, boli schopné počas určitého obdobia v týchto činnostiach v dotknutom členskom štáte pokračovať. Toto obdobie by malo byť dlhšie pre inštitúcie elektronického peňažníctva, ktoré využívajú </w:t>
      </w:r>
      <w:r>
        <w:rPr>
          <w:rFonts w:eastAsiaTheme="minorHAnsi"/>
          <w:szCs w:val="22"/>
          <w:lang w:eastAsia="en-US"/>
        </w:rPr>
        <w:t>výnimku uvedenú v článku 9 smernice 2009/110/ES.</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w:t>
      </w:r>
    </w:p>
    <w:p w:rsidR="00F7624D" w:rsidRDefault="003C5F24">
      <w:pPr>
        <w:widowControl/>
        <w:spacing w:before="120" w:after="120"/>
        <w:ind w:left="709" w:hanging="709"/>
        <w:jc w:val="both"/>
        <w:rPr>
          <w:rFonts w:eastAsiaTheme="minorHAnsi"/>
          <w:noProof/>
          <w:szCs w:val="22"/>
          <w:lang w:eastAsia="en-US"/>
        </w:rPr>
      </w:pPr>
      <w:bookmarkStart w:id="15" w:name="_Hlk137817346"/>
      <w:r>
        <w:rPr>
          <w:rFonts w:eastAsiaTheme="minorHAnsi"/>
          <w:szCs w:val="22"/>
          <w:lang w:eastAsia="en-US"/>
        </w:rPr>
        <w:t>(72)</w:t>
      </w:r>
      <w:r>
        <w:rPr>
          <w:rFonts w:eastAsiaTheme="minorHAnsi"/>
          <w:szCs w:val="22"/>
          <w:lang w:eastAsia="en-US"/>
        </w:rPr>
        <w:tab/>
        <w:t>Spresnenie, že účastníci môžu vystupovať ako centrálna protistrana, zúčtovací agent alebo zúčtovací ústav alebo vykonávať časť týchto úloh alebo všetky tieto úlohy, by sa malo do smernice 98/26/ES opä</w:t>
      </w:r>
      <w:r>
        <w:rPr>
          <w:rFonts w:eastAsiaTheme="minorHAnsi"/>
          <w:szCs w:val="22"/>
          <w:lang w:eastAsia="en-US"/>
        </w:rPr>
        <w:t>tovne vložiť, aby sa zabezpečilo podobné chápanie v členských štátoch. Takisto by sa malo opätovne vložiť ustanovenie, že v prípadoch odôvodnených v dôsledku systémového rizika by členské štáty mali mať možnosť považovať nepriameho účastníka za účastníka s</w:t>
      </w:r>
      <w:r>
        <w:rPr>
          <w:rFonts w:eastAsiaTheme="minorHAnsi"/>
          <w:szCs w:val="22"/>
          <w:lang w:eastAsia="en-US"/>
        </w:rPr>
        <w:t>ystému a uplatňovať na takéhoto nepriameho účastníka ustanovenia smernice 98/26/ES. Aby sa však zaistilo, že sa tým neobmedzí zodpovednosť účastníka, prostredníctvom ktorého nepriamy účastník postupuje prevodné príkazy do systému, v uvedenej smernici by sa</w:t>
      </w:r>
      <w:r>
        <w:rPr>
          <w:rFonts w:eastAsiaTheme="minorHAnsi"/>
          <w:szCs w:val="22"/>
          <w:lang w:eastAsia="en-US"/>
        </w:rPr>
        <w:t xml:space="preserve"> mala táto skutočnosť objasniť s cieľom zabezpečiť právnu istotu.</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(73)</w:t>
      </w:r>
      <w:r>
        <w:rPr>
          <w:rFonts w:eastAsiaTheme="minorHAnsi"/>
          <w:szCs w:val="22"/>
          <w:lang w:eastAsia="en-US"/>
        </w:rPr>
        <w:tab/>
        <w:t>Spotrebitelia by mali byť oprávnení presadzovať svoje práva v súvislosti s povinnosťami uloženými používateľom údajov alebo držiteľom údajov podľa nariadenia Európskeho parlamentu a Rad</w:t>
      </w:r>
      <w:r>
        <w:rPr>
          <w:rFonts w:eastAsiaTheme="minorHAnsi"/>
          <w:szCs w:val="22"/>
          <w:lang w:eastAsia="en-US"/>
        </w:rPr>
        <w:t>y (EÚ) 20../…. [FIDA]</w:t>
      </w:r>
      <w:r>
        <w:rPr>
          <w:rFonts w:eastAsiaTheme="minorHAnsi"/>
          <w:noProof/>
          <w:szCs w:val="22"/>
          <w:vertAlign w:val="superscript"/>
          <w:lang w:eastAsia="en-IE"/>
        </w:rPr>
        <w:footnoteReference w:id="22"/>
      </w:r>
      <w:r>
        <w:rPr>
          <w:rFonts w:eastAsiaTheme="minorHAnsi"/>
          <w:szCs w:val="22"/>
          <w:lang w:eastAsia="en-US"/>
        </w:rPr>
        <w:t xml:space="preserve"> prostredníctvom podávania žalôb v zastúpení v súlade so smernicou Európskeho parlamentu a Rady (EÚ) 2020/1828</w:t>
      </w:r>
      <w:r>
        <w:rPr>
          <w:rFonts w:eastAsiaTheme="minorHAnsi"/>
          <w:noProof/>
          <w:szCs w:val="22"/>
          <w:vertAlign w:val="superscript"/>
          <w:lang w:eastAsia="en-IE"/>
        </w:rPr>
        <w:footnoteReference w:id="23"/>
      </w:r>
      <w:r>
        <w:rPr>
          <w:rFonts w:eastAsiaTheme="minorHAnsi"/>
          <w:szCs w:val="22"/>
          <w:lang w:eastAsia="en-US"/>
        </w:rPr>
        <w:t>. Na tento účel by sa v tejto smernici malo stanoviť, že smernica (EÚ) 2020/1828 je uplatniteľná na podávanie žalôb v zastú</w:t>
      </w:r>
      <w:r>
        <w:rPr>
          <w:rFonts w:eastAsiaTheme="minorHAnsi"/>
          <w:szCs w:val="22"/>
          <w:lang w:eastAsia="en-US"/>
        </w:rPr>
        <w:t>pení vo veci porušovania ustanovení nariadenia (EÚ) 20../…. [FIDA] používateľmi údajov alebo držiteľmi údajov, ktoré poškodzuje alebo môže poškodiť kolektívne záujmy spotrebiteľov. Príloha k uvedenej smernici by sa preto mala zodpovedajúcim spôsobom zmeniť</w:t>
      </w:r>
      <w:r>
        <w:rPr>
          <w:rFonts w:eastAsiaTheme="minorHAnsi"/>
          <w:szCs w:val="22"/>
          <w:lang w:eastAsia="en-US"/>
        </w:rPr>
        <w:t>. Je preto na členských štátoch, aby zabezpečili, aby sa uvedená zmena zohľadnila v ich transpozičných opatreniach prijatých v súlade so smernicou (EÚ) 2020/1828.</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lastRenderedPageBreak/>
        <w:t>(74)</w:t>
      </w:r>
      <w:r>
        <w:rPr>
          <w:rFonts w:eastAsiaTheme="minorHAnsi"/>
          <w:szCs w:val="22"/>
          <w:lang w:eastAsia="en-US"/>
        </w:rPr>
        <w:tab/>
        <w:t>V súlade so zásadami lepšej právnej regulácie by sa táto smernica mala preskúmať, pokiaľ</w:t>
      </w:r>
      <w:r>
        <w:rPr>
          <w:rFonts w:eastAsiaTheme="minorHAnsi"/>
          <w:szCs w:val="22"/>
          <w:lang w:eastAsia="en-US"/>
        </w:rPr>
        <w:t xml:space="preserve"> ide o jej účinnosť a efektívnosť pri dosahovaní jej cieľov, ako sa stanovuje v pripojenom posúdení vplyvu. Preskúmanie by sa malo uskutočniť v dostatočne dlhom čase </w:t>
      </w:r>
      <w:r>
        <w:rPr>
          <w:rFonts w:eastAsiaTheme="minorHAnsi"/>
          <w:b/>
          <w:i/>
          <w:szCs w:val="22"/>
          <w:lang w:eastAsia="en-US"/>
        </w:rPr>
        <w:t>po dátume začiatku uplatňovania tejto smernice</w:t>
      </w:r>
      <w:r>
        <w:rPr>
          <w:rFonts w:eastAsiaTheme="minorHAnsi"/>
          <w:szCs w:val="22"/>
          <w:lang w:eastAsia="en-US"/>
        </w:rPr>
        <w:t>, aby bolo založené na primeraných dôkazoch.</w:t>
      </w:r>
      <w:r>
        <w:rPr>
          <w:rFonts w:eastAsiaTheme="minorHAnsi"/>
          <w:szCs w:val="22"/>
          <w:lang w:eastAsia="en-US"/>
        </w:rPr>
        <w:t xml:space="preserve"> Za primerané sa považuje obdobie piatich rokov. Hoci by sa pri preskúmaní mala posúdiť celá smernica, určitým témam by sa mala venovať osobitná pozornosť – konkrétne ▌zabezpečeniu finančných prostriedkov platobných inštitúcií </w:t>
      </w:r>
      <w:r>
        <w:rPr>
          <w:rFonts w:eastAsiaTheme="minorHAnsi"/>
          <w:b/>
          <w:i/>
          <w:szCs w:val="22"/>
          <w:lang w:eastAsia="en-US"/>
        </w:rPr>
        <w:t>a počtu a trhovému podielu po</w:t>
      </w:r>
      <w:r>
        <w:rPr>
          <w:rFonts w:eastAsiaTheme="minorHAnsi"/>
          <w:b/>
          <w:i/>
          <w:szCs w:val="22"/>
          <w:lang w:eastAsia="en-US"/>
        </w:rPr>
        <w:t>skytovateľov platobných služieb, ktorým bolo udelené povolenie podľa tejto smernice</w:t>
      </w:r>
      <w:r>
        <w:rPr>
          <w:rFonts w:eastAsiaTheme="minorHAnsi"/>
          <w:szCs w:val="22"/>
          <w:lang w:eastAsia="en-US"/>
        </w:rPr>
        <w:t xml:space="preserve"> –, ktoré môžu byť ovplyvnené pravidlami navrhnutými Komisiou 18. apríla 2023</w:t>
      </w:r>
      <w:r>
        <w:rPr>
          <w:rFonts w:eastAsiaTheme="minorHAnsi"/>
          <w:noProof/>
          <w:szCs w:val="22"/>
          <w:vertAlign w:val="superscript"/>
          <w:lang w:eastAsia="en-IE"/>
        </w:rPr>
        <w:footnoteReference w:id="24"/>
      </w:r>
      <w:r>
        <w:rPr>
          <w:rFonts w:eastAsiaTheme="minorHAnsi"/>
          <w:szCs w:val="22"/>
          <w:lang w:eastAsia="en-US"/>
        </w:rPr>
        <w:t>, ktorými – ak budú prijaté – by sa zmenila smernica Európskeho parlamentu a Rady 2014/49/EÚ zo</w:t>
      </w:r>
      <w:r>
        <w:rPr>
          <w:rFonts w:eastAsiaTheme="minorHAnsi"/>
          <w:szCs w:val="22"/>
          <w:lang w:eastAsia="en-US"/>
        </w:rPr>
        <w:t xml:space="preserve"> 16. apríla 2014 o systémoch ochrany vkladov.</w:t>
      </w:r>
      <w:bookmarkStart w:id="16" w:name="_Hlk138104493"/>
      <w:bookmarkStart w:id="17" w:name="_Hlk138104609"/>
      <w:r>
        <w:rPr>
          <w:rFonts w:eastAsiaTheme="minorHAnsi"/>
          <w:szCs w:val="22"/>
          <w:lang w:eastAsia="en-US"/>
        </w:rPr>
        <w:t xml:space="preserve"> </w:t>
      </w:r>
      <w:bookmarkEnd w:id="16"/>
      <w:bookmarkEnd w:id="17"/>
      <w:r>
        <w:rPr>
          <w:rFonts w:eastAsiaTheme="minorHAnsi"/>
          <w:szCs w:val="22"/>
          <w:lang w:eastAsia="en-US"/>
        </w:rPr>
        <w:t xml:space="preserve">Pokiaľ však ide o rozsah pôsobnosti tejto smernice, je vhodné uskutočniť preskúmanie už skôr, a to tri roky po nadobudnutí ▌účinnosti </w:t>
      </w:r>
      <w:r>
        <w:rPr>
          <w:rFonts w:eastAsiaTheme="minorHAnsi"/>
          <w:b/>
          <w:i/>
          <w:szCs w:val="22"/>
          <w:lang w:eastAsia="en-US"/>
        </w:rPr>
        <w:t>nariadenia Európskeho parlamentu a Rady (EÚ) [.../...]</w:t>
      </w:r>
      <w:r>
        <w:rPr>
          <w:rFonts w:eastAsiaTheme="minorHAnsi"/>
          <w:b/>
          <w:i/>
          <w:noProof/>
          <w:szCs w:val="22"/>
          <w:vertAlign w:val="superscript"/>
          <w:lang w:eastAsia="en-IE"/>
        </w:rPr>
        <w:footnoteReference w:id="25"/>
      </w:r>
      <w:r>
        <w:rPr>
          <w:rFonts w:eastAsiaTheme="minorHAnsi"/>
          <w:szCs w:val="22"/>
          <w:lang w:eastAsia="en-US"/>
        </w:rPr>
        <w:t xml:space="preserve"> </w:t>
      </w:r>
      <w:r>
        <w:rPr>
          <w:rFonts w:eastAsiaTheme="minorHAnsi"/>
          <w:b/>
          <w:i/>
          <w:szCs w:val="22"/>
          <w:lang w:eastAsia="en-US"/>
        </w:rPr>
        <w:t>(nariadenie o platob</w:t>
      </w:r>
      <w:r>
        <w:rPr>
          <w:rFonts w:eastAsiaTheme="minorHAnsi"/>
          <w:b/>
          <w:i/>
          <w:szCs w:val="22"/>
          <w:lang w:eastAsia="en-US"/>
        </w:rPr>
        <w:t>ných službách)</w:t>
      </w:r>
      <w:r>
        <w:rPr>
          <w:rFonts w:eastAsiaTheme="minorHAnsi"/>
          <w:szCs w:val="22"/>
          <w:lang w:eastAsia="en-US"/>
        </w:rPr>
        <w:t>, vzhľadom na význam, ktorý sa tejto téme pripisuje v nariadení (EÚ) 2022/2554. V takomto preskúmaní rozsahu pôsobnosti by sa malo zvážiť nielen možné rozšírenie zoznamu pokrytých platobných služieb s cieľom zahrnúť služby, ako sú služby posk</w:t>
      </w:r>
      <w:r>
        <w:rPr>
          <w:rFonts w:eastAsiaTheme="minorHAnsi"/>
          <w:szCs w:val="22"/>
          <w:lang w:eastAsia="en-US"/>
        </w:rPr>
        <w:t xml:space="preserve">ytované v rámci platobných systémov a platobných schém, ale aj možné zahrnutie určitých technických služieb do rozsahu pôsobnosti, hoci tie sú aktuálne vylúčené, </w:t>
      </w:r>
      <w:r>
        <w:rPr>
          <w:rFonts w:eastAsiaTheme="minorHAnsi"/>
          <w:b/>
          <w:i/>
          <w:szCs w:val="22"/>
          <w:lang w:eastAsia="en-US"/>
        </w:rPr>
        <w:t>napríklad digitálnych peňaženiek</w:t>
      </w:r>
      <w:r>
        <w:rPr>
          <w:rFonts w:eastAsiaTheme="minorHAnsi"/>
          <w:szCs w:val="22"/>
          <w:lang w:eastAsia="en-US"/>
        </w:rPr>
        <w:t>.</w:t>
      </w:r>
    </w:p>
    <w:bookmarkEnd w:id="15"/>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(75)</w:t>
      </w:r>
      <w:r>
        <w:rPr>
          <w:rFonts w:eastAsiaTheme="minorHAnsi"/>
          <w:szCs w:val="22"/>
          <w:lang w:eastAsia="en-US"/>
        </w:rPr>
        <w:tab/>
        <w:t>Vzhľadom na početné zmeny, ktoré treba vykonať v smerni</w:t>
      </w:r>
      <w:r>
        <w:rPr>
          <w:rFonts w:eastAsiaTheme="minorHAnsi"/>
          <w:szCs w:val="22"/>
          <w:lang w:eastAsia="en-US"/>
        </w:rPr>
        <w:t>ci (EÚ) 2015/2366 a smernici 2009/110/ES, je vhodné obe smernice zrušiť a nahradiť ich touto smernicou.</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(76)</w:t>
      </w:r>
      <w:r>
        <w:rPr>
          <w:rFonts w:eastAsiaTheme="minorHAnsi"/>
          <w:szCs w:val="22"/>
          <w:lang w:eastAsia="en-US"/>
        </w:rPr>
        <w:tab/>
        <w:t>Každé spracovanie osobných údajov v súvislosti s touto smernicou musí byť v súlade s nariadením (EÚ) 2016/679 a nariadením (EÚ) 2018/1725. Orgány d</w:t>
      </w:r>
      <w:r>
        <w:rPr>
          <w:rFonts w:eastAsiaTheme="minorHAnsi"/>
          <w:szCs w:val="22"/>
          <w:lang w:eastAsia="en-US"/>
        </w:rPr>
        <w:t>ohľadu podľa nariadenia (EÚ) 2016/679 a nariadenia (EÚ) 2018/1725 sú preto zodpovedné za dohľad nad spracúvaním osobných údajov, ktoré sa vykonáva v súvislosti s touto smernicou. Pri transponovaní tejto smernice by členské štáty mali zabezpečiť, aby vnútro</w:t>
      </w:r>
      <w:r>
        <w:rPr>
          <w:rFonts w:eastAsiaTheme="minorHAnsi"/>
          <w:szCs w:val="22"/>
          <w:lang w:eastAsia="en-US"/>
        </w:rPr>
        <w:t>štátne právne predpisy zahŕňali primerané záruky ochrany údajov na účely spracúvania osobných údajov.</w:t>
      </w:r>
    </w:p>
    <w:p w:rsidR="00F7624D" w:rsidRDefault="003C5F24">
      <w:pPr>
        <w:widowControl/>
        <w:spacing w:before="120" w:after="120"/>
        <w:ind w:left="709" w:hanging="709"/>
        <w:jc w:val="both"/>
        <w:rPr>
          <w:rFonts w:eastAsiaTheme="minorHAnsi"/>
          <w:noProof/>
          <w:szCs w:val="22"/>
          <w:lang w:eastAsia="en-US"/>
        </w:rPr>
      </w:pPr>
      <w:r>
        <w:rPr>
          <w:rFonts w:eastAsiaTheme="minorHAnsi"/>
          <w:szCs w:val="22"/>
          <w:lang w:eastAsia="en-US"/>
        </w:rPr>
        <w:t>(77)</w:t>
      </w:r>
      <w:r>
        <w:rPr>
          <w:rFonts w:eastAsiaTheme="minorHAnsi"/>
          <w:szCs w:val="22"/>
          <w:lang w:eastAsia="en-US"/>
        </w:rPr>
        <w:tab/>
        <w:t xml:space="preserve">V súlade s článkom 42 ods. 1 nariadenia (EÚ) 2018/1725 sa uskutočnila konzultácia s európskym dozorným úradníkom pre ochranu údajov, ktorý </w:t>
      </w:r>
      <w:r>
        <w:rPr>
          <w:rFonts w:eastAsiaTheme="minorHAnsi"/>
          <w:b/>
          <w:i/>
          <w:szCs w:val="22"/>
          <w:lang w:eastAsia="en-US"/>
        </w:rPr>
        <w:t>22. august</w:t>
      </w:r>
      <w:r>
        <w:rPr>
          <w:rFonts w:eastAsiaTheme="minorHAnsi"/>
          <w:b/>
          <w:i/>
          <w:szCs w:val="22"/>
          <w:lang w:eastAsia="en-US"/>
        </w:rPr>
        <w:t>a 2023</w:t>
      </w:r>
      <w:r>
        <w:rPr>
          <w:rFonts w:eastAsiaTheme="minorHAnsi"/>
          <w:szCs w:val="22"/>
          <w:lang w:eastAsia="en-US"/>
        </w:rPr>
        <w:t xml:space="preserve"> vydal svoje stanovisko.</w:t>
      </w:r>
    </w:p>
    <w:p w:rsidR="00F7624D" w:rsidRDefault="00F7624D">
      <w:pPr>
        <w:rPr>
          <w:noProof/>
          <w:lang w:eastAsia="en-IE"/>
        </w:rPr>
      </w:pPr>
    </w:p>
    <w:p w:rsidR="00F7624D" w:rsidRDefault="003C5F24">
      <w:pPr>
        <w:keepNext/>
        <w:widowControl/>
        <w:spacing w:before="120" w:after="120"/>
        <w:jc w:val="both"/>
        <w:rPr>
          <w:rFonts w:eastAsiaTheme="minorHAnsi"/>
          <w:noProof/>
          <w:szCs w:val="22"/>
          <w:lang w:eastAsia="en-US"/>
        </w:rPr>
      </w:pPr>
      <w:r>
        <w:rPr>
          <w:rFonts w:eastAsiaTheme="minorHAnsi"/>
          <w:szCs w:val="22"/>
          <w:lang w:eastAsia="en-US"/>
        </w:rPr>
        <w:lastRenderedPageBreak/>
        <w:t>PRIJALI TÚTO SMERNICU:</w:t>
      </w:r>
    </w:p>
    <w:p w:rsidR="00F7624D" w:rsidRDefault="003C5F24">
      <w:pPr>
        <w:keepNext/>
        <w:widowControl/>
        <w:spacing w:before="120" w:after="360"/>
        <w:jc w:val="center"/>
        <w:rPr>
          <w:rFonts w:eastAsiaTheme="minorHAnsi"/>
          <w:b/>
          <w:smallCaps/>
          <w:noProof/>
          <w:sz w:val="28"/>
          <w:szCs w:val="22"/>
          <w:lang w:eastAsia="en-US"/>
        </w:rPr>
      </w:pPr>
      <w:r>
        <w:rPr>
          <w:rFonts w:eastAsiaTheme="minorHAnsi"/>
          <w:b/>
          <w:smallCaps/>
          <w:sz w:val="28"/>
          <w:szCs w:val="22"/>
          <w:lang w:eastAsia="en-US"/>
        </w:rPr>
        <w:t>HLAVA I</w:t>
      </w:r>
    </w:p>
    <w:p w:rsidR="00F7624D" w:rsidRDefault="003C5F24">
      <w:pPr>
        <w:keepNext/>
        <w:widowControl/>
        <w:spacing w:before="120" w:after="360"/>
        <w:jc w:val="center"/>
        <w:rPr>
          <w:rFonts w:eastAsiaTheme="minorHAnsi"/>
          <w:b/>
          <w:smallCaps/>
          <w:noProof/>
          <w:sz w:val="28"/>
          <w:szCs w:val="22"/>
          <w:lang w:eastAsia="en-US"/>
        </w:rPr>
      </w:pPr>
      <w:r>
        <w:rPr>
          <w:rFonts w:eastAsiaTheme="minorHAnsi"/>
          <w:b/>
          <w:smallCaps/>
          <w:sz w:val="28"/>
          <w:szCs w:val="22"/>
          <w:lang w:eastAsia="en-US"/>
        </w:rPr>
        <w:t>PREDMET ÚPRAVY, ROZSAH PÔSOBNOSTI A VYMEDZENIE POJMOV</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1</w:t>
      </w:r>
    </w:p>
    <w:p w:rsidR="00F7624D" w:rsidRDefault="003C5F24">
      <w:pPr>
        <w:keepNext/>
        <w:widowControl/>
        <w:spacing w:before="360" w:after="120"/>
        <w:jc w:val="center"/>
        <w:rPr>
          <w:rFonts w:eastAsiaTheme="minorHAnsi"/>
          <w:i/>
          <w:noProof/>
          <w:szCs w:val="22"/>
          <w:lang w:eastAsia="en-US"/>
        </w:rPr>
      </w:pPr>
      <w:r>
        <w:rPr>
          <w:rFonts w:eastAsiaTheme="minorHAnsi"/>
          <w:b/>
          <w:i/>
          <w:szCs w:val="22"/>
          <w:lang w:eastAsia="en-US"/>
        </w:rPr>
        <w:t>Predmet úpravy a rozsah pôsobnosti</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Touto smernicou sa stanovujú pravidlá týkajúce sa:</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 xml:space="preserve">prístupu platobných inštitúcií </w:t>
      </w:r>
      <w:r>
        <w:rPr>
          <w:rFonts w:eastAsiaTheme="minorHAnsi"/>
          <w:szCs w:val="22"/>
          <w:lang w:eastAsia="en-US"/>
        </w:rPr>
        <w:t>k činnosti poskytovania platobných služieb a služieb elektronických peňazí v rámci Únie;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právomocí a nástrojov dohľadu nad platobnými inštitúciami.</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Členské štáty môžu inštitúcie uvedené v článku 2 ods. 5 bodoch 4 až 23 smernice 2013/36/EÚ vyňať z upl</w:t>
      </w:r>
      <w:r>
        <w:rPr>
          <w:rFonts w:eastAsiaTheme="minorHAnsi"/>
          <w:szCs w:val="22"/>
          <w:lang w:eastAsia="en-US"/>
        </w:rPr>
        <w:t>atňovania všetkých alebo niektorých ustanovení tejto smernice.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Pokiaľ nie je uvedené inak, každý odkaz na platobné služby sa v tejto smernici chápe ako odkaz na platobné služby a služby elektronických peňazí.</w:t>
      </w:r>
      <w:bookmarkStart w:id="18" w:name="bookmark4"/>
      <w:bookmarkEnd w:id="18"/>
    </w:p>
    <w:p w:rsidR="00F7624D" w:rsidRDefault="003C5F24">
      <w:pPr>
        <w:widowControl/>
        <w:spacing w:before="120" w:after="120"/>
        <w:ind w:left="850" w:hanging="850"/>
        <w:jc w:val="both"/>
        <w:rPr>
          <w:rFonts w:eastAsiaTheme="minorHAnsi"/>
          <w:b/>
          <w:i/>
          <w:noProof/>
          <w:szCs w:val="22"/>
          <w:lang w:eastAsia="en-US"/>
        </w:rPr>
      </w:pPr>
      <w:r>
        <w:rPr>
          <w:rFonts w:eastAsiaTheme="minorHAnsi"/>
          <w:szCs w:val="22"/>
          <w:lang w:eastAsia="en-US"/>
        </w:rPr>
        <w:t>4.</w:t>
      </w:r>
      <w:r>
        <w:rPr>
          <w:rFonts w:eastAsiaTheme="minorHAnsi"/>
          <w:szCs w:val="22"/>
          <w:lang w:eastAsia="en-US"/>
        </w:rPr>
        <w:tab/>
        <w:t>Pokiaľ nie je uvedené inak, každý odkaz n</w:t>
      </w:r>
      <w:r>
        <w:rPr>
          <w:rFonts w:eastAsiaTheme="minorHAnsi"/>
          <w:szCs w:val="22"/>
          <w:lang w:eastAsia="en-US"/>
        </w:rPr>
        <w:t>a poskytovateľov platobných služieb sa v tejto smernici chápe ako odkaz na poskytovateľov platobných služieb a poskytovateľov služieb elektronických peňazí.</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2</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Vymedzenie pojmov</w:t>
      </w:r>
    </w:p>
    <w:p w:rsidR="00F7624D" w:rsidRDefault="003C5F24">
      <w:pPr>
        <w:rPr>
          <w:noProof/>
        </w:rPr>
      </w:pPr>
      <w:r>
        <w:t>Na účely tejto smernice sa uplatňujú tieto vymedzenia pojmov:</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„domovs</w:t>
      </w:r>
      <w:r>
        <w:rPr>
          <w:rFonts w:eastAsiaTheme="minorHAnsi"/>
          <w:szCs w:val="22"/>
          <w:lang w:eastAsia="en-US"/>
        </w:rPr>
        <w:t>ký členský štát“ je ktorýkoľvek z týchto členských štátov:</w:t>
      </w:r>
    </w:p>
    <w:p w:rsidR="00F7624D" w:rsidRDefault="003C5F24">
      <w:pPr>
        <w:widowControl/>
        <w:spacing w:before="120" w:after="120"/>
        <w:ind w:left="1984"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ab/>
        <w:t>členský štát, v ktorom má svoje sídlo poskytovateľ platobných služieb; alebo</w:t>
      </w:r>
    </w:p>
    <w:p w:rsidR="00F7624D" w:rsidRDefault="003C5F24">
      <w:pPr>
        <w:widowControl/>
        <w:spacing w:before="120" w:after="120"/>
        <w:ind w:left="1984"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ak poskytovateľ platobných služieb nemá podľa svojho vnútroštátneho práva sídlo, členský štát, v ktorom sa nachádz</w:t>
      </w:r>
      <w:r>
        <w:rPr>
          <w:rFonts w:eastAsiaTheme="minorHAnsi"/>
          <w:szCs w:val="22"/>
          <w:lang w:eastAsia="en-US"/>
        </w:rPr>
        <w:t xml:space="preserve">a ústredie tohto poskytovateľa platobných služieb; </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„hostiteľský členský štát“ je iný členský štát než domovský členský štát, v ktorom má poskytovateľ platobných služieb agenta, distribútora či pobočku alebo v ktorom poskytuje platobné služby;</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w:t>
      </w:r>
      <w:r>
        <w:rPr>
          <w:rFonts w:eastAsiaTheme="minorHAnsi"/>
          <w:szCs w:val="22"/>
          <w:lang w:eastAsia="en-US"/>
        </w:rPr>
        <w:tab/>
        <w:t>„plato</w:t>
      </w:r>
      <w:r>
        <w:rPr>
          <w:rFonts w:eastAsiaTheme="minorHAnsi"/>
          <w:szCs w:val="22"/>
          <w:lang w:eastAsia="en-US"/>
        </w:rPr>
        <w:t>bná služba“ je ktorákoľvek podnikateľská činnosť uvedená v prílohe I;</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4.</w:t>
      </w:r>
      <w:r>
        <w:rPr>
          <w:rFonts w:eastAsiaTheme="minorHAnsi"/>
          <w:szCs w:val="22"/>
          <w:lang w:eastAsia="en-US"/>
        </w:rPr>
        <w:tab/>
        <w:t>„platobná inštitúcia“ je právnická osoba, ktorej bolo v súlade s článkom 13 udelené povolenie poskytovať platobné služby alebo služby elektronických peňazí v celej Únii;</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5.</w:t>
      </w:r>
      <w:r>
        <w:rPr>
          <w:rFonts w:eastAsiaTheme="minorHAnsi"/>
          <w:szCs w:val="22"/>
          <w:lang w:eastAsia="en-US"/>
        </w:rPr>
        <w:tab/>
        <w:t xml:space="preserve">„platobná </w:t>
      </w:r>
      <w:r>
        <w:rPr>
          <w:rFonts w:eastAsiaTheme="minorHAnsi"/>
          <w:szCs w:val="22"/>
          <w:lang w:eastAsia="en-US"/>
        </w:rPr>
        <w:t>transakcia“ je úkon spočívajúci vo vložení, prevode alebo výbere finančných prostriedkov na základe platobného príkazu, ktorý bol zadaný platiteľom či v jeho mene alebo príjemcom platby či v jeho mene, a to bez ohľadu na akékoľvek súvisiace povinnosti medz</w:t>
      </w:r>
      <w:r>
        <w:rPr>
          <w:rFonts w:eastAsiaTheme="minorHAnsi"/>
          <w:szCs w:val="22"/>
          <w:lang w:eastAsia="en-US"/>
        </w:rPr>
        <w:t>i platiteľom a príjemcom platby;</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lastRenderedPageBreak/>
        <w:t>6.</w:t>
      </w:r>
      <w:r>
        <w:rPr>
          <w:rFonts w:eastAsiaTheme="minorHAnsi"/>
          <w:szCs w:val="22"/>
          <w:lang w:eastAsia="en-US"/>
        </w:rPr>
        <w:tab/>
        <w:t>„vykonanie platobnej transakcie“ je proces, ktorý sa začína po dokončení iniciovania platobnej transakcie a končí, keď sú vložené, vybraté alebo prevedené finančné prostriedky k dispozícii príjemcovi platby;</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7.</w:t>
      </w:r>
      <w:r>
        <w:rPr>
          <w:rFonts w:eastAsiaTheme="minorHAnsi"/>
          <w:szCs w:val="22"/>
          <w:lang w:eastAsia="en-US"/>
        </w:rPr>
        <w:tab/>
        <w:t>„platobný</w:t>
      </w:r>
      <w:r>
        <w:rPr>
          <w:rFonts w:eastAsiaTheme="minorHAnsi"/>
          <w:szCs w:val="22"/>
          <w:lang w:eastAsia="en-US"/>
        </w:rPr>
        <w:t xml:space="preserve"> systém“ je systém na prevod finančných prostriedkov formálnymi a štandardizovanými mechanizmami a so spoločnými pravidlami spracovania, zúčtovania alebo vyrovnania platobných transakcií;</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8.</w:t>
      </w:r>
      <w:r>
        <w:rPr>
          <w:rFonts w:eastAsiaTheme="minorHAnsi"/>
          <w:szCs w:val="22"/>
          <w:lang w:eastAsia="en-US"/>
        </w:rPr>
        <w:tab/>
        <w:t>„prevádzkovateľ platobného systému“ je právny subjekt, ktorý je z</w:t>
      </w:r>
      <w:r>
        <w:rPr>
          <w:rFonts w:eastAsiaTheme="minorHAnsi"/>
          <w:szCs w:val="22"/>
          <w:lang w:eastAsia="en-US"/>
        </w:rPr>
        <w:t> právneho hľadiska zodpovedný za prevádzkovanie platobného systému;</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9.</w:t>
      </w:r>
      <w:r>
        <w:rPr>
          <w:rFonts w:eastAsiaTheme="minorHAnsi"/>
          <w:szCs w:val="22"/>
          <w:lang w:eastAsia="en-US"/>
        </w:rPr>
        <w:tab/>
        <w:t xml:space="preserve">„platiteľ“ je fyzická alebo právnická osoba, ktorá je majiteľom platobného účtu a ktorá zadáva platobný príkaz z tohto platobného účtu, alebo ak platobný účet neexistuje, fyzická alebo </w:t>
      </w:r>
      <w:r>
        <w:rPr>
          <w:rFonts w:eastAsiaTheme="minorHAnsi"/>
          <w:szCs w:val="22"/>
          <w:lang w:eastAsia="en-US"/>
        </w:rPr>
        <w:t>právnická osoba, ktorá zadáva platobný príkaz;</w:t>
      </w:r>
      <w:bookmarkStart w:id="19" w:name="bookmark18"/>
      <w:bookmarkEnd w:id="19"/>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10.</w:t>
      </w:r>
      <w:r>
        <w:rPr>
          <w:rFonts w:eastAsiaTheme="minorHAnsi"/>
          <w:b/>
          <w:i/>
          <w:szCs w:val="22"/>
          <w:lang w:eastAsia="en-US"/>
        </w:rPr>
        <w:tab/>
      </w:r>
      <w:r>
        <w:rPr>
          <w:rFonts w:eastAsiaTheme="minorHAnsi"/>
          <w:szCs w:val="22"/>
          <w:lang w:eastAsia="en-US"/>
        </w:rPr>
        <w:t>„príjemca platby“ je fyzická alebo právnická osoba, ktorá je zamýšľaným príjemcom finančných prostriedkov, ktoré sú predmetom platobnej transakcie;</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11.</w:t>
      </w:r>
      <w:r>
        <w:rPr>
          <w:rFonts w:eastAsiaTheme="minorHAnsi"/>
          <w:szCs w:val="22"/>
          <w:lang w:eastAsia="en-US"/>
        </w:rPr>
        <w:tab/>
        <w:t>„používateľ platobných služieb“ je fyzická alebo práv</w:t>
      </w:r>
      <w:r>
        <w:rPr>
          <w:rFonts w:eastAsiaTheme="minorHAnsi"/>
          <w:szCs w:val="22"/>
          <w:lang w:eastAsia="en-US"/>
        </w:rPr>
        <w:t>nická osoba, ktorá používa platobnú službu alebo službu elektronických peňazí ako platiteľ, príjemca platby alebo ako platiteľ aj príjemca platby;</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12.</w:t>
      </w:r>
      <w:r>
        <w:rPr>
          <w:rFonts w:eastAsiaTheme="minorHAnsi"/>
          <w:szCs w:val="22"/>
          <w:lang w:eastAsia="en-US"/>
        </w:rPr>
        <w:tab/>
        <w:t xml:space="preserve">„poskytovateľ platobných služieb“ je subjekt uvedený v článku 2 ods. 1 nariadenia XXX [PSR] alebo </w:t>
      </w:r>
      <w:r>
        <w:rPr>
          <w:rFonts w:eastAsiaTheme="minorHAnsi"/>
          <w:szCs w:val="22"/>
          <w:lang w:eastAsia="en-US"/>
        </w:rPr>
        <w:t>právnická či fyzická osoba, ktoré využívajú výnimku podľa článkov 34, 36 a 38 tejto smernice;</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13.</w:t>
      </w:r>
      <w:r>
        <w:rPr>
          <w:rFonts w:eastAsiaTheme="minorHAnsi"/>
          <w:szCs w:val="22"/>
          <w:lang w:eastAsia="en-US"/>
        </w:rPr>
        <w:tab/>
        <w:t>„platobný účet“ je účet, ktorého držiteľom je poskytovateľ platobných služieb v mene jedného alebo viacerých používateľov platobných služieb, používa sa na vy</w:t>
      </w:r>
      <w:r>
        <w:rPr>
          <w:rFonts w:eastAsiaTheme="minorHAnsi"/>
          <w:szCs w:val="22"/>
          <w:lang w:eastAsia="en-US"/>
        </w:rPr>
        <w:t>konanie jednej alebo viacerých platobných transakcií a umožňuje zasielať finančné prostriedky tretím stranám a prijímať finančné prostriedky od tretích strán;</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14.</w:t>
      </w:r>
      <w:r>
        <w:rPr>
          <w:rFonts w:eastAsiaTheme="minorHAnsi"/>
          <w:szCs w:val="22"/>
          <w:lang w:eastAsia="en-US"/>
        </w:rPr>
        <w:tab/>
        <w:t xml:space="preserve">„platobný príkaz“ je pokyn platiteľa alebo príjemcu platby svojmu poskytovateľovi platobných </w:t>
      </w:r>
      <w:r>
        <w:rPr>
          <w:rFonts w:eastAsiaTheme="minorHAnsi"/>
          <w:szCs w:val="22"/>
          <w:lang w:eastAsia="en-US"/>
        </w:rPr>
        <w:t>služieb, ktorým žiada o vykonanie platobnej transakcie;</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15.</w:t>
      </w:r>
      <w:r>
        <w:rPr>
          <w:rFonts w:eastAsiaTheme="minorHAnsi"/>
          <w:szCs w:val="22"/>
          <w:lang w:eastAsia="en-US"/>
        </w:rPr>
        <w:tab/>
        <w:t xml:space="preserve">„platobný nástroj“ je </w:t>
      </w:r>
      <w:proofErr w:type="spellStart"/>
      <w:r>
        <w:rPr>
          <w:rFonts w:eastAsiaTheme="minorHAnsi"/>
          <w:szCs w:val="22"/>
          <w:lang w:eastAsia="en-US"/>
        </w:rPr>
        <w:t>personalizované</w:t>
      </w:r>
      <w:proofErr w:type="spellEnd"/>
      <w:r>
        <w:rPr>
          <w:rFonts w:eastAsiaTheme="minorHAnsi"/>
          <w:szCs w:val="22"/>
          <w:lang w:eastAsia="en-US"/>
        </w:rPr>
        <w:t xml:space="preserve"> zariadenie či zariadenia a/alebo súbor postupov dohodnutých medzi používateľom platobných služieb a poskytovateľom platobných služieb, ktoré umožňujú iniciova</w:t>
      </w:r>
      <w:r>
        <w:rPr>
          <w:rFonts w:eastAsiaTheme="minorHAnsi"/>
          <w:szCs w:val="22"/>
          <w:lang w:eastAsia="en-US"/>
        </w:rPr>
        <w:t>ť platobnú transakciu</w:t>
      </w:r>
      <w:r>
        <w:rPr>
          <w:rFonts w:eastAsiaTheme="minorHAnsi"/>
          <w:b/>
          <w:i/>
          <w:szCs w:val="22"/>
          <w:lang w:eastAsia="en-US"/>
        </w:rPr>
        <w:t>;</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16.</w:t>
      </w:r>
      <w:r>
        <w:rPr>
          <w:rFonts w:eastAsiaTheme="minorHAnsi"/>
          <w:szCs w:val="22"/>
          <w:lang w:eastAsia="en-US"/>
        </w:rPr>
        <w:tab/>
        <w:t>„poskytovateľ platobných služieb spravujúci účet“ je poskytovateľ platobných služieb, ktorý poskytuje a spravuje platobný účet pre platiteľa;</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17.</w:t>
      </w:r>
      <w:r>
        <w:rPr>
          <w:rFonts w:eastAsiaTheme="minorHAnsi"/>
          <w:szCs w:val="22"/>
          <w:lang w:eastAsia="en-US"/>
        </w:rPr>
        <w:tab/>
        <w:t>„platobná iniciačná služba“ je služba, ktorou sa na žiadosť platiteľa alebo príjemc</w:t>
      </w:r>
      <w:r>
        <w:rPr>
          <w:rFonts w:eastAsiaTheme="minorHAnsi"/>
          <w:szCs w:val="22"/>
          <w:lang w:eastAsia="en-US"/>
        </w:rPr>
        <w:t>u platby zadáva platobný príkaz vo vzťahu k platobnému účtu, ktorý je vedený u iného poskytovateľa platobných služieb;</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18.</w:t>
      </w:r>
      <w:r>
        <w:rPr>
          <w:rFonts w:eastAsiaTheme="minorHAnsi"/>
          <w:szCs w:val="22"/>
          <w:lang w:eastAsia="en-US"/>
        </w:rPr>
        <w:tab/>
        <w:t>„služba informovania o účte“ je online služba zberu – či už priamo alebo prostredníctvom poskytovateľa technických služieb – a konsol</w:t>
      </w:r>
      <w:r>
        <w:rPr>
          <w:rFonts w:eastAsiaTheme="minorHAnsi"/>
          <w:szCs w:val="22"/>
          <w:lang w:eastAsia="en-US"/>
        </w:rPr>
        <w:t xml:space="preserve">idácie informácií uchovávaných na jednom alebo viacerých platobných účtoch používateľa platobných služieb u jedného alebo viacerých poskytovateľov platobných služieb spravujúcich účet; </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19.</w:t>
      </w:r>
      <w:r>
        <w:rPr>
          <w:rFonts w:eastAsiaTheme="minorHAnsi"/>
          <w:szCs w:val="22"/>
          <w:lang w:eastAsia="en-US"/>
        </w:rPr>
        <w:tab/>
        <w:t>„poskytovateľ platobných iniciačných služieb“ je poskytovateľ plat</w:t>
      </w:r>
      <w:r>
        <w:rPr>
          <w:rFonts w:eastAsiaTheme="minorHAnsi"/>
          <w:szCs w:val="22"/>
          <w:lang w:eastAsia="en-US"/>
        </w:rPr>
        <w:t>obných služieb, ktorý poskytuje platobné iniciačné služby;</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20.</w:t>
      </w:r>
      <w:r>
        <w:rPr>
          <w:rFonts w:eastAsiaTheme="minorHAnsi"/>
          <w:szCs w:val="22"/>
          <w:lang w:eastAsia="en-US"/>
        </w:rPr>
        <w:tab/>
        <w:t>„poskytovateľ služieb informovania o účte“ je poskytovateľ platobných služieb, ktorý poskytuje služby informovania o účte;</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lastRenderedPageBreak/>
        <w:t>21.</w:t>
      </w:r>
      <w:r>
        <w:rPr>
          <w:rFonts w:eastAsiaTheme="minorHAnsi"/>
          <w:szCs w:val="22"/>
          <w:lang w:eastAsia="en-US"/>
        </w:rPr>
        <w:tab/>
        <w:t>„spotrebiteľ“ je fyzická osoba, ktorá v zmluvách o poskytovaní pla</w:t>
      </w:r>
      <w:r>
        <w:rPr>
          <w:rFonts w:eastAsiaTheme="minorHAnsi"/>
          <w:szCs w:val="22"/>
          <w:lang w:eastAsia="en-US"/>
        </w:rPr>
        <w:t>tobných služieb, na ktoré sa vzťahuje táto smernica, koná inak než na účely svojej obchodnej, podnikateľskej alebo profesijnej činnosti;</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22.</w:t>
      </w:r>
      <w:r>
        <w:rPr>
          <w:rFonts w:eastAsiaTheme="minorHAnsi"/>
          <w:szCs w:val="22"/>
          <w:lang w:eastAsia="en-US"/>
        </w:rPr>
        <w:tab/>
        <w:t xml:space="preserve">„poukázanie peňazí“ je platobná služba, pri ktorej sa finančné prostriedky od platiteľa prijímajú bez toho, aby sa </w:t>
      </w:r>
      <w:r>
        <w:rPr>
          <w:rFonts w:eastAsiaTheme="minorHAnsi"/>
          <w:szCs w:val="22"/>
          <w:lang w:eastAsia="en-US"/>
        </w:rPr>
        <w:t xml:space="preserve">vytvorili akékoľvek platobné účty v mene platiteľa alebo príjemcu platby, na výhradný účel prevodu zodpovedajúcej sumy príjemcovi platby alebo inému poskytovateľovi platobných služieb, ktorý koná v mene príjemcu platby, alebo pri ktorej sa takéto finančné </w:t>
      </w:r>
      <w:r>
        <w:rPr>
          <w:rFonts w:eastAsiaTheme="minorHAnsi"/>
          <w:szCs w:val="22"/>
          <w:lang w:eastAsia="en-US"/>
        </w:rPr>
        <w:t>prostriedky prijímajú v mene príjemcu platby a sú mu sprístupnené;</w:t>
      </w:r>
    </w:p>
    <w:p w:rsidR="00F7624D" w:rsidRDefault="003C5F24">
      <w:pPr>
        <w:widowControl/>
        <w:spacing w:before="120" w:after="120"/>
        <w:ind w:left="850" w:hanging="850"/>
        <w:jc w:val="both"/>
        <w:rPr>
          <w:rFonts w:eastAsiaTheme="minorHAnsi"/>
          <w:noProof/>
          <w:szCs w:val="24"/>
          <w:lang w:eastAsia="en-US"/>
        </w:rPr>
      </w:pPr>
      <w:bookmarkStart w:id="20" w:name="_Hlk138105275"/>
      <w:r>
        <w:rPr>
          <w:rFonts w:eastAsiaTheme="minorHAnsi"/>
          <w:szCs w:val="22"/>
          <w:lang w:eastAsia="en-US"/>
        </w:rPr>
        <w:t>23.</w:t>
      </w:r>
      <w:r>
        <w:rPr>
          <w:rFonts w:eastAsiaTheme="minorHAnsi"/>
          <w:szCs w:val="22"/>
          <w:lang w:eastAsia="en-US"/>
        </w:rPr>
        <w:tab/>
        <w:t>„finančné prostriedky“ sú peniaze centrálnej banky vydané na maloobchodné používanie, bezhotovostné peniaze a elektronické peniaze;</w:t>
      </w:r>
    </w:p>
    <w:bookmarkEnd w:id="20"/>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24.</w:t>
      </w:r>
      <w:r>
        <w:rPr>
          <w:rFonts w:eastAsiaTheme="minorHAnsi"/>
          <w:szCs w:val="22"/>
          <w:lang w:eastAsia="en-US"/>
        </w:rPr>
        <w:tab/>
        <w:t>„poskytovateľ technických služieb“ je poskytovate</w:t>
      </w:r>
      <w:r>
        <w:rPr>
          <w:rFonts w:eastAsiaTheme="minorHAnsi"/>
          <w:szCs w:val="22"/>
          <w:lang w:eastAsia="en-US"/>
        </w:rPr>
        <w:t>ľ služieb, ▌ktorý podporuje poskytovanie platobných služieb</w:t>
      </w:r>
      <w:r>
        <w:rPr>
          <w:rFonts w:eastAsiaTheme="minorHAnsi"/>
          <w:b/>
          <w:i/>
          <w:szCs w:val="22"/>
          <w:lang w:eastAsia="en-US"/>
        </w:rPr>
        <w:t>,</w:t>
      </w:r>
      <w:r>
        <w:rPr>
          <w:rFonts w:eastAsiaTheme="minorHAnsi"/>
          <w:szCs w:val="22"/>
          <w:lang w:eastAsia="en-US"/>
        </w:rPr>
        <w:t xml:space="preserve"> bez toho, aby ▌v ktoromkoľvek okamihu nadobudol vlastníctvo finančných prostriedkov, ktoré sa majú previesť;</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25.</w:t>
      </w:r>
      <w:r>
        <w:rPr>
          <w:rFonts w:eastAsiaTheme="minorHAnsi"/>
          <w:szCs w:val="22"/>
          <w:lang w:eastAsia="en-US"/>
        </w:rPr>
        <w:tab/>
        <w:t>„citlivé platobné údaje“ sú údaje, ktoré možno použiť na spáchanie podvodu, vrátan</w:t>
      </w:r>
      <w:r>
        <w:rPr>
          <w:rFonts w:eastAsiaTheme="minorHAnsi"/>
          <w:szCs w:val="22"/>
          <w:lang w:eastAsia="en-US"/>
        </w:rPr>
        <w:t xml:space="preserve">e </w:t>
      </w:r>
      <w:proofErr w:type="spellStart"/>
      <w:r>
        <w:rPr>
          <w:rFonts w:eastAsiaTheme="minorHAnsi"/>
          <w:szCs w:val="22"/>
          <w:lang w:eastAsia="en-US"/>
        </w:rPr>
        <w:t>personalizovaných</w:t>
      </w:r>
      <w:proofErr w:type="spellEnd"/>
      <w:r>
        <w:rPr>
          <w:rFonts w:eastAsiaTheme="minorHAnsi"/>
          <w:szCs w:val="22"/>
          <w:lang w:eastAsia="en-US"/>
        </w:rPr>
        <w:t xml:space="preserve"> bezpečnostných prvkov;</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26.</w:t>
      </w:r>
      <w:r>
        <w:rPr>
          <w:rFonts w:eastAsiaTheme="minorHAnsi"/>
          <w:szCs w:val="22"/>
          <w:lang w:eastAsia="en-US"/>
        </w:rPr>
        <w:tab/>
        <w:t xml:space="preserve">„pracovný deň“ je deň, v ktorý príslušný poskytovateľ platobných služieb platiteľa alebo príjemcu platby zúčastňujúci sa na vykonaní platobnej transakcie pracuje </w:t>
      </w:r>
      <w:r>
        <w:rPr>
          <w:rFonts w:eastAsiaTheme="minorHAnsi"/>
          <w:b/>
          <w:i/>
          <w:szCs w:val="22"/>
          <w:lang w:eastAsia="en-US"/>
        </w:rPr>
        <w:t>a dokáže vykonať</w:t>
      </w:r>
      <w:r>
        <w:rPr>
          <w:rFonts w:eastAsiaTheme="minorHAnsi"/>
          <w:szCs w:val="22"/>
          <w:lang w:eastAsia="en-US"/>
        </w:rPr>
        <w:t xml:space="preserve"> platobnú transakciu;</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27.</w:t>
      </w:r>
      <w:r>
        <w:rPr>
          <w:rFonts w:eastAsiaTheme="minorHAnsi"/>
          <w:szCs w:val="22"/>
          <w:lang w:eastAsia="en-US"/>
        </w:rPr>
        <w:tab/>
        <w:t>„služ</w:t>
      </w:r>
      <w:r>
        <w:rPr>
          <w:rFonts w:eastAsiaTheme="minorHAnsi"/>
          <w:szCs w:val="22"/>
          <w:lang w:eastAsia="en-US"/>
        </w:rPr>
        <w:t>by informačných a komunikačných technológií“ (IKT) sú IKT služby v zmysle vymedzenia v článku 3 bode 21 nariadenia (EÚ) 2022/2554;</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28.</w:t>
      </w:r>
      <w:r>
        <w:rPr>
          <w:rFonts w:eastAsiaTheme="minorHAnsi"/>
          <w:szCs w:val="22"/>
          <w:lang w:eastAsia="en-US"/>
        </w:rPr>
        <w:tab/>
        <w:t>„agent“ je fyzická alebo právnická osoba, ktorá pri poskytovaní platobných služieb koná v mene platobnej inštitúcie;</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29.</w:t>
      </w:r>
      <w:r>
        <w:rPr>
          <w:rFonts w:eastAsiaTheme="minorHAnsi"/>
          <w:szCs w:val="22"/>
          <w:lang w:eastAsia="en-US"/>
        </w:rPr>
        <w:tab/>
      </w:r>
      <w:r>
        <w:rPr>
          <w:rFonts w:eastAsiaTheme="minorHAnsi"/>
          <w:szCs w:val="22"/>
          <w:lang w:eastAsia="en-US"/>
        </w:rPr>
        <w:t>„pobočka“ je miesto podnikania, ktoré nie je ústredím a ktoré je súčasťou platobnej inštitúcie, nemá právnu subjektivitu a ktoré priamo vykonáva niektoré alebo všetky transakcie tvoriace súčasť podnikania platobnej inštitúcie; všetky miesta podnikania, kto</w:t>
      </w:r>
      <w:r>
        <w:rPr>
          <w:rFonts w:eastAsiaTheme="minorHAnsi"/>
          <w:szCs w:val="22"/>
          <w:lang w:eastAsia="en-US"/>
        </w:rPr>
        <w:t>ré v tom istom členskom štáte zriadila platobná inštitúcia s ústredím v inom členskom štáte, sa považujú za jednu pobočku;</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30.</w:t>
      </w:r>
      <w:r>
        <w:rPr>
          <w:rFonts w:eastAsiaTheme="minorHAnsi"/>
          <w:szCs w:val="22"/>
          <w:lang w:eastAsia="en-US"/>
        </w:rPr>
        <w:tab/>
        <w:t>„skupina“ je skupina podnikov, ktoré sú navzájom prepojené na základe vzťahu uvedeného v článku 22 ods. 1, 2 alebo 7 smernice Eur</w:t>
      </w:r>
      <w:r>
        <w:rPr>
          <w:rFonts w:eastAsiaTheme="minorHAnsi"/>
          <w:szCs w:val="22"/>
          <w:lang w:eastAsia="en-US"/>
        </w:rPr>
        <w:t>ópskeho parlamentu a Rady 2013/34/EÚ</w:t>
      </w:r>
      <w:r>
        <w:rPr>
          <w:rFonts w:eastAsiaTheme="minorHAnsi"/>
          <w:noProof/>
          <w:szCs w:val="24"/>
          <w:vertAlign w:val="superscript"/>
          <w:lang w:eastAsia="en-US"/>
        </w:rPr>
        <w:footnoteReference w:id="26"/>
      </w:r>
      <w:r>
        <w:rPr>
          <w:rFonts w:eastAsiaTheme="minorHAnsi"/>
          <w:szCs w:val="22"/>
          <w:lang w:eastAsia="en-US"/>
        </w:rPr>
        <w:t>, alebo podnikov uvedených v článkoch 4, 5, 6 a 7 delegovaného nariadenia Komisie (EÚ) č. 241/2014</w:t>
      </w:r>
      <w:r>
        <w:rPr>
          <w:rFonts w:eastAsiaTheme="minorHAnsi"/>
          <w:noProof/>
          <w:szCs w:val="24"/>
          <w:vertAlign w:val="superscript"/>
          <w:lang w:eastAsia="en-US"/>
        </w:rPr>
        <w:footnoteReference w:id="27"/>
      </w:r>
      <w:r>
        <w:rPr>
          <w:rFonts w:eastAsiaTheme="minorHAnsi"/>
          <w:szCs w:val="22"/>
          <w:lang w:eastAsia="en-US"/>
        </w:rPr>
        <w:t xml:space="preserve">, ktoré sú navzájom prepojené na základe vzťahu uvedeného v článku 10 ods. 1 alebo v článku 113 ods. 6 prvom </w:t>
      </w:r>
      <w:proofErr w:type="spellStart"/>
      <w:r>
        <w:rPr>
          <w:rFonts w:eastAsiaTheme="minorHAnsi"/>
          <w:szCs w:val="22"/>
          <w:lang w:eastAsia="en-US"/>
        </w:rPr>
        <w:t>pododseku</w:t>
      </w:r>
      <w:proofErr w:type="spellEnd"/>
      <w:r>
        <w:rPr>
          <w:rFonts w:eastAsiaTheme="minorHAnsi"/>
          <w:szCs w:val="22"/>
          <w:lang w:eastAsia="en-US"/>
        </w:rPr>
        <w:t xml:space="preserve"> a</w:t>
      </w:r>
      <w:r>
        <w:rPr>
          <w:rFonts w:eastAsiaTheme="minorHAnsi"/>
          <w:szCs w:val="22"/>
          <w:lang w:eastAsia="en-US"/>
        </w:rPr>
        <w:t xml:space="preserve">lebo v článku 113 ods. 7 prvom </w:t>
      </w:r>
      <w:proofErr w:type="spellStart"/>
      <w:r>
        <w:rPr>
          <w:rFonts w:eastAsiaTheme="minorHAnsi"/>
          <w:szCs w:val="22"/>
          <w:lang w:eastAsia="en-US"/>
        </w:rPr>
        <w:t>pododseku</w:t>
      </w:r>
      <w:proofErr w:type="spellEnd"/>
      <w:r>
        <w:rPr>
          <w:rFonts w:eastAsiaTheme="minorHAnsi"/>
          <w:szCs w:val="22"/>
          <w:lang w:eastAsia="en-US"/>
        </w:rPr>
        <w:t xml:space="preserve"> nariadenia (EÚ) č. 575/2013</w:t>
      </w:r>
      <w:r>
        <w:rPr>
          <w:rFonts w:eastAsiaTheme="minorHAnsi"/>
          <w:b/>
          <w:i/>
          <w:szCs w:val="22"/>
          <w:lang w:eastAsia="en-US"/>
        </w:rPr>
        <w:t>;</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31.</w:t>
      </w:r>
      <w:r>
        <w:rPr>
          <w:rFonts w:eastAsiaTheme="minorHAnsi"/>
          <w:szCs w:val="22"/>
          <w:lang w:eastAsia="en-US"/>
        </w:rPr>
        <w:tab/>
        <w:t xml:space="preserve">„prijímanie platobných transakcií“ je platobná služba, ktorú poskytuje poskytovateľ platobných služieb, ktorý uzavrel s príjemcom platby zmluvu s cieľom akceptovať </w:t>
      </w:r>
      <w:r>
        <w:rPr>
          <w:rFonts w:eastAsiaTheme="minorHAnsi"/>
          <w:szCs w:val="22"/>
          <w:lang w:eastAsia="en-US"/>
        </w:rPr>
        <w:lastRenderedPageBreak/>
        <w:t>a spracovať platob</w:t>
      </w:r>
      <w:r>
        <w:rPr>
          <w:rFonts w:eastAsiaTheme="minorHAnsi"/>
          <w:szCs w:val="22"/>
          <w:lang w:eastAsia="en-US"/>
        </w:rPr>
        <w:t>né transakcie, a ktorej výsledkom je prevod finančných prostriedkov príjemcovi platby;</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32.</w:t>
      </w:r>
      <w:r>
        <w:rPr>
          <w:rFonts w:eastAsiaTheme="minorHAnsi"/>
          <w:szCs w:val="22"/>
          <w:lang w:eastAsia="en-US"/>
        </w:rPr>
        <w:tab/>
        <w:t>„vydávanie platobných nástrojov“ je platobná služba poskytovateľa platobných služieb, ktorý na zmluvnom základe poskytuje platiteľovi platobný nástroj na iniciovanie</w:t>
      </w:r>
      <w:r>
        <w:rPr>
          <w:rFonts w:eastAsiaTheme="minorHAnsi"/>
          <w:szCs w:val="22"/>
          <w:lang w:eastAsia="en-US"/>
        </w:rPr>
        <w:t xml:space="preserve"> a spracovanie platobných transakcií platiteľa;</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33.</w:t>
      </w:r>
      <w:r>
        <w:rPr>
          <w:rFonts w:eastAsiaTheme="minorHAnsi"/>
          <w:szCs w:val="22"/>
          <w:lang w:eastAsia="en-US"/>
        </w:rPr>
        <w:tab/>
        <w:t xml:space="preserve">„vlastné zdroje“ sú finančné prostriedky v zmysle vymedzenia v článku 4 ods. 1 bode 118 nariadenia (EÚ) č. 575/2013, v ktorých aspoň 75 % kapitálu </w:t>
      </w:r>
      <w:proofErr w:type="spellStart"/>
      <w:r>
        <w:rPr>
          <w:rFonts w:eastAsiaTheme="minorHAnsi"/>
          <w:szCs w:val="22"/>
          <w:lang w:eastAsia="en-US"/>
        </w:rPr>
        <w:t>Tier</w:t>
      </w:r>
      <w:proofErr w:type="spellEnd"/>
      <w:r>
        <w:rPr>
          <w:rFonts w:eastAsiaTheme="minorHAnsi"/>
          <w:szCs w:val="22"/>
          <w:lang w:eastAsia="en-US"/>
        </w:rPr>
        <w:t xml:space="preserve"> 1 je vo forme vlastného kapitálu </w:t>
      </w:r>
      <w:proofErr w:type="spellStart"/>
      <w:r>
        <w:rPr>
          <w:rFonts w:eastAsiaTheme="minorHAnsi"/>
          <w:szCs w:val="22"/>
          <w:lang w:eastAsia="en-US"/>
        </w:rPr>
        <w:t>Tier</w:t>
      </w:r>
      <w:proofErr w:type="spellEnd"/>
      <w:r>
        <w:rPr>
          <w:rFonts w:eastAsiaTheme="minorHAnsi"/>
          <w:szCs w:val="22"/>
          <w:lang w:eastAsia="en-US"/>
        </w:rPr>
        <w:t xml:space="preserve"> 1 uvedeného v </w:t>
      </w:r>
      <w:r>
        <w:rPr>
          <w:rFonts w:eastAsiaTheme="minorHAnsi"/>
          <w:szCs w:val="22"/>
          <w:lang w:eastAsia="en-US"/>
        </w:rPr>
        <w:t xml:space="preserve">článku 50 uvedeného nariadenia a na kapitál </w:t>
      </w:r>
      <w:proofErr w:type="spellStart"/>
      <w:r>
        <w:rPr>
          <w:rFonts w:eastAsiaTheme="minorHAnsi"/>
          <w:szCs w:val="22"/>
          <w:lang w:eastAsia="en-US"/>
        </w:rPr>
        <w:t>Tier</w:t>
      </w:r>
      <w:proofErr w:type="spellEnd"/>
      <w:r>
        <w:rPr>
          <w:rFonts w:eastAsiaTheme="minorHAnsi"/>
          <w:szCs w:val="22"/>
          <w:lang w:eastAsia="en-US"/>
        </w:rPr>
        <w:t xml:space="preserve"> 2 pripadá jedna tretina kapitálu </w:t>
      </w:r>
      <w:proofErr w:type="spellStart"/>
      <w:r>
        <w:rPr>
          <w:rFonts w:eastAsiaTheme="minorHAnsi"/>
          <w:szCs w:val="22"/>
          <w:lang w:eastAsia="en-US"/>
        </w:rPr>
        <w:t>Tier</w:t>
      </w:r>
      <w:proofErr w:type="spellEnd"/>
      <w:r>
        <w:rPr>
          <w:rFonts w:eastAsiaTheme="minorHAnsi"/>
          <w:szCs w:val="22"/>
          <w:lang w:eastAsia="en-US"/>
        </w:rPr>
        <w:t xml:space="preserve"> 1 alebo menej;</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34.</w:t>
      </w:r>
      <w:r>
        <w:rPr>
          <w:rFonts w:eastAsiaTheme="minorHAnsi"/>
          <w:szCs w:val="22"/>
          <w:lang w:eastAsia="en-US"/>
        </w:rPr>
        <w:tab/>
        <w:t>„elektronické peniaze“ sú peňažná hodnota uchovávaná elektronicky vrátane magnetického záznamu, predstavujúca nárok voči vydavateľovi, vydaná pri prij</w:t>
      </w:r>
      <w:r>
        <w:rPr>
          <w:rFonts w:eastAsiaTheme="minorHAnsi"/>
          <w:szCs w:val="22"/>
          <w:lang w:eastAsia="en-US"/>
        </w:rPr>
        <w:t>atí finančných prostriedkov na vykonávanie platobných transakcií a prijímaná aj inými fyzickými alebo právnickými osobami, než je vydavateľ</w:t>
      </w:r>
      <w:r>
        <w:rPr>
          <w:rFonts w:eastAsiaTheme="minorHAnsi"/>
          <w:b/>
          <w:i/>
          <w:szCs w:val="22"/>
          <w:lang w:eastAsia="en-US"/>
        </w:rPr>
        <w:t>;</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35.</w:t>
      </w:r>
      <w:r>
        <w:rPr>
          <w:rFonts w:eastAsiaTheme="minorHAnsi"/>
          <w:szCs w:val="22"/>
          <w:lang w:eastAsia="en-US"/>
        </w:rPr>
        <w:tab/>
        <w:t>„priemer vydaných elektronických peňazí“ je priemerná celková suma finančných záväzkov súvisiacich s elektronic</w:t>
      </w:r>
      <w:r>
        <w:rPr>
          <w:rFonts w:eastAsiaTheme="minorHAnsi"/>
          <w:szCs w:val="22"/>
          <w:lang w:eastAsia="en-US"/>
        </w:rPr>
        <w:t>kými peniazmi, ktoré sú predmetom emisie na konci každého kalendárneho dňa za predchádzajúcich šesť kalendárnych mesiacov, vypočítaná v prvý kalendárny deň každého kalendárneho mesiaca a uplatnená na daný kalendárny mesiac</w:t>
      </w:r>
      <w:r>
        <w:rPr>
          <w:rFonts w:eastAsiaTheme="minorHAnsi"/>
          <w:b/>
          <w:i/>
          <w:szCs w:val="22"/>
          <w:lang w:eastAsia="en-US"/>
        </w:rPr>
        <w:t>;</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36.</w:t>
      </w:r>
      <w:r>
        <w:rPr>
          <w:rFonts w:eastAsiaTheme="minorHAnsi"/>
          <w:szCs w:val="22"/>
          <w:lang w:eastAsia="en-US"/>
        </w:rPr>
        <w:tab/>
        <w:t>„distribútor“ je fyzická ale</w:t>
      </w:r>
      <w:r>
        <w:rPr>
          <w:rFonts w:eastAsiaTheme="minorHAnsi"/>
          <w:szCs w:val="22"/>
          <w:lang w:eastAsia="en-US"/>
        </w:rPr>
        <w:t xml:space="preserve">bo právnická osoba, ktorá distribuuje alebo zamieňa elektronické peniaze v mene platobnej inštitúcie; </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37.</w:t>
      </w:r>
      <w:r>
        <w:rPr>
          <w:rFonts w:eastAsiaTheme="minorHAnsi"/>
          <w:szCs w:val="22"/>
          <w:lang w:eastAsia="en-US"/>
        </w:rPr>
        <w:tab/>
        <w:t xml:space="preserve">„služby elektronických peňazí“ sú vydávanie elektronických peňazí, vedenie platobných účtov, v ktorých sa uchovávajú jednotky elektronických peňazí, </w:t>
      </w:r>
      <w:r>
        <w:rPr>
          <w:rFonts w:eastAsiaTheme="minorHAnsi"/>
          <w:szCs w:val="22"/>
          <w:lang w:eastAsia="en-US"/>
        </w:rPr>
        <w:t>a prevod jednotiek elektronických peňazí;</w:t>
      </w:r>
    </w:p>
    <w:p w:rsidR="00F7624D" w:rsidRDefault="003C5F24">
      <w:pPr>
        <w:widowControl/>
        <w:spacing w:before="120" w:after="120"/>
        <w:ind w:left="850" w:hanging="850"/>
        <w:jc w:val="both"/>
        <w:rPr>
          <w:rFonts w:eastAsiaTheme="minorHAnsi"/>
          <w:noProof/>
          <w:szCs w:val="22"/>
          <w:lang w:eastAsia="en-US"/>
        </w:rPr>
      </w:pPr>
      <w:bookmarkStart w:id="21" w:name="_Hlk137745034"/>
      <w:r>
        <w:rPr>
          <w:rFonts w:eastAsiaTheme="minorHAnsi"/>
          <w:szCs w:val="22"/>
          <w:lang w:eastAsia="en-US"/>
        </w:rPr>
        <w:t>38.</w:t>
      </w:r>
      <w:r>
        <w:rPr>
          <w:rFonts w:eastAsiaTheme="minorHAnsi"/>
          <w:szCs w:val="22"/>
          <w:lang w:eastAsia="en-US"/>
        </w:rPr>
        <w:tab/>
        <w:t xml:space="preserve">„prevádzkovateľ bankomatov“ je prevádzkovateľ bankomatov, ktorý </w:t>
      </w:r>
      <w:r>
        <w:rPr>
          <w:rFonts w:eastAsiaTheme="minorHAnsi"/>
          <w:b/>
          <w:i/>
          <w:szCs w:val="22"/>
          <w:lang w:eastAsia="en-US"/>
        </w:rPr>
        <w:t>nevedie</w:t>
      </w:r>
      <w:r>
        <w:rPr>
          <w:rFonts w:eastAsiaTheme="minorHAnsi"/>
          <w:szCs w:val="22"/>
          <w:lang w:eastAsia="en-US"/>
        </w:rPr>
        <w:t xml:space="preserve"> platobné účty;</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39.</w:t>
      </w:r>
      <w:r>
        <w:rPr>
          <w:rFonts w:eastAsiaTheme="minorHAnsi"/>
          <w:szCs w:val="22"/>
          <w:lang w:eastAsia="en-US"/>
        </w:rPr>
        <w:tab/>
        <w:t>„platobná inštitúcia poskytujúca služby elektronických peňazí“ je platobná inštitúcia, ktorá poskytuje služby vydávania</w:t>
      </w:r>
      <w:r>
        <w:rPr>
          <w:rFonts w:eastAsiaTheme="minorHAnsi"/>
          <w:szCs w:val="22"/>
          <w:lang w:eastAsia="en-US"/>
        </w:rPr>
        <w:t xml:space="preserve"> elektronických peňazí, vedenia platobných účtov, na ktorých sú uložené jednotky elektronických peňazí, a prevodov jednotiek elektronických peňazí bez ohľadu na to, či zároveň poskytuje aj ktorékoľvek zo služieb uvedených v prílohe I.</w:t>
      </w:r>
      <w:bookmarkEnd w:id="21"/>
    </w:p>
    <w:p w:rsidR="00F7624D" w:rsidRDefault="003C5F24">
      <w:pPr>
        <w:keepNext/>
        <w:widowControl/>
        <w:spacing w:before="120" w:after="360"/>
        <w:jc w:val="center"/>
        <w:rPr>
          <w:rFonts w:eastAsiaTheme="minorHAnsi"/>
          <w:b/>
          <w:smallCaps/>
          <w:noProof/>
          <w:sz w:val="28"/>
          <w:szCs w:val="22"/>
          <w:lang w:eastAsia="en-US"/>
        </w:rPr>
      </w:pPr>
      <w:r>
        <w:rPr>
          <w:rFonts w:eastAsiaTheme="minorHAnsi"/>
          <w:b/>
          <w:smallCaps/>
          <w:sz w:val="28"/>
          <w:szCs w:val="22"/>
          <w:lang w:eastAsia="en-US"/>
        </w:rPr>
        <w:lastRenderedPageBreak/>
        <w:t>HLAVA II</w:t>
      </w:r>
    </w:p>
    <w:p w:rsidR="00F7624D" w:rsidRDefault="003C5F24">
      <w:pPr>
        <w:keepNext/>
        <w:widowControl/>
        <w:spacing w:before="120" w:after="360"/>
        <w:jc w:val="center"/>
        <w:rPr>
          <w:rFonts w:eastAsiaTheme="minorHAnsi"/>
          <w:b/>
          <w:smallCaps/>
          <w:noProof/>
          <w:sz w:val="28"/>
          <w:szCs w:val="22"/>
          <w:lang w:eastAsia="en-US"/>
        </w:rPr>
      </w:pPr>
      <w:r>
        <w:rPr>
          <w:rFonts w:eastAsiaTheme="minorHAnsi"/>
          <w:b/>
          <w:smallCaps/>
          <w:sz w:val="28"/>
          <w:szCs w:val="22"/>
          <w:lang w:eastAsia="en-US"/>
        </w:rPr>
        <w:t>PLATOBNÉ INŠ</w:t>
      </w:r>
      <w:r>
        <w:rPr>
          <w:rFonts w:eastAsiaTheme="minorHAnsi"/>
          <w:b/>
          <w:smallCaps/>
          <w:sz w:val="28"/>
          <w:szCs w:val="22"/>
          <w:lang w:eastAsia="en-US"/>
        </w:rPr>
        <w:t>TITÚCIE</w:t>
      </w:r>
    </w:p>
    <w:p w:rsidR="00F7624D" w:rsidRDefault="003C5F24">
      <w:pPr>
        <w:keepNext/>
        <w:widowControl/>
        <w:spacing w:before="120" w:after="360"/>
        <w:jc w:val="center"/>
        <w:rPr>
          <w:rFonts w:eastAsiaTheme="minorHAnsi"/>
          <w:b/>
          <w:noProof/>
          <w:sz w:val="32"/>
          <w:szCs w:val="22"/>
          <w:lang w:eastAsia="en-US"/>
        </w:rPr>
      </w:pPr>
      <w:r>
        <w:rPr>
          <w:rFonts w:eastAsiaTheme="minorHAnsi"/>
          <w:b/>
          <w:i/>
          <w:sz w:val="32"/>
          <w:szCs w:val="22"/>
          <w:lang w:eastAsia="en-US"/>
        </w:rPr>
        <w:t>KAPITOLA I</w:t>
      </w:r>
    </w:p>
    <w:p w:rsidR="00F7624D" w:rsidRDefault="003C5F24">
      <w:pPr>
        <w:keepNext/>
        <w:widowControl/>
        <w:spacing w:before="120" w:after="360"/>
        <w:jc w:val="center"/>
        <w:rPr>
          <w:rFonts w:eastAsiaTheme="minorHAnsi"/>
          <w:b/>
          <w:bCs/>
          <w:iCs/>
          <w:noProof/>
          <w:sz w:val="32"/>
          <w:szCs w:val="22"/>
          <w:lang w:eastAsia="en-US"/>
        </w:rPr>
      </w:pPr>
      <w:r>
        <w:rPr>
          <w:rFonts w:eastAsiaTheme="minorHAnsi"/>
          <w:b/>
          <w:i/>
          <w:sz w:val="32"/>
          <w:szCs w:val="22"/>
          <w:lang w:eastAsia="en-US"/>
        </w:rPr>
        <w:t>Udeľovanie povolení a dohľad</w:t>
      </w:r>
    </w:p>
    <w:p w:rsidR="00F7624D" w:rsidRDefault="003C5F24">
      <w:pPr>
        <w:keepNext/>
        <w:widowControl/>
        <w:spacing w:before="120" w:after="360"/>
        <w:jc w:val="center"/>
        <w:rPr>
          <w:rFonts w:eastAsiaTheme="minorHAnsi"/>
          <w:b/>
          <w:bCs/>
          <w:iCs/>
          <w:smallCaps/>
          <w:noProof/>
          <w:sz w:val="28"/>
          <w:szCs w:val="22"/>
          <w:lang w:eastAsia="en-US"/>
        </w:rPr>
      </w:pPr>
      <w:r>
        <w:rPr>
          <w:rFonts w:eastAsiaTheme="minorHAnsi"/>
          <w:b/>
          <w:smallCaps/>
          <w:sz w:val="28"/>
          <w:szCs w:val="22"/>
          <w:lang w:eastAsia="en-US"/>
        </w:rPr>
        <w:t>Oddiel 1</w:t>
      </w:r>
    </w:p>
    <w:p w:rsidR="00F7624D" w:rsidRDefault="003C5F24">
      <w:pPr>
        <w:keepNext/>
        <w:widowControl/>
        <w:spacing w:before="120" w:after="360"/>
        <w:jc w:val="center"/>
        <w:rPr>
          <w:rFonts w:eastAsiaTheme="minorHAnsi"/>
          <w:b/>
          <w:smallCaps/>
          <w:noProof/>
          <w:sz w:val="28"/>
          <w:szCs w:val="22"/>
          <w:lang w:eastAsia="en-US"/>
        </w:rPr>
      </w:pPr>
      <w:r>
        <w:rPr>
          <w:rFonts w:eastAsiaTheme="minorHAnsi"/>
          <w:b/>
          <w:smallCaps/>
          <w:sz w:val="28"/>
          <w:szCs w:val="22"/>
          <w:lang w:eastAsia="en-US"/>
        </w:rPr>
        <w:t>Všeobecné pravidlá</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3</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Žiadosti o udelenie povolenia</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Od iných podnikov ako podnikov uvedených v článku 2 ods. 1 písm. a), b), d), a e) nariadenia XXX [nariadenie o platobných službách] a od i</w:t>
      </w:r>
      <w:r>
        <w:rPr>
          <w:rFonts w:eastAsiaTheme="minorHAnsi"/>
          <w:szCs w:val="22"/>
          <w:lang w:eastAsia="en-US"/>
        </w:rPr>
        <w:t>ných fyzických alebo právnických osôb ako fyzických a právnických osôb, ktoré využívajú výnimku podľa článkov 34, 36, 37 a 38 tejto smernice, ktoré majú v úmysle poskytovať akékoľvek z platobných služieb uvedených v prílohe I alebo služieb elektronických p</w:t>
      </w:r>
      <w:r>
        <w:rPr>
          <w:rFonts w:eastAsiaTheme="minorHAnsi"/>
          <w:szCs w:val="22"/>
          <w:lang w:eastAsia="en-US"/>
        </w:rPr>
        <w:t>eňazí, členské štáty vyžadujú, aby získali od príslušných orgánov domovského členského štátu povolenie na poskytovanie týchto služieb.</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Povolenie uvedené v</w:t>
      </w:r>
      <w:r>
        <w:rPr>
          <w:rFonts w:eastAsiaTheme="minorHAnsi"/>
          <w:b/>
          <w:i/>
          <w:szCs w:val="22"/>
          <w:lang w:eastAsia="en-US"/>
        </w:rPr>
        <w:t xml:space="preserve"> odseku 1 </w:t>
      </w:r>
      <w:r>
        <w:rPr>
          <w:rFonts w:eastAsiaTheme="minorHAnsi"/>
          <w:szCs w:val="22"/>
          <w:lang w:eastAsia="en-US"/>
        </w:rPr>
        <w:t>sa vyžaduje len v prípade tých platobných služieb, ktoré žiadajúca platobná inštitúcia sk</w:t>
      </w:r>
      <w:r>
        <w:rPr>
          <w:rFonts w:eastAsiaTheme="minorHAnsi"/>
          <w:szCs w:val="22"/>
          <w:lang w:eastAsia="en-US"/>
        </w:rPr>
        <w:t>utočne plánuje poskytovať.</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Členské štáty zabezpečia, aby podniky, ktoré žiadajú o udelenie povolenia podľa odseku 1, predložili príslušným orgánom domovského členského štátu žiadosť o udelenie povolenia, ako aj tieto dokumenty a informácie: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 xml:space="preserve">plán </w:t>
      </w:r>
      <w:r>
        <w:rPr>
          <w:rFonts w:eastAsiaTheme="minorHAnsi"/>
          <w:szCs w:val="22"/>
          <w:lang w:eastAsia="en-US"/>
        </w:rPr>
        <w:t>podnikateľských činností, v ktorom sa stanovuje najmä druh predpokladaných platobných služieb;</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podnikateľský plán</w:t>
      </w:r>
      <w:r>
        <w:rPr>
          <w:rFonts w:eastAsiaTheme="minorHAnsi"/>
          <w:b/>
          <w:i/>
          <w:szCs w:val="22"/>
          <w:lang w:eastAsia="en-US"/>
        </w:rPr>
        <w:t>, ktorý môže zahŕňať</w:t>
      </w:r>
      <w:r>
        <w:rPr>
          <w:rFonts w:eastAsiaTheme="minorHAnsi"/>
          <w:szCs w:val="22"/>
          <w:lang w:eastAsia="en-US"/>
        </w:rPr>
        <w:t xml:space="preserve"> odhad predbežného rozpočtu ▌a ktorý preukazuje, že žiadateľ je schopný používať vhodné a primerané systémy, zdroje a po</w:t>
      </w:r>
      <w:r>
        <w:rPr>
          <w:rFonts w:eastAsiaTheme="minorHAnsi"/>
          <w:szCs w:val="22"/>
          <w:lang w:eastAsia="en-US"/>
        </w:rPr>
        <w:t>stupy na riadne fungovanie;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dôkaz, že žiadateľ má počiatočný kapitál stanovený v článku 5;</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d)</w:t>
      </w:r>
      <w:r>
        <w:rPr>
          <w:rFonts w:eastAsiaTheme="minorHAnsi"/>
          <w:szCs w:val="22"/>
          <w:lang w:eastAsia="en-US"/>
        </w:rPr>
        <w:tab/>
        <w:t>v prípade podnikov, ktoré žiadajú o udelenie povolenia na poskytovanie služieb podľa prílohy I bodov 1 až 5 a služieb elektronických peňazí, opis opatrení prij</w:t>
      </w:r>
      <w:r>
        <w:rPr>
          <w:rFonts w:eastAsiaTheme="minorHAnsi"/>
          <w:szCs w:val="22"/>
          <w:lang w:eastAsia="en-US"/>
        </w:rPr>
        <w:t xml:space="preserve">atých na ochranu finančných prostriedkov používateľov platobných služieb v súlade s článkom 9; </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e)</w:t>
      </w:r>
      <w:r>
        <w:rPr>
          <w:rFonts w:eastAsiaTheme="minorHAnsi"/>
          <w:szCs w:val="22"/>
          <w:lang w:eastAsia="en-US"/>
        </w:rPr>
        <w:tab/>
        <w:t>opis mechanizmov správy a riadenia a mechanizmov vnútornej kontroly žiadateľa vrátane administratívnych postupov, postupov riadenia rizík a účtovných postupo</w:t>
      </w:r>
      <w:r>
        <w:rPr>
          <w:rFonts w:eastAsiaTheme="minorHAnsi"/>
          <w:szCs w:val="22"/>
          <w:lang w:eastAsia="en-US"/>
        </w:rPr>
        <w:t xml:space="preserve">v, a opis dojednaní žiadateľa o využívaní služieb IKT, ako sa uvádza </w:t>
      </w:r>
      <w:bookmarkStart w:id="22" w:name="_Hlk138004483"/>
      <w:r>
        <w:rPr>
          <w:rFonts w:eastAsiaTheme="minorHAnsi"/>
          <w:szCs w:val="22"/>
          <w:lang w:eastAsia="en-US"/>
        </w:rPr>
        <w:t>v článkoch 6 a 7</w:t>
      </w:r>
      <w:bookmarkEnd w:id="22"/>
      <w:r>
        <w:rPr>
          <w:rFonts w:eastAsiaTheme="minorHAnsi"/>
          <w:szCs w:val="22"/>
          <w:lang w:eastAsia="en-US"/>
        </w:rPr>
        <w:t xml:space="preserve"> nariadenia (EÚ) 2022/2554, ktorým sa preukazuje, že tieto mechanizmy správy a riadenia, mechanizmy vnútornej kontroly a dojednania o využívaní služieb IKT sú primerané, r</w:t>
      </w:r>
      <w:r>
        <w:rPr>
          <w:rFonts w:eastAsiaTheme="minorHAnsi"/>
          <w:szCs w:val="22"/>
          <w:lang w:eastAsia="en-US"/>
        </w:rPr>
        <w:t>iadne, správne a vhodné;</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lastRenderedPageBreak/>
        <w:t>f)</w:t>
      </w:r>
      <w:r>
        <w:rPr>
          <w:rFonts w:eastAsiaTheme="minorHAnsi"/>
          <w:szCs w:val="22"/>
          <w:lang w:eastAsia="en-US"/>
        </w:rPr>
        <w:tab/>
        <w:t>opis zavedeného postupu na monitorovanie, riešenie a sledovanie bezpečnostných incidentov a sťažností zákazníkov týkajúcich sa bezpečnosti, a to vrátane mechanizmu podávania správ o incidentoch, ktorý zahŕňa oznamovacie povinnos</w:t>
      </w:r>
      <w:r>
        <w:rPr>
          <w:rFonts w:eastAsiaTheme="minorHAnsi"/>
          <w:szCs w:val="22"/>
          <w:lang w:eastAsia="en-US"/>
        </w:rPr>
        <w:t>ti platobnej inštitúcie stanovené v kapitole III nariadenia (EÚ) 2022/2554;</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g)</w:t>
      </w:r>
      <w:r>
        <w:rPr>
          <w:rFonts w:eastAsiaTheme="minorHAnsi"/>
          <w:szCs w:val="22"/>
          <w:lang w:eastAsia="en-US"/>
        </w:rPr>
        <w:tab/>
        <w:t>opis zavedeného procesu na evidenciu, monitorovanie, sledovanie a obmedzovanie prístupu k citlivým platobných údajom;</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h)</w:t>
      </w:r>
      <w:r>
        <w:rPr>
          <w:rFonts w:eastAsiaTheme="minorHAnsi"/>
          <w:szCs w:val="22"/>
          <w:lang w:eastAsia="en-US"/>
        </w:rPr>
        <w:tab/>
        <w:t>opis mechanizmov na zabezpečenie kontinuity činnosti vrá</w:t>
      </w:r>
      <w:r>
        <w:rPr>
          <w:rFonts w:eastAsiaTheme="minorHAnsi"/>
          <w:szCs w:val="22"/>
          <w:lang w:eastAsia="en-US"/>
        </w:rPr>
        <w:t xml:space="preserve">tane jasnej identifikácie kritických operácií, opis plánov kontinuity činností v oblasti IKT a plánov reakcie a obnovy v oblasti IKT, a opis postupu na pravidelné testovanie a skúmanie vhodnosti a efektívnosti takýchto plánov kontinuity činností v oblasti </w:t>
      </w:r>
      <w:r>
        <w:rPr>
          <w:rFonts w:eastAsiaTheme="minorHAnsi"/>
          <w:szCs w:val="22"/>
          <w:lang w:eastAsia="en-US"/>
        </w:rPr>
        <w:t>IKT a plánov reakcie a obnovy v oblasti IKT, ako sa vyžaduje v článku 11 ods. 6 nariadenia (EÚ) 2022/2554;</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i)</w:t>
      </w:r>
      <w:r>
        <w:rPr>
          <w:rFonts w:eastAsiaTheme="minorHAnsi"/>
          <w:szCs w:val="22"/>
          <w:lang w:eastAsia="en-US"/>
        </w:rPr>
        <w:tab/>
        <w:t>opis zásad a definícií, ktoré sa uplatňujú na zber štatistických údajov o výkonnosti, transakciách a podvodoch;</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j)</w:t>
      </w:r>
      <w:r>
        <w:rPr>
          <w:rFonts w:eastAsiaTheme="minorHAnsi"/>
          <w:szCs w:val="22"/>
          <w:lang w:eastAsia="en-US"/>
        </w:rPr>
        <w:tab/>
        <w:t>dokument o bezpečnostnej politi</w:t>
      </w:r>
      <w:r>
        <w:rPr>
          <w:rFonts w:eastAsiaTheme="minorHAnsi"/>
          <w:szCs w:val="22"/>
          <w:lang w:eastAsia="en-US"/>
        </w:rPr>
        <w:t>ke vrátane:</w:t>
      </w:r>
    </w:p>
    <w:p w:rsidR="00F7624D" w:rsidRDefault="003C5F24">
      <w:pPr>
        <w:widowControl/>
        <w:spacing w:before="120" w:after="120"/>
        <w:ind w:left="1418"/>
        <w:jc w:val="both"/>
        <w:rPr>
          <w:rFonts w:eastAsiaTheme="minorHAnsi"/>
          <w:noProof/>
          <w:szCs w:val="22"/>
          <w:lang w:eastAsia="en-US"/>
        </w:rPr>
      </w:pPr>
      <w:r>
        <w:rPr>
          <w:rFonts w:eastAsiaTheme="minorHAnsi"/>
          <w:szCs w:val="22"/>
          <w:lang w:eastAsia="en-US"/>
        </w:rPr>
        <w:t xml:space="preserve">i) podrobného posúdenia rizika v súvislosti s platobnými službami a službami elektronických peňazí žiadateľa; </w:t>
      </w:r>
    </w:p>
    <w:p w:rsidR="00F7624D" w:rsidRDefault="003C5F24">
      <w:pPr>
        <w:widowControl/>
        <w:spacing w:before="120" w:after="120"/>
        <w:ind w:left="1418"/>
        <w:jc w:val="both"/>
        <w:rPr>
          <w:rFonts w:eastAsiaTheme="minorHAnsi"/>
          <w:noProof/>
          <w:szCs w:val="22"/>
          <w:lang w:eastAsia="en-US"/>
        </w:rPr>
      </w:pPr>
      <w:r>
        <w:rPr>
          <w:rFonts w:eastAsiaTheme="minorHAnsi"/>
          <w:szCs w:val="22"/>
          <w:lang w:eastAsia="en-US"/>
        </w:rPr>
        <w:t>ii) opisu opatrení bezpečnostnej kontroly a opatrení na zmiernenie rizika prijatých s cieľom náležite chrániť používateľov platobných</w:t>
      </w:r>
      <w:r>
        <w:rPr>
          <w:rFonts w:eastAsiaTheme="minorHAnsi"/>
          <w:szCs w:val="22"/>
          <w:lang w:eastAsia="en-US"/>
        </w:rPr>
        <w:t xml:space="preserve"> služieb pred identifikovanými rizikami vrátane podvodov a nezákonného použitia citlivých a osobných údajov;</w:t>
      </w:r>
    </w:p>
    <w:p w:rsidR="00F7624D" w:rsidRDefault="003C5F24">
      <w:pPr>
        <w:widowControl/>
        <w:spacing w:before="120" w:after="120"/>
        <w:ind w:left="1418"/>
        <w:jc w:val="both"/>
        <w:rPr>
          <w:rFonts w:eastAsiaTheme="minorHAnsi"/>
          <w:noProof/>
          <w:szCs w:val="22"/>
          <w:lang w:eastAsia="en-US"/>
        </w:rPr>
      </w:pPr>
      <w:r>
        <w:rPr>
          <w:rFonts w:eastAsiaTheme="minorHAnsi"/>
          <w:szCs w:val="22"/>
          <w:lang w:eastAsia="en-US"/>
        </w:rPr>
        <w:t>iii) v prípade žiadajúcich inštitúcií, ktoré si želajú uzatvoriť dohody o výmene informácií s inými poskytovateľmi platobných služieb na účel výmen</w:t>
      </w:r>
      <w:r>
        <w:rPr>
          <w:rFonts w:eastAsiaTheme="minorHAnsi"/>
          <w:szCs w:val="22"/>
          <w:lang w:eastAsia="en-US"/>
        </w:rPr>
        <w:t xml:space="preserve">y údajov súvisiacich s platobnými podvodmi, ako sa uvádza v článku 83 </w:t>
      </w:r>
      <w:r>
        <w:rPr>
          <w:rFonts w:eastAsiaTheme="minorHAnsi"/>
          <w:b/>
          <w:i/>
          <w:szCs w:val="22"/>
          <w:lang w:eastAsia="en-US"/>
        </w:rPr>
        <w:t>ods. 3</w:t>
      </w:r>
      <w:r>
        <w:rPr>
          <w:rFonts w:eastAsiaTheme="minorHAnsi"/>
          <w:szCs w:val="22"/>
          <w:lang w:eastAsia="en-US"/>
        </w:rPr>
        <w:t xml:space="preserve"> nariadenia XXX [nariadenie o platobných službách], záverov posúdenia vplyvu na ochranu údajov uvedeného v článku 83 </w:t>
      </w:r>
      <w:r>
        <w:rPr>
          <w:rFonts w:eastAsiaTheme="minorHAnsi"/>
          <w:b/>
          <w:i/>
          <w:szCs w:val="22"/>
          <w:lang w:eastAsia="en-US"/>
        </w:rPr>
        <w:t>ods. 4</w:t>
      </w:r>
      <w:r>
        <w:rPr>
          <w:rFonts w:eastAsiaTheme="minorHAnsi"/>
          <w:szCs w:val="22"/>
          <w:lang w:eastAsia="en-US"/>
        </w:rPr>
        <w:t xml:space="preserve"> nariadenia XXX [nariadenie o platobných službách] a vyko</w:t>
      </w:r>
      <w:r>
        <w:rPr>
          <w:rFonts w:eastAsiaTheme="minorHAnsi"/>
          <w:szCs w:val="22"/>
          <w:lang w:eastAsia="en-US"/>
        </w:rPr>
        <w:t>naného podľa článku 35 nariadenia (EÚ) 2016/679 a prípadne výsledku predchádzajúcej konzultácie s príslušným orgánom dohľadu podľa článku 36 uvedeného nariadenia;</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k)</w:t>
      </w:r>
      <w:r>
        <w:rPr>
          <w:rFonts w:eastAsiaTheme="minorHAnsi"/>
          <w:szCs w:val="22"/>
          <w:lang w:eastAsia="en-US"/>
        </w:rPr>
        <w:tab/>
        <w:t>v prípade žiadajúcich inštitúcií, ktoré podliehajú povinnostiam v súvislosti s praním špin</w:t>
      </w:r>
      <w:r>
        <w:rPr>
          <w:rFonts w:eastAsiaTheme="minorHAnsi"/>
          <w:szCs w:val="22"/>
          <w:lang w:eastAsia="en-US"/>
        </w:rPr>
        <w:t>avých peňazí a financovaním terorizmu podľa smernice Európskeho parlamentu a Rady (EÚ) 2015/849</w:t>
      </w:r>
      <w:r>
        <w:rPr>
          <w:rFonts w:eastAsiaTheme="minorHAnsi"/>
          <w:b/>
          <w:i/>
          <w:noProof/>
          <w:szCs w:val="22"/>
          <w:vertAlign w:val="superscript"/>
          <w:lang w:eastAsia="en-US"/>
        </w:rPr>
        <w:footnoteReference w:id="28"/>
      </w:r>
      <w:r>
        <w:rPr>
          <w:rFonts w:eastAsiaTheme="minorHAnsi"/>
          <w:szCs w:val="22"/>
          <w:lang w:eastAsia="en-US"/>
        </w:rPr>
        <w:t xml:space="preserve"> a nariadenia Európskeho parlamentu a Rady (EÚ) 2015/847</w:t>
      </w:r>
      <w:r>
        <w:rPr>
          <w:rFonts w:eastAsiaTheme="minorHAnsi"/>
          <w:b/>
          <w:i/>
          <w:noProof/>
          <w:szCs w:val="22"/>
          <w:vertAlign w:val="superscript"/>
          <w:lang w:eastAsia="en-US"/>
        </w:rPr>
        <w:footnoteReference w:id="29"/>
      </w:r>
      <w:r>
        <w:rPr>
          <w:rFonts w:eastAsiaTheme="minorHAnsi"/>
          <w:szCs w:val="22"/>
          <w:lang w:eastAsia="en-US"/>
        </w:rPr>
        <w:t>, opis mechanizmov vnútornej kontroly, ktoré žiadateľ zaviedol s cieľom dodržiavať uvedenú smernicu a n</w:t>
      </w:r>
      <w:r>
        <w:rPr>
          <w:rFonts w:eastAsiaTheme="minorHAnsi"/>
          <w:szCs w:val="22"/>
          <w:lang w:eastAsia="en-US"/>
        </w:rPr>
        <w:t>ariadenie;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l)</w:t>
      </w:r>
      <w:r>
        <w:rPr>
          <w:rFonts w:eastAsiaTheme="minorHAnsi"/>
          <w:szCs w:val="22"/>
          <w:lang w:eastAsia="en-US"/>
        </w:rPr>
        <w:tab/>
        <w:t>opis organizačnej štruktúry žiadateľa vrátane prípadného opisu:</w:t>
      </w:r>
    </w:p>
    <w:p w:rsidR="00F7624D" w:rsidRDefault="003C5F24">
      <w:pPr>
        <w:widowControl/>
        <w:spacing w:before="120" w:after="120"/>
        <w:ind w:left="1418"/>
        <w:jc w:val="both"/>
        <w:rPr>
          <w:rFonts w:eastAsiaTheme="minorHAnsi"/>
          <w:noProof/>
          <w:szCs w:val="22"/>
          <w:lang w:eastAsia="en-US"/>
        </w:rPr>
      </w:pPr>
      <w:r>
        <w:rPr>
          <w:rFonts w:eastAsiaTheme="minorHAnsi"/>
          <w:szCs w:val="22"/>
          <w:lang w:eastAsia="en-US"/>
        </w:rPr>
        <w:t xml:space="preserve">▌ </w:t>
      </w:r>
    </w:p>
    <w:p w:rsidR="00F7624D" w:rsidRDefault="003C5F24">
      <w:pPr>
        <w:widowControl/>
        <w:spacing w:before="120" w:after="120"/>
        <w:ind w:left="1418"/>
        <w:jc w:val="both"/>
        <w:rPr>
          <w:rFonts w:eastAsiaTheme="minorHAnsi"/>
          <w:noProof/>
          <w:szCs w:val="22"/>
          <w:lang w:eastAsia="en-US"/>
        </w:rPr>
      </w:pPr>
      <w:r>
        <w:rPr>
          <w:rFonts w:eastAsiaTheme="minorHAnsi"/>
          <w:szCs w:val="22"/>
          <w:lang w:eastAsia="en-US"/>
        </w:rPr>
        <w:lastRenderedPageBreak/>
        <w:t xml:space="preserve">▌ </w:t>
      </w:r>
    </w:p>
    <w:p w:rsidR="00F7624D" w:rsidRDefault="003C5F24">
      <w:pPr>
        <w:widowControl/>
        <w:spacing w:before="120" w:after="120"/>
        <w:ind w:left="1418"/>
        <w:jc w:val="both"/>
        <w:rPr>
          <w:rFonts w:eastAsiaTheme="minorHAnsi"/>
          <w:noProof/>
          <w:szCs w:val="22"/>
          <w:lang w:eastAsia="en-US"/>
        </w:rPr>
      </w:pPr>
      <w:r>
        <w:rPr>
          <w:rFonts w:eastAsiaTheme="minorHAnsi"/>
          <w:szCs w:val="22"/>
          <w:lang w:eastAsia="en-US"/>
        </w:rPr>
        <w:t>iii) opisu opatrení týkajúcich sa externého zabezpečovania činnosti;</w:t>
      </w:r>
    </w:p>
    <w:p w:rsidR="00F7624D" w:rsidRDefault="003C5F24">
      <w:pPr>
        <w:widowControl/>
        <w:spacing w:before="120" w:after="120"/>
        <w:ind w:left="1418"/>
        <w:jc w:val="both"/>
        <w:rPr>
          <w:rFonts w:eastAsiaTheme="minorHAnsi"/>
          <w:noProof/>
          <w:szCs w:val="22"/>
          <w:lang w:eastAsia="en-US"/>
        </w:rPr>
      </w:pPr>
      <w:r>
        <w:rPr>
          <w:rFonts w:eastAsiaTheme="minorHAnsi"/>
          <w:szCs w:val="22"/>
          <w:lang w:eastAsia="en-US"/>
        </w:rPr>
        <w:t>iv) účasti žiadateľa v národnom alebo medzinárodnom platobnom systéme;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m)</w:t>
      </w:r>
      <w:r>
        <w:rPr>
          <w:rFonts w:eastAsiaTheme="minorHAnsi"/>
          <w:szCs w:val="22"/>
          <w:lang w:eastAsia="en-US"/>
        </w:rPr>
        <w:tab/>
        <w:t>totožnosť osôb, ktoré majú v </w:t>
      </w:r>
      <w:r>
        <w:rPr>
          <w:rFonts w:eastAsiaTheme="minorHAnsi"/>
          <w:szCs w:val="22"/>
          <w:lang w:eastAsia="en-US"/>
        </w:rPr>
        <w:t>žiadateľovi priamy alebo nepriamy kvalifikovaný podiel v zmysle článku 4 ods. 1 bodu 36 nariadenia (EÚ) č. 575/2013, veľkosť ich podielov a dôkazy o ich vhodnosti s cieľom zabezpečiť spoľahlivé a obozretné riadenie žiadateľa;</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n)</w:t>
      </w:r>
      <w:r>
        <w:rPr>
          <w:rFonts w:eastAsiaTheme="minorHAnsi"/>
          <w:szCs w:val="22"/>
          <w:lang w:eastAsia="en-US"/>
        </w:rPr>
        <w:tab/>
        <w:t>totožnosť členov predstaven</w:t>
      </w:r>
      <w:r>
        <w:rPr>
          <w:rFonts w:eastAsiaTheme="minorHAnsi"/>
          <w:szCs w:val="22"/>
          <w:lang w:eastAsia="en-US"/>
        </w:rPr>
        <w:t>stva a iných osôb zodpovedných za riadenie žiadajúcej platobnej inštitúcie a v relevantných prípadoch:</w:t>
      </w:r>
    </w:p>
    <w:p w:rsidR="00F7624D" w:rsidRDefault="003C5F24">
      <w:pPr>
        <w:widowControl/>
        <w:spacing w:before="120" w:after="120"/>
        <w:ind w:left="1418"/>
        <w:jc w:val="both"/>
        <w:rPr>
          <w:rFonts w:eastAsiaTheme="minorHAnsi"/>
          <w:noProof/>
          <w:szCs w:val="22"/>
          <w:lang w:eastAsia="en-US"/>
        </w:rPr>
      </w:pPr>
      <w:r>
        <w:rPr>
          <w:rFonts w:eastAsiaTheme="minorHAnsi"/>
          <w:szCs w:val="22"/>
          <w:lang w:eastAsia="en-US"/>
        </w:rPr>
        <w:t>i) totožnosť osôb zodpovedných za riadenie činností platobnej inštitúcie súvisiacich s platobnými službami;</w:t>
      </w:r>
    </w:p>
    <w:p w:rsidR="00F7624D" w:rsidRDefault="003C5F24">
      <w:pPr>
        <w:widowControl/>
        <w:spacing w:before="120" w:after="120"/>
        <w:ind w:left="1418"/>
        <w:jc w:val="both"/>
        <w:rPr>
          <w:rFonts w:eastAsiaTheme="minorHAnsi"/>
          <w:noProof/>
          <w:szCs w:val="22"/>
          <w:lang w:eastAsia="en-US"/>
        </w:rPr>
      </w:pPr>
      <w:r>
        <w:rPr>
          <w:rFonts w:eastAsiaTheme="minorHAnsi"/>
          <w:szCs w:val="22"/>
          <w:lang w:eastAsia="en-US"/>
        </w:rPr>
        <w:t>ii) dôkaz o tom, že osoby zodpovedné za riade</w:t>
      </w:r>
      <w:r>
        <w:rPr>
          <w:rFonts w:eastAsiaTheme="minorHAnsi"/>
          <w:szCs w:val="22"/>
          <w:lang w:eastAsia="en-US"/>
        </w:rPr>
        <w:t>nie činností platobnej inštitúcie súvisiacich s platobnými službami majú dobrú povesť a primerané znalosti a skúsenosti na vykonávanie platobných služieb, ako to stanovuje domovský členský štát žiadateľa;</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o)</w:t>
      </w:r>
      <w:r>
        <w:rPr>
          <w:rFonts w:eastAsiaTheme="minorHAnsi"/>
          <w:szCs w:val="22"/>
          <w:lang w:eastAsia="en-US"/>
        </w:rPr>
        <w:tab/>
        <w:t>prípadne totožnosť štatutárnych audítorov a audí</w:t>
      </w:r>
      <w:r>
        <w:rPr>
          <w:rFonts w:eastAsiaTheme="minorHAnsi"/>
          <w:szCs w:val="22"/>
          <w:lang w:eastAsia="en-US"/>
        </w:rPr>
        <w:t>torských spoločností v zmysle vymedzenia v článku 2 bodoch 2 a 3 smernice Európskeho parlamentu a Rady 2006/43/ES</w:t>
      </w:r>
      <w:r>
        <w:rPr>
          <w:rFonts w:eastAsiaTheme="minorHAnsi"/>
          <w:b/>
          <w:i/>
          <w:noProof/>
          <w:szCs w:val="22"/>
          <w:vertAlign w:val="superscript"/>
          <w:lang w:eastAsia="en-US"/>
        </w:rPr>
        <w:footnoteReference w:id="30"/>
      </w:r>
      <w:r>
        <w:rPr>
          <w:rFonts w:eastAsiaTheme="minorHAnsi"/>
          <w:szCs w:val="22"/>
          <w:lang w:eastAsia="en-US"/>
        </w:rPr>
        <w:t>;</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p)</w:t>
      </w:r>
      <w:r>
        <w:rPr>
          <w:rFonts w:eastAsiaTheme="minorHAnsi"/>
          <w:szCs w:val="22"/>
          <w:lang w:eastAsia="en-US"/>
        </w:rPr>
        <w:tab/>
        <w:t>právne postavenie žiadateľa a jeho stanovy;</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q)</w:t>
      </w:r>
      <w:r>
        <w:rPr>
          <w:rFonts w:eastAsiaTheme="minorHAnsi"/>
          <w:szCs w:val="22"/>
          <w:lang w:eastAsia="en-US"/>
        </w:rPr>
        <w:tab/>
        <w:t>adresa sídla žiadateľa;</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r)</w:t>
      </w:r>
      <w:r>
        <w:rPr>
          <w:rFonts w:eastAsiaTheme="minorHAnsi"/>
          <w:szCs w:val="22"/>
          <w:lang w:eastAsia="en-US"/>
        </w:rPr>
        <w:tab/>
        <w:t>prehľad jurisdikcií EÚ, v ktorých žiadateľ predkladá alebo plán</w:t>
      </w:r>
      <w:r>
        <w:rPr>
          <w:rFonts w:eastAsiaTheme="minorHAnsi"/>
          <w:szCs w:val="22"/>
          <w:lang w:eastAsia="en-US"/>
        </w:rPr>
        <w:t>uje predložiť žiadosť o udelenie povolenia na výkon činnosti platobnej inštitúcie;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s)</w:t>
      </w:r>
      <w:r>
        <w:rPr>
          <w:rFonts w:eastAsiaTheme="minorHAnsi"/>
          <w:szCs w:val="22"/>
          <w:lang w:eastAsia="en-US"/>
        </w:rPr>
        <w:tab/>
        <w:t xml:space="preserve">plán likvidácie pre prípad zlyhania, prispôsobený predpokladanej veľkosti a obchodnému modelu žiadateľa. </w:t>
      </w:r>
    </w:p>
    <w:p w:rsidR="00F7624D" w:rsidRDefault="003C5F24">
      <w:pPr>
        <w:ind w:left="720"/>
        <w:jc w:val="both"/>
        <w:rPr>
          <w:noProof/>
        </w:rPr>
      </w:pPr>
      <w:bookmarkStart w:id="23" w:name="_Hlk137561976"/>
      <w:r>
        <w:t>Na účely prvého odseku písm. d), e), f) a l) členské štáty zabez</w:t>
      </w:r>
      <w:r>
        <w:t>pečia, aby žiadateľ poskytol opis svojich opatrení týkajúcich sa auditu a organizačných opatrení, ktoré zaviedol na ochranu záujmov svojich používateľov a zabezpečenie kontinuity a spoľahlivosti pri vykonávaní platobných služieb alebo služieb elektronickýc</w:t>
      </w:r>
      <w:r>
        <w:t>h peňazí.</w:t>
      </w:r>
    </w:p>
    <w:p w:rsidR="00F7624D" w:rsidRDefault="003C5F24">
      <w:pPr>
        <w:ind w:left="720"/>
        <w:jc w:val="both"/>
        <w:rPr>
          <w:noProof/>
        </w:rPr>
      </w:pPr>
      <w:r>
        <w:t xml:space="preserve">V opatreniach bezpečnostnej kontroly a opatreniach na zmiernenie rizika uvedených v prvom odseku písm. j) sa uvádza, ako žiadateľ zabezpečí vysokú úroveň digitálnej prevádzkovej odolnosti, ako sa vyžaduje v kapitole II nariadenia (EÚ) 2022/2554, </w:t>
      </w:r>
      <w:r>
        <w:t>najmä v súvislosti s technickou bezpečnosťou a ochranou údajov, a to aj vo vzťahu k softvéru a systémom IKT, ktoré používajú žiadateľ alebo podniky, ktoré externe zabezpečujú jeho činnosti.</w:t>
      </w:r>
    </w:p>
    <w:bookmarkEnd w:id="23"/>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 xml:space="preserve">Členské štáty ako podmienku na udelene povolenia vyžadujú, aby </w:t>
      </w:r>
      <w:r>
        <w:rPr>
          <w:rFonts w:eastAsiaTheme="minorHAnsi"/>
          <w:szCs w:val="22"/>
          <w:lang w:eastAsia="en-US"/>
        </w:rPr>
        <w:t>podniky, ktoré žiadajú o udelenie povolenia na poskytovanie platobných služieb, ako sa uvádza v prílohe I bode 6, mali poistenie zodpovednosti za škodu spôsobenú pri výkone činnosti vzťahujúce sa na územia, na ktorých ponúkajú služby, alebo aby mali nejakú</w:t>
      </w:r>
      <w:r>
        <w:rPr>
          <w:rFonts w:eastAsiaTheme="minorHAnsi"/>
          <w:szCs w:val="22"/>
          <w:lang w:eastAsia="en-US"/>
        </w:rPr>
        <w:t xml:space="preserve"> inú porovnateľnú záruku zodpovednosti</w:t>
      </w:r>
      <w:r>
        <w:rPr>
          <w:rFonts w:eastAsiaTheme="minorHAnsi"/>
          <w:b/>
          <w:i/>
          <w:szCs w:val="22"/>
          <w:lang w:eastAsia="en-US"/>
        </w:rPr>
        <w:t xml:space="preserve">, ktorá môže – len v počiatočnom období </w:t>
      </w:r>
      <w:r>
        <w:rPr>
          <w:rFonts w:eastAsiaTheme="minorHAnsi"/>
          <w:b/>
          <w:i/>
          <w:szCs w:val="22"/>
          <w:lang w:eastAsia="en-US"/>
        </w:rPr>
        <w:lastRenderedPageBreak/>
        <w:t>povolenia – zahŕňať počiatočný kapitál vo výške najmenej 50 000 EUR</w:t>
      </w:r>
      <w:r>
        <w:rPr>
          <w:rFonts w:eastAsiaTheme="minorHAnsi"/>
          <w:szCs w:val="22"/>
          <w:lang w:eastAsia="en-US"/>
        </w:rPr>
        <w:t>, s cieľom zabezpečiť, aby:</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dokázali kryť svoje záväzky, ako sa stanovuje v článkoch 56, 57, 59, 76 a 78 nar</w:t>
      </w:r>
      <w:r>
        <w:rPr>
          <w:rFonts w:eastAsiaTheme="minorHAnsi"/>
          <w:szCs w:val="22"/>
          <w:lang w:eastAsia="en-US"/>
        </w:rPr>
        <w:t>iadenia XXX [nariadenie o platobných službách];</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 xml:space="preserve">kryli hodnotu akéhokoľvek </w:t>
      </w:r>
      <w:proofErr w:type="spellStart"/>
      <w:r>
        <w:rPr>
          <w:rFonts w:eastAsiaTheme="minorHAnsi"/>
          <w:szCs w:val="22"/>
          <w:lang w:eastAsia="en-US"/>
        </w:rPr>
        <w:t>nadmerku</w:t>
      </w:r>
      <w:proofErr w:type="spellEnd"/>
      <w:r>
        <w:rPr>
          <w:rFonts w:eastAsiaTheme="minorHAnsi"/>
          <w:szCs w:val="22"/>
          <w:lang w:eastAsia="en-US"/>
        </w:rPr>
        <w:t>, prahovej hodnoty alebo spoluúčasti vyplývajúcich z poistného krytia alebo porovnateľnej záruky;</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r>
      <w:r>
        <w:rPr>
          <w:rFonts w:eastAsiaTheme="minorHAnsi"/>
          <w:szCs w:val="22"/>
          <w:lang w:eastAsia="en-US"/>
        </w:rPr>
        <w:t xml:space="preserve">priebežne monitorujú krytie v rámci poistenia alebo porovnateľnej záruky. </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5.</w:t>
      </w:r>
      <w:r>
        <w:rPr>
          <w:rFonts w:eastAsiaTheme="minorHAnsi"/>
          <w:szCs w:val="22"/>
          <w:lang w:eastAsia="en-US"/>
        </w:rPr>
        <w:tab/>
        <w:t>Orgán EBA vypracuje návrh regulačných technických predpisov, v ktorom sa stanovia:</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ab/>
        <w:t>informácie, ktoré sa majú poskytnúť príslušným orgánom v žiadosti o udelenie povolenia plato</w:t>
      </w:r>
      <w:r>
        <w:rPr>
          <w:rFonts w:eastAsiaTheme="minorHAnsi"/>
          <w:szCs w:val="22"/>
          <w:lang w:eastAsia="en-US"/>
        </w:rPr>
        <w:t xml:space="preserve">bným inštitúciám, vrátane požiadaviek stanovených v odseku 3 písm. a), b), c), e) a g) až k) a r); </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spoločná metodika posudzovania na účely udelenia povolenia na výkon činnosti platobnej inštitúcie alebo registrácie ako poskytovateľa služieb informovani</w:t>
      </w:r>
      <w:r>
        <w:rPr>
          <w:rFonts w:eastAsiaTheme="minorHAnsi"/>
          <w:szCs w:val="22"/>
          <w:lang w:eastAsia="en-US"/>
        </w:rPr>
        <w:t>a o účte alebo prevádzkovateľa bankomatov podľa tejto smernice;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 xml:space="preserve">čo je porovnateľná záruka, ako sa uvádza v odseku 4 prvom </w:t>
      </w:r>
      <w:proofErr w:type="spellStart"/>
      <w:r>
        <w:rPr>
          <w:rFonts w:eastAsiaTheme="minorHAnsi"/>
          <w:szCs w:val="22"/>
          <w:lang w:eastAsia="en-US"/>
        </w:rPr>
        <w:t>pododseku</w:t>
      </w:r>
      <w:proofErr w:type="spellEnd"/>
      <w:r>
        <w:rPr>
          <w:rFonts w:eastAsiaTheme="minorHAnsi"/>
          <w:szCs w:val="22"/>
          <w:lang w:eastAsia="en-US"/>
        </w:rPr>
        <w:t>, ktorá by mala byť vzájomne zameniteľná s poistením zodpovednosti za škodu spôsobenú pri výkone činnosti;</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d)</w:t>
      </w:r>
      <w:r>
        <w:rPr>
          <w:rFonts w:eastAsiaTheme="minorHAnsi"/>
          <w:szCs w:val="22"/>
          <w:lang w:eastAsia="en-US"/>
        </w:rPr>
        <w:tab/>
        <w:t>kritériá, ak</w:t>
      </w:r>
      <w:r>
        <w:rPr>
          <w:rFonts w:eastAsiaTheme="minorHAnsi"/>
          <w:szCs w:val="22"/>
          <w:lang w:eastAsia="en-US"/>
        </w:rPr>
        <w:t>o stanoviť minimálnu peňažnú sumu poistenia zodpovednosti za škodu spôsobenú pri výkone činnosti alebo inej porovnateľnej záruky, ako sa uvádza v odseku 4.</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6.</w:t>
      </w:r>
      <w:r>
        <w:rPr>
          <w:rFonts w:eastAsiaTheme="minorHAnsi"/>
          <w:szCs w:val="22"/>
          <w:lang w:eastAsia="en-US"/>
        </w:rPr>
        <w:tab/>
        <w:t>Orgán EBA pri vypracúvaní návrhu týchto regulačných technických predpisov uvedených v odseku 5 zo</w:t>
      </w:r>
      <w:r>
        <w:rPr>
          <w:rFonts w:eastAsiaTheme="minorHAnsi"/>
          <w:szCs w:val="22"/>
          <w:lang w:eastAsia="en-US"/>
        </w:rPr>
        <w:t>hľadňuje tieto skutočnosti:</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 xml:space="preserve">rizikový profil podniku; </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 xml:space="preserve">či podnik poskytuje iné platobné služby, ako sa uvádza v prílohe I, alebo či vykonáva iné podnikateľské činnosti; </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 xml:space="preserve">rozsah činností podniku; </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d)</w:t>
      </w:r>
      <w:r>
        <w:rPr>
          <w:rFonts w:eastAsiaTheme="minorHAnsi"/>
          <w:szCs w:val="22"/>
          <w:lang w:eastAsia="en-US"/>
        </w:rPr>
        <w:tab/>
        <w:t xml:space="preserve">osobitné vlastnosti porovnateľných záruk, ako sa </w:t>
      </w:r>
      <w:r>
        <w:rPr>
          <w:rFonts w:eastAsiaTheme="minorHAnsi"/>
          <w:szCs w:val="22"/>
          <w:lang w:eastAsia="en-US"/>
        </w:rPr>
        <w:t>uvádza v odseku 4, a kritériá na ich vykonávanie.</w:t>
      </w:r>
    </w:p>
    <w:p w:rsidR="00F7624D" w:rsidRDefault="003C5F24">
      <w:pPr>
        <w:ind w:left="720"/>
        <w:rPr>
          <w:noProof/>
        </w:rPr>
      </w:pPr>
      <w:r>
        <w:t>Orgán EBA predloží tento návrh regulačných technických predpisov uvedený v odseku 5 Komisii do [OP: doplňte dátum = jeden rok od dátumu nadobudnutia účinnosti tejto smernice].</w:t>
      </w:r>
    </w:p>
    <w:p w:rsidR="00F7624D" w:rsidRDefault="003C5F24">
      <w:pPr>
        <w:ind w:left="720"/>
        <w:rPr>
          <w:noProof/>
        </w:rPr>
      </w:pPr>
      <w:r>
        <w:t>Na Komisiu sa deleguje právomo</w:t>
      </w:r>
      <w:r>
        <w:t>c prijať regulačné technické predpisy v súlade s článkami 10 až 14 nariadenia (EÚ) č. 1093/2010</w:t>
      </w:r>
      <w:r>
        <w:rPr>
          <w:b/>
          <w:i/>
        </w:rPr>
        <w:t>.</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4</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Kontrola podielov</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 xml:space="preserve">Každá fyzická alebo právnická osoba, ktorá prijala rozhodnutie priamo alebo nepriamo nadobudnúť alebo ďalej zvýšiť kvalifikovanú </w:t>
      </w:r>
      <w:r>
        <w:rPr>
          <w:rFonts w:eastAsiaTheme="minorHAnsi"/>
          <w:szCs w:val="22"/>
          <w:lang w:eastAsia="en-US"/>
        </w:rPr>
        <w:t>účasť v zmysle článku 4 ods. 1 bodu 36 nariadenia (EÚ) č. 575/2013 v platobnej inštitúcii, v dôsledku čoho by podiel na držanom základnom imaní alebo na hlasovacích právach dosiahol alebo presiahol 20 %, 30 % alebo 50 %, alebo v dôsledku čoho by sa platobn</w:t>
      </w:r>
      <w:r>
        <w:rPr>
          <w:rFonts w:eastAsiaTheme="minorHAnsi"/>
          <w:szCs w:val="22"/>
          <w:lang w:eastAsia="en-US"/>
        </w:rPr>
        <w:t xml:space="preserve">á inštitúcia stala dcérskou </w:t>
      </w:r>
      <w:r>
        <w:rPr>
          <w:rFonts w:eastAsiaTheme="minorHAnsi"/>
          <w:szCs w:val="22"/>
          <w:lang w:eastAsia="en-US"/>
        </w:rPr>
        <w:lastRenderedPageBreak/>
        <w:t xml:space="preserve">spoločnosťou tejto fyzickej alebo právnickej osoby, písomne vopred informuje príslušné orgány tejto platobnej inštitúcie o svojom zámere. To isté sa vzťahuje na akúkoľvek fyzickú alebo právnickú osobu, ktorá prijala rozhodnutie </w:t>
      </w:r>
      <w:r>
        <w:rPr>
          <w:rFonts w:eastAsiaTheme="minorHAnsi"/>
          <w:szCs w:val="22"/>
          <w:lang w:eastAsia="en-US"/>
        </w:rPr>
        <w:t xml:space="preserve">priamo alebo nepriamo scudziť alebo znížiť kvalifikovanú účasť tak, že by sa podiel na držanom základnom imaní alebo na hlasovacích právach znížil pod 20 %, 30 % alebo 50 %, alebo že by platobná inštitúcia prestala byť dcérskou spoločnosťou tejto fyzickej </w:t>
      </w:r>
      <w:r>
        <w:rPr>
          <w:rFonts w:eastAsiaTheme="minorHAnsi"/>
          <w:szCs w:val="22"/>
          <w:lang w:eastAsia="en-US"/>
        </w:rPr>
        <w:t>alebo právnickej osoby.</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Navrhovaný nadobúdateľ kvalifikovanej účasti v platobnej inštitúcii informuje príslušný orgán o veľkosti zamýšľanej účasti a relevantných potrebných informáciách, ako sa uvádza v článku 23 ods. 4 smernice 2013/36/EÚ.</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Členské š</w:t>
      </w:r>
      <w:r>
        <w:rPr>
          <w:rFonts w:eastAsiaTheme="minorHAnsi"/>
          <w:szCs w:val="22"/>
          <w:lang w:eastAsia="en-US"/>
        </w:rPr>
        <w:t>táty vyžadujú, aby v prípade, že vplyv, ktorý uplatňuje navrhovaný nadobúdateľ, ako sa uvádza v odseku 1, pravdepodobne bude mať negatívny dosah na obozretné a spoľahlivé riadenie platobnej inštitúcie, príslušné orgány vyjadrili svoj nesúhlas alebo prijali</w:t>
      </w:r>
      <w:r>
        <w:rPr>
          <w:rFonts w:eastAsiaTheme="minorHAnsi"/>
          <w:szCs w:val="22"/>
          <w:lang w:eastAsia="en-US"/>
        </w:rPr>
        <w:t xml:space="preserve"> iné primerané opatrenia na ukončenie tohto stavu. Takéto opatrenia môžu zahŕňať zákazy, sankcie voči členom predstavenstva alebo osobám zodpovedným za riadenie dotknutej platobnej inštitúcie, alebo pozastavenie výkonu hlasovacích práv spojených s podielmi</w:t>
      </w:r>
      <w:r>
        <w:rPr>
          <w:rFonts w:eastAsiaTheme="minorHAnsi"/>
          <w:szCs w:val="22"/>
          <w:lang w:eastAsia="en-US"/>
        </w:rPr>
        <w:t xml:space="preserve"> v držbe akcionárov alebo členov predstavenstva tejto platobnej inštitúcie.</w:t>
      </w:r>
    </w:p>
    <w:p w:rsidR="00F7624D" w:rsidRDefault="003C5F24">
      <w:pPr>
        <w:tabs>
          <w:tab w:val="left" w:pos="567"/>
        </w:tabs>
        <w:ind w:left="850"/>
        <w:rPr>
          <w:noProof/>
        </w:rPr>
      </w:pPr>
      <w:r>
        <w:t>Podobné opatrenia sa vzťahujú na fyzické alebo právnické osoby, ktoré nesplnia povinnosť vopred poskytnúť informácie, ako sa stanovuje v odseku 2.</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Ak je účasť, ako sa uvádza v o</w:t>
      </w:r>
      <w:r>
        <w:rPr>
          <w:rFonts w:eastAsiaTheme="minorHAnsi"/>
          <w:szCs w:val="22"/>
          <w:lang w:eastAsia="en-US"/>
        </w:rPr>
        <w:t>dseku 1, nadobudnutá napriek nesúhlasu príslušných orgánov, členské štáty bez ohľadu na akúkoľvek inú sankciu, ktorá sa má prijať, zabezpečia pozastavenie výkonu zodpovedajúcich hlasovacích práv, neplatnosť odovzdaných hlasov alebo možnosť anulovania týcht</w:t>
      </w:r>
      <w:r>
        <w:rPr>
          <w:rFonts w:eastAsiaTheme="minorHAnsi"/>
          <w:szCs w:val="22"/>
          <w:lang w:eastAsia="en-US"/>
        </w:rPr>
        <w:t>o hlasov.</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5</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Počiatočný kapitál</w:t>
      </w:r>
    </w:p>
    <w:p w:rsidR="00F7624D" w:rsidRDefault="003C5F24">
      <w:pPr>
        <w:rPr>
          <w:noProof/>
        </w:rPr>
      </w:pPr>
      <w:r>
        <w:t>Členské štáty vyžadujú, aby platobné inštitúcie mali v čase udelenia povolenia počiatočný kapitál zahŕňajúci jednu alebo viacero položiek uvedených v článku 26 ods. 1 písm. a) až e) nariadenia (EÚ) č. 575/2013 takto:</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ak platobná inštitúcia poskytuje iba platobnú službu uvedenú v prílohe I bode 5, jej kapitál nesmie byť v žiadnom okamihu nižší ako 25 000 EUR;</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ak platobná inštitúcia poskytuje platobnú službu uvedenú v prílohe I bode 6, jej kapitál nesmie byť v žiad</w:t>
      </w:r>
      <w:r>
        <w:rPr>
          <w:rFonts w:eastAsiaTheme="minorHAnsi"/>
          <w:szCs w:val="22"/>
          <w:lang w:eastAsia="en-US"/>
        </w:rPr>
        <w:t>nom okamihu nižší ako 50 000 EUR;</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ak platobná inštitúcia poskytuje niektorú z platobných služieb uvedených v prílohe I bodoch 1 až 4, jej kapitál nesmie byť v žiadnom okamihu nižší ako 150 000 EUR;</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d)</w:t>
      </w:r>
      <w:r>
        <w:rPr>
          <w:rFonts w:eastAsiaTheme="minorHAnsi"/>
          <w:szCs w:val="22"/>
          <w:lang w:eastAsia="en-US"/>
        </w:rPr>
        <w:tab/>
        <w:t>ak platobná inštitúcia poskytuje služby elektronický</w:t>
      </w:r>
      <w:r>
        <w:rPr>
          <w:rFonts w:eastAsiaTheme="minorHAnsi"/>
          <w:szCs w:val="22"/>
          <w:lang w:eastAsia="en-US"/>
        </w:rPr>
        <w:t>ch peňazí, jej kapitál nesmie byť v žiadnom okamihu nižší ako</w:t>
      </w:r>
      <w:r>
        <w:rPr>
          <w:rFonts w:eastAsiaTheme="minorHAnsi"/>
          <w:b/>
          <w:i/>
          <w:szCs w:val="22"/>
          <w:lang w:eastAsia="en-US"/>
        </w:rPr>
        <w:t xml:space="preserve"> 350 000 EUR</w:t>
      </w:r>
      <w:r>
        <w:rPr>
          <w:rFonts w:eastAsiaTheme="minorHAnsi"/>
          <w:szCs w:val="22"/>
          <w:lang w:eastAsia="en-US"/>
        </w:rPr>
        <w:t>.</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lastRenderedPageBreak/>
        <w:t>Článok 6</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Vlastné zdroje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 xml:space="preserve">Členské štáty vyžadujú, aby vlastné zdroje platobnej inštitúcie neklesli pod sumu počiatočného kapitálu uvedenú v článku 5 alebo sumu vlastných zdrojov </w:t>
      </w:r>
      <w:r>
        <w:rPr>
          <w:rFonts w:eastAsiaTheme="minorHAnsi"/>
          <w:szCs w:val="22"/>
          <w:lang w:eastAsia="en-US"/>
        </w:rPr>
        <w:t>vypočítanú buď v súlade s článkom 7 v prípade platobných inštitúcií, ktoré neponúkajú služby elektronických peňazí, alebo vypočítanú v súlade s článkom 8 v prípade platobných inštitúcií, ktoré ponúkajú služby elektronických peňazí, podľa toho, ktorá je naj</w:t>
      </w:r>
      <w:r>
        <w:rPr>
          <w:rFonts w:eastAsiaTheme="minorHAnsi"/>
          <w:szCs w:val="22"/>
          <w:lang w:eastAsia="en-US"/>
        </w:rPr>
        <w:t>vyššia.</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 xml:space="preserve">Členské štáty prijmú potrebné opatrenia, aby sa zabránilo viacnásobnému uplatneniu prvkov oprávnených ako vlastné zdroje v prípadoch, keď platobná inštitúcia patrí do tej istej skupiny ako iná platobná inštitúcia, úverová inštitúcia, investičná </w:t>
      </w:r>
      <w:r>
        <w:rPr>
          <w:rFonts w:eastAsiaTheme="minorHAnsi"/>
          <w:szCs w:val="22"/>
          <w:lang w:eastAsia="en-US"/>
        </w:rPr>
        <w:t>spoločnosť, správcovská spoločnosť alebo poisťovňa. To isté sa uplatňuje aj vtedy, ak má platobná inštitúcia hybridnú povahu a vykonáva činnosti iné než poskytovanie platobných služieb alebo služieb elektronických peňazí.</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Ak sú splnené podmienky stanove</w:t>
      </w:r>
      <w:r>
        <w:rPr>
          <w:rFonts w:eastAsiaTheme="minorHAnsi"/>
          <w:szCs w:val="22"/>
          <w:lang w:eastAsia="en-US"/>
        </w:rPr>
        <w:t>né v článku 7 nariadenia (EÚ) č. 575/2013, členské štáty alebo ich príslušné orgány sa môžu podľa potreby rozhodnúť neuplatňovať článok 7 alebo 8 tejto smernice na platobné inštitúcie, ktoré sú zahrnuté do konsolidovaného dohľadu nad materskou úverovou inš</w:t>
      </w:r>
      <w:r>
        <w:rPr>
          <w:rFonts w:eastAsiaTheme="minorHAnsi"/>
          <w:szCs w:val="22"/>
          <w:lang w:eastAsia="en-US"/>
        </w:rPr>
        <w:t>titúciou podľa smernice 2013/36/EÚ.</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7</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Výpočet vlastných zdrojov v prípade platobných inštitúcií, ktoré neponúkajú služby elektronických peňazí</w:t>
      </w:r>
    </w:p>
    <w:p w:rsidR="00F7624D" w:rsidRDefault="003C5F24">
      <w:pPr>
        <w:widowControl/>
        <w:spacing w:before="120" w:after="120"/>
        <w:ind w:left="850" w:hanging="850"/>
        <w:jc w:val="both"/>
        <w:rPr>
          <w:rFonts w:eastAsiaTheme="minorHAnsi"/>
          <w:noProof/>
          <w:szCs w:val="22"/>
          <w:lang w:eastAsia="en-US"/>
        </w:rPr>
      </w:pPr>
      <w:bookmarkStart w:id="24" w:name="_Hlk127969288"/>
      <w:r>
        <w:rPr>
          <w:rFonts w:eastAsiaTheme="minorHAnsi"/>
          <w:szCs w:val="22"/>
          <w:lang w:eastAsia="en-US"/>
        </w:rPr>
        <w:t>1.</w:t>
      </w:r>
      <w:r>
        <w:rPr>
          <w:rFonts w:eastAsiaTheme="minorHAnsi"/>
          <w:szCs w:val="22"/>
          <w:lang w:eastAsia="en-US"/>
        </w:rPr>
        <w:tab/>
        <w:t>Členské štáty bez ohľadu na požiadavky na počiatočný kapitál stanovené v článku 5 vyžadujú, aby platobn</w:t>
      </w:r>
      <w:r>
        <w:rPr>
          <w:rFonts w:eastAsiaTheme="minorHAnsi"/>
          <w:szCs w:val="22"/>
          <w:lang w:eastAsia="en-US"/>
        </w:rPr>
        <w:t xml:space="preserve">é inštitúcie, ktoré nie sú platobnými inštitúciami, ktoré buď ponúkajú len platobné iniciačné služby, ako sa uvádza v prílohe I bode 6, alebo ponúkajú len služby informovania o účte, ako sa uvádza v prílohe I bode 7, alebo obe tieto služby, a ktoré nie sú </w:t>
      </w:r>
      <w:r>
        <w:rPr>
          <w:rFonts w:eastAsiaTheme="minorHAnsi"/>
          <w:szCs w:val="22"/>
          <w:lang w:eastAsia="en-US"/>
        </w:rPr>
        <w:t xml:space="preserve">platobnými inštitúciami, ktoré ponúkajú služby elektronických peňazí, mali nepretržite v držbe vlastné zdroje vypočítané v súlade s odsekom 2. </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Príslušné orgány vyžadujú, aby platobné inštitúcie štandardne uplatňovali metódu B, ako sa stanovuje v písmen</w:t>
      </w:r>
      <w:r>
        <w:rPr>
          <w:rFonts w:eastAsiaTheme="minorHAnsi"/>
          <w:szCs w:val="22"/>
          <w:lang w:eastAsia="en-US"/>
        </w:rPr>
        <w:t>e b) ďalej v texte. Príslušné orgány však môžu rozhodnúť, že platobné inštitúcie musia vzhľadom na svoj špecifický obchodný model – najmä ak vykonávajú len malý počet transakcií, ale s vysokou jednotlivou hodnotou – uplatňovať skôr metódu A alebo C. Na úče</w:t>
      </w:r>
      <w:r>
        <w:rPr>
          <w:rFonts w:eastAsiaTheme="minorHAnsi"/>
          <w:szCs w:val="22"/>
          <w:lang w:eastAsia="en-US"/>
        </w:rPr>
        <w:t xml:space="preserve">ly metód A, B a C sa má predchádzajúci rok chápať ako plné dvanásťmesačné obdobie pred okamihom výpočtu. </w:t>
      </w:r>
    </w:p>
    <w:bookmarkEnd w:id="24"/>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Metóda A</w:t>
      </w:r>
    </w:p>
    <w:p w:rsidR="00F7624D" w:rsidRDefault="003C5F24">
      <w:pPr>
        <w:ind w:left="1417"/>
        <w:jc w:val="both"/>
        <w:rPr>
          <w:noProof/>
        </w:rPr>
      </w:pPr>
      <w:r>
        <w:t>Vlastné zdroje platobnej inštitúcie predstavujú sumu, ktorá sa rovná najmenej 10 % jej fixných režijných nákladov za predchádzajúci rok. V</w:t>
      </w:r>
      <w:r>
        <w:t xml:space="preserve"> prípade, že od predchádzajúceho roku nastala podstatná zmena podnikateľskej činnosti platobnej inštitúcie, príslušné orgány môžu túto požiadavku upraviť. Ak platobná inštitúcia k dátumu výpočtu nemá za sebou úplný rok podnikania, vlastné zdroje platobnej </w:t>
      </w:r>
      <w:r>
        <w:t>inštitúcie predstavujú aspoň 10 % zodpovedajúcich fixných režijných nákladov predpokladaných v jej podnikateľskom pláne, pokiaľ príslušné orgány nepožadovali úpravu uvedeného plánu.</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lastRenderedPageBreak/>
        <w:t>b)</w:t>
      </w:r>
      <w:r>
        <w:rPr>
          <w:rFonts w:eastAsiaTheme="minorHAnsi"/>
          <w:szCs w:val="22"/>
          <w:lang w:eastAsia="en-US"/>
        </w:rPr>
        <w:tab/>
        <w:t>Metóda B</w:t>
      </w:r>
    </w:p>
    <w:p w:rsidR="00F7624D" w:rsidRDefault="003C5F24">
      <w:pPr>
        <w:ind w:left="1417"/>
        <w:jc w:val="both"/>
        <w:rPr>
          <w:noProof/>
        </w:rPr>
      </w:pPr>
      <w:r>
        <w:t>Vlastné zdroje platobnej inštitúcie predstavujú sumu, ktorá sa</w:t>
      </w:r>
      <w:r>
        <w:t xml:space="preserve"> rovná aspoň súčtu týchto položiek vynásobených koeficientom veľkosti k uvedeným v odseku 3, pričom objem platieb predstavuje jednu dvanástinu celkovej sumy platobných transakcií, ktoré platobná inštitúcia vykonala v predchádzajúcom roku:</w:t>
      </w:r>
    </w:p>
    <w:p w:rsidR="00F7624D" w:rsidRDefault="003C5F24">
      <w:pPr>
        <w:ind w:left="697" w:firstLine="720"/>
        <w:rPr>
          <w:noProof/>
        </w:rPr>
      </w:pPr>
      <w:r>
        <w:t xml:space="preserve">i) 4,0 % z časti </w:t>
      </w:r>
      <w:r>
        <w:t>objemu platieb až do výšky 5 miliónov EUR;</w:t>
      </w:r>
    </w:p>
    <w:p w:rsidR="00F7624D" w:rsidRDefault="003C5F24">
      <w:pPr>
        <w:ind w:left="697" w:firstLine="720"/>
        <w:rPr>
          <w:noProof/>
        </w:rPr>
      </w:pPr>
      <w:r>
        <w:t>plus</w:t>
      </w:r>
    </w:p>
    <w:p w:rsidR="00F7624D" w:rsidRDefault="003C5F24">
      <w:pPr>
        <w:ind w:left="697" w:firstLine="720"/>
        <w:rPr>
          <w:noProof/>
        </w:rPr>
      </w:pPr>
      <w:r>
        <w:t>ii) 2,5 % z časti objemu platieb nad 5 miliónov EUR až do výšky 10 miliónov EUR;</w:t>
      </w:r>
    </w:p>
    <w:p w:rsidR="00F7624D" w:rsidRDefault="003C5F24">
      <w:pPr>
        <w:ind w:left="697" w:firstLine="720"/>
        <w:rPr>
          <w:noProof/>
        </w:rPr>
      </w:pPr>
      <w:r>
        <w:t>plus</w:t>
      </w:r>
    </w:p>
    <w:p w:rsidR="00F7624D" w:rsidRDefault="003C5F24">
      <w:pPr>
        <w:ind w:left="697" w:firstLine="720"/>
        <w:rPr>
          <w:noProof/>
        </w:rPr>
      </w:pPr>
      <w:r>
        <w:t>iii) 1 % z časti objemu platieb nad 10 miliónov EUR až do výšky 100 miliónov EUR;</w:t>
      </w:r>
    </w:p>
    <w:p w:rsidR="00F7624D" w:rsidRDefault="003C5F24">
      <w:pPr>
        <w:ind w:left="697" w:firstLine="720"/>
        <w:rPr>
          <w:noProof/>
        </w:rPr>
      </w:pPr>
      <w:r>
        <w:t>plus</w:t>
      </w:r>
    </w:p>
    <w:p w:rsidR="00F7624D" w:rsidRDefault="003C5F24">
      <w:pPr>
        <w:ind w:left="697" w:firstLine="720"/>
        <w:rPr>
          <w:noProof/>
        </w:rPr>
      </w:pPr>
      <w:r>
        <w:t xml:space="preserve">iv) 0,5 % z časti OP nad 100 </w:t>
      </w:r>
      <w:r>
        <w:t>miliónov EUR až do výšky 250 miliónov EUR;</w:t>
      </w:r>
    </w:p>
    <w:p w:rsidR="00F7624D" w:rsidRDefault="003C5F24">
      <w:pPr>
        <w:ind w:left="697" w:firstLine="720"/>
        <w:rPr>
          <w:noProof/>
        </w:rPr>
      </w:pPr>
      <w:r>
        <w:t>plus</w:t>
      </w:r>
    </w:p>
    <w:p w:rsidR="00F7624D" w:rsidRDefault="003C5F24">
      <w:pPr>
        <w:ind w:left="697" w:firstLine="720"/>
        <w:rPr>
          <w:noProof/>
        </w:rPr>
      </w:pPr>
      <w:r>
        <w:t>v) 0,25 % z časti objemu platieb nad 250 miliónov EUR.</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Metóda C</w:t>
      </w:r>
    </w:p>
    <w:p w:rsidR="00F7624D" w:rsidRDefault="003C5F24">
      <w:pPr>
        <w:ind w:left="1417"/>
        <w:jc w:val="both"/>
        <w:rPr>
          <w:noProof/>
        </w:rPr>
      </w:pPr>
      <w:r>
        <w:t xml:space="preserve">Vlastné zdroje platobnej inštitúcie predstavujú sumu, ktorá sa rovná aspoň príslušnému ukazovateľu uvedenému v bode i), vynásobenú </w:t>
      </w:r>
      <w:proofErr w:type="spellStart"/>
      <w:r>
        <w:t>multiplika</w:t>
      </w:r>
      <w:r>
        <w:t>čným</w:t>
      </w:r>
      <w:proofErr w:type="spellEnd"/>
      <w:r>
        <w:t xml:space="preserve"> faktorom uvedeným v bode ii) a koeficientom veľkosti k uvedeným v odseku 3.</w:t>
      </w:r>
    </w:p>
    <w:p w:rsidR="00F7624D" w:rsidRDefault="003C5F24">
      <w:pPr>
        <w:widowControl/>
        <w:spacing w:before="120" w:after="120"/>
        <w:ind w:left="1418"/>
        <w:jc w:val="both"/>
        <w:rPr>
          <w:rFonts w:eastAsiaTheme="minorHAnsi"/>
          <w:noProof/>
          <w:szCs w:val="22"/>
          <w:lang w:eastAsia="en-US"/>
        </w:rPr>
      </w:pPr>
      <w:r>
        <w:rPr>
          <w:rFonts w:eastAsiaTheme="minorHAnsi"/>
          <w:szCs w:val="22"/>
          <w:lang w:eastAsia="en-US"/>
        </w:rPr>
        <w:t>i) Príslušný ukazovateľ je súčtom:</w:t>
      </w:r>
    </w:p>
    <w:p w:rsidR="00F7624D" w:rsidRDefault="003C5F24">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1.</w:t>
      </w:r>
      <w:r>
        <w:rPr>
          <w:rFonts w:eastAsiaTheme="minorHAnsi"/>
          <w:szCs w:val="22"/>
          <w:lang w:eastAsia="en-US"/>
        </w:rPr>
        <w:tab/>
        <w:t>úrokových príjmov;</w:t>
      </w:r>
    </w:p>
    <w:p w:rsidR="00F7624D" w:rsidRDefault="003C5F24">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2.</w:t>
      </w:r>
      <w:r>
        <w:rPr>
          <w:rFonts w:eastAsiaTheme="minorHAnsi"/>
          <w:szCs w:val="22"/>
          <w:lang w:eastAsia="en-US"/>
        </w:rPr>
        <w:tab/>
        <w:t>úrokových nákladov;</w:t>
      </w:r>
    </w:p>
    <w:p w:rsidR="00F7624D" w:rsidRDefault="003C5F24">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3.</w:t>
      </w:r>
      <w:r>
        <w:rPr>
          <w:rFonts w:eastAsiaTheme="minorHAnsi"/>
          <w:szCs w:val="22"/>
          <w:lang w:eastAsia="en-US"/>
        </w:rPr>
        <w:tab/>
        <w:t>prijatých provízií a poplatkov a</w:t>
      </w:r>
    </w:p>
    <w:p w:rsidR="00F7624D" w:rsidRDefault="003C5F24">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4.</w:t>
      </w:r>
      <w:r>
        <w:rPr>
          <w:rFonts w:eastAsiaTheme="minorHAnsi"/>
          <w:szCs w:val="22"/>
          <w:lang w:eastAsia="en-US"/>
        </w:rPr>
        <w:tab/>
        <w:t>ostatného prevádzkového príjmu.</w:t>
      </w:r>
    </w:p>
    <w:p w:rsidR="00F7624D" w:rsidRDefault="003C5F24">
      <w:pPr>
        <w:ind w:left="1440"/>
        <w:jc w:val="both"/>
        <w:rPr>
          <w:noProof/>
        </w:rPr>
      </w:pPr>
      <w:r>
        <w:t>Každá položka sa zahrnie</w:t>
      </w:r>
      <w:r>
        <w:t xml:space="preserve"> do súčtu so svojím kladným alebo záporným znamienkom. Mimoriadne alebo nepravidelné výnosy sa pri výpočte príslušného ukazovateľa nepoužijú. Výdavkami na externé zabezpečovanie služieb poskytovaných tretími stranami sa môže znížiť príslušný ukazovateľ, ak</w:t>
      </w:r>
      <w:r>
        <w:t xml:space="preserve"> takéto výdavky znáša podnik, ktorý podlieha dohľadu podľa tejto smernice. Príslušný ukazovateľ sa vypočítava na základe výsledkov posledných dvanástich mesiacov na konci predchádzajúceho finančného roka. Príslušný ukazovateľ sa vypočítava za uplynulý fina</w:t>
      </w:r>
      <w:r>
        <w:t xml:space="preserve">nčný rok. </w:t>
      </w:r>
    </w:p>
    <w:p w:rsidR="00F7624D" w:rsidRDefault="003C5F24">
      <w:pPr>
        <w:ind w:left="1440"/>
        <w:jc w:val="both"/>
        <w:rPr>
          <w:noProof/>
        </w:rPr>
      </w:pPr>
      <w:r>
        <w:t>Vlastné zdroje vypočítané podľa metódy C nesmú klesnúť pod 80 % priemernej hodnoty príslušného ukazovateľa za posledné tri finančné roky. Ak nie sú k dispozícii údaje overené audítorom, môžu sa použiť odhadované obchodné údaje.</w:t>
      </w:r>
    </w:p>
    <w:p w:rsidR="00F7624D" w:rsidRDefault="003C5F24">
      <w:pPr>
        <w:widowControl/>
        <w:spacing w:before="120" w:after="120"/>
        <w:ind w:left="1418"/>
        <w:jc w:val="both"/>
        <w:rPr>
          <w:rFonts w:eastAsiaTheme="minorHAnsi"/>
          <w:noProof/>
          <w:szCs w:val="22"/>
          <w:lang w:eastAsia="en-US"/>
        </w:rPr>
      </w:pPr>
      <w:r>
        <w:rPr>
          <w:rFonts w:eastAsiaTheme="minorHAnsi"/>
          <w:szCs w:val="22"/>
          <w:lang w:eastAsia="en-US"/>
        </w:rPr>
        <w:t xml:space="preserve">ii) </w:t>
      </w:r>
      <w:proofErr w:type="spellStart"/>
      <w:r>
        <w:rPr>
          <w:rFonts w:eastAsiaTheme="minorHAnsi"/>
          <w:szCs w:val="22"/>
          <w:lang w:eastAsia="en-US"/>
        </w:rPr>
        <w:t>Multiplikačný</w:t>
      </w:r>
      <w:proofErr w:type="spellEnd"/>
      <w:r>
        <w:rPr>
          <w:rFonts w:eastAsiaTheme="minorHAnsi"/>
          <w:szCs w:val="22"/>
          <w:lang w:eastAsia="en-US"/>
        </w:rPr>
        <w:t xml:space="preserve"> faktor je:</w:t>
      </w:r>
    </w:p>
    <w:p w:rsidR="00F7624D" w:rsidRDefault="003C5F24">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1.</w:t>
      </w:r>
      <w:r>
        <w:rPr>
          <w:rFonts w:eastAsiaTheme="minorHAnsi"/>
          <w:szCs w:val="22"/>
          <w:lang w:eastAsia="en-US"/>
        </w:rPr>
        <w:tab/>
        <w:t>10 % z časti príslušného ukazovateľa až do výšky 2,5 milióna EUR;</w:t>
      </w:r>
    </w:p>
    <w:p w:rsidR="00F7624D" w:rsidRDefault="003C5F24">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2.</w:t>
      </w:r>
      <w:r>
        <w:rPr>
          <w:rFonts w:eastAsiaTheme="minorHAnsi"/>
          <w:szCs w:val="22"/>
          <w:lang w:eastAsia="en-US"/>
        </w:rPr>
        <w:tab/>
        <w:t>8 % z časti príslušného ukazovateľa od 2,5 milióna EUR až do výšky 5 miliónov EUR;</w:t>
      </w:r>
    </w:p>
    <w:p w:rsidR="00F7624D" w:rsidRDefault="003C5F24">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3.</w:t>
      </w:r>
      <w:r>
        <w:rPr>
          <w:rFonts w:eastAsiaTheme="minorHAnsi"/>
          <w:szCs w:val="22"/>
          <w:lang w:eastAsia="en-US"/>
        </w:rPr>
        <w:tab/>
        <w:t>6 % z časti príslušného ukazovateľa od 5 miliónov EUR až do výšky 25 miliónov EUR;</w:t>
      </w:r>
    </w:p>
    <w:p w:rsidR="00F7624D" w:rsidRDefault="003C5F24">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lastRenderedPageBreak/>
        <w:t>4.</w:t>
      </w:r>
      <w:r>
        <w:rPr>
          <w:rFonts w:eastAsiaTheme="minorHAnsi"/>
          <w:szCs w:val="22"/>
          <w:lang w:eastAsia="en-US"/>
        </w:rPr>
        <w:tab/>
      </w:r>
      <w:r>
        <w:rPr>
          <w:rFonts w:eastAsiaTheme="minorHAnsi"/>
          <w:szCs w:val="22"/>
          <w:lang w:eastAsia="en-US"/>
        </w:rPr>
        <w:t>3 % časti príslušného ukazovateľa od 25 miliónov EUR až do výšky 50 miliónov EUR;</w:t>
      </w:r>
    </w:p>
    <w:p w:rsidR="00F7624D" w:rsidRDefault="003C5F24">
      <w:pPr>
        <w:widowControl/>
        <w:tabs>
          <w:tab w:val="left" w:pos="2551"/>
          <w:tab w:val="left" w:pos="3118"/>
        </w:tabs>
        <w:spacing w:before="120" w:after="120"/>
        <w:ind w:left="3685" w:hanging="1701"/>
        <w:jc w:val="both"/>
        <w:rPr>
          <w:rFonts w:eastAsiaTheme="minorHAnsi"/>
          <w:noProof/>
          <w:szCs w:val="22"/>
          <w:lang w:eastAsia="en-US"/>
        </w:rPr>
      </w:pPr>
      <w:r>
        <w:rPr>
          <w:rFonts w:eastAsiaTheme="minorHAnsi"/>
          <w:szCs w:val="22"/>
          <w:lang w:eastAsia="en-US"/>
        </w:rPr>
        <w:t>5.</w:t>
      </w:r>
      <w:r>
        <w:rPr>
          <w:rFonts w:eastAsiaTheme="minorHAnsi"/>
          <w:szCs w:val="22"/>
          <w:lang w:eastAsia="en-US"/>
        </w:rPr>
        <w:tab/>
        <w:t>1,5 % nad 50 miliónov EUR.</w:t>
      </w:r>
      <w:bookmarkStart w:id="25" w:name="_Hlk128575858"/>
    </w:p>
    <w:bookmarkEnd w:id="25"/>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Koeficient veľkosti k, ktorý sa má použiť pri metóde B a C, je: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0,5, ak platobná inštitúcia poskytuje iba platobnú službu uvedenú v príloh</w:t>
      </w:r>
      <w:r>
        <w:rPr>
          <w:rFonts w:eastAsiaTheme="minorHAnsi"/>
          <w:szCs w:val="22"/>
          <w:lang w:eastAsia="en-US"/>
        </w:rPr>
        <w:t>e I bode 5;</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1, ak platobná inštitúcia poskytuje niektorú z platobných služieb uvedených v prílohe I bodoch 1 až 4.</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Členské štáty vyžadujú, aby platobné inštitúcie, ktoré nie sú platobnými inštitúciami, ktoré buď ponúkajú len platobné iniciačné služby</w:t>
      </w:r>
      <w:r>
        <w:rPr>
          <w:rFonts w:eastAsiaTheme="minorHAnsi"/>
          <w:szCs w:val="22"/>
          <w:lang w:eastAsia="en-US"/>
        </w:rPr>
        <w:t>, ako sa uvádza v prílohe I bode 6, alebo ponúkajú len služby informovania o účte, ako sa uvádza v prílohe I bode 7, alebo obe tieto služby, a ktoré nie sú platobnými inštitúciami, ktoré ponúkajú len služby elektronických peňazí, a ktoré vykonávajú aj činn</w:t>
      </w:r>
      <w:r>
        <w:rPr>
          <w:rFonts w:eastAsiaTheme="minorHAnsi"/>
          <w:szCs w:val="22"/>
          <w:lang w:eastAsia="en-US"/>
        </w:rPr>
        <w:t>osti uvedené v článku 10, zabezpečili, aby sa vlastné zdroje držané na účely služieb uvedených v prílohe I bodoch 1 až 5 nepovažovali za vlastné zdroje držané na účely článku 10 ods. 4 písm. d) alebo na účely iných služieb, ktoré nie sú regulované podľa te</w:t>
      </w:r>
      <w:r>
        <w:rPr>
          <w:rFonts w:eastAsiaTheme="minorHAnsi"/>
          <w:szCs w:val="22"/>
          <w:lang w:eastAsia="en-US"/>
        </w:rPr>
        <w:t>jto smernice.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5.</w:t>
      </w:r>
      <w:r>
        <w:rPr>
          <w:rFonts w:eastAsiaTheme="minorHAnsi"/>
          <w:szCs w:val="22"/>
          <w:lang w:eastAsia="en-US"/>
        </w:rPr>
        <w:tab/>
        <w:t>Príslušné orgány môžu na základe posúdenia procesov riadenia rizika, databázy rizika strát a mechanizmov vnútornej kontroly platobnej inštitúcie vyžadovať, aby platobná inštitúcia mala v držbe vlastné zdroje vo výške, ktorá je najviac o 20</w:t>
      </w:r>
      <w:r>
        <w:rPr>
          <w:rFonts w:eastAsiaTheme="minorHAnsi"/>
          <w:szCs w:val="22"/>
          <w:lang w:eastAsia="en-US"/>
        </w:rPr>
        <w:t> % vyššia ako suma, ktorá by vyplynula z použitia metódy zvolenej v súlade s odsekom 2. Príslušné orgány môžu povoliť platobnej inštitúcii, aby mala v držbe vlastné zdroje vo výške, ktorá je najviac o 20 % nižšia ako suma, ktorá by vyplynula z použitia met</w:t>
      </w:r>
      <w:r>
        <w:rPr>
          <w:rFonts w:eastAsiaTheme="minorHAnsi"/>
          <w:szCs w:val="22"/>
          <w:lang w:eastAsia="en-US"/>
        </w:rPr>
        <w:t>ódy, ktorá sa má použiť v súlade s odsekom 2.</w:t>
      </w:r>
      <w:bookmarkStart w:id="26" w:name="_Hlk128578002"/>
      <w:bookmarkStart w:id="27" w:name="_Hlk127973182"/>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6.</w:t>
      </w:r>
      <w:r>
        <w:rPr>
          <w:rFonts w:eastAsiaTheme="minorHAnsi"/>
          <w:szCs w:val="22"/>
          <w:lang w:eastAsia="en-US"/>
        </w:rPr>
        <w:tab/>
        <w:t xml:space="preserve">Orgán EBA vypracuje návrh regulačných predpisov v súlade s článkom 16 nariadenia (EÚ) č. 1093/2010 týkajúcich sa kritérií na určenie toho, kedy je obchodný model platobnej inštitúcie taký, že môže vykonávať </w:t>
      </w:r>
      <w:r>
        <w:rPr>
          <w:rFonts w:eastAsiaTheme="minorHAnsi"/>
          <w:szCs w:val="22"/>
          <w:lang w:eastAsia="en-US"/>
        </w:rPr>
        <w:t>len malý počet transakcií, ale s vysokou jednotlivou hodnotou, ako sa uvádza v odseku 2 tohto článku.</w:t>
      </w:r>
    </w:p>
    <w:p w:rsidR="00F7624D" w:rsidRDefault="003C5F24">
      <w:pPr>
        <w:widowControl/>
        <w:spacing w:before="120" w:after="120"/>
        <w:ind w:left="850"/>
        <w:jc w:val="both"/>
        <w:rPr>
          <w:rFonts w:eastAsiaTheme="minorHAnsi"/>
          <w:noProof/>
          <w:szCs w:val="22"/>
          <w:lang w:eastAsia="en-US"/>
        </w:rPr>
      </w:pPr>
      <w:r>
        <w:rPr>
          <w:rFonts w:eastAsiaTheme="minorHAnsi"/>
          <w:szCs w:val="22"/>
          <w:lang w:eastAsia="en-US"/>
        </w:rPr>
        <w:t>Orgán EBA predloží Komisii uvedený návrh regulačných technických predpisov do [OP: doplňte dátum = jeden rok od dátumu nadobudnutia účinnosti tejto smerni</w:t>
      </w:r>
      <w:r>
        <w:rPr>
          <w:rFonts w:eastAsiaTheme="minorHAnsi"/>
          <w:szCs w:val="22"/>
          <w:lang w:eastAsia="en-US"/>
        </w:rPr>
        <w:t>ce].</w:t>
      </w:r>
    </w:p>
    <w:p w:rsidR="00F7624D" w:rsidRDefault="003C5F24">
      <w:pPr>
        <w:ind w:left="850"/>
        <w:rPr>
          <w:noProof/>
        </w:rPr>
      </w:pPr>
      <w:r>
        <w:t xml:space="preserve">Na Komisiu sa deleguje právomoc prijať regulačné technické predpisy v súlade s článkami 10 až 14 nariadenia (EÚ) č. 1093/2010. </w:t>
      </w:r>
    </w:p>
    <w:p w:rsidR="00F7624D" w:rsidRDefault="00F7624D">
      <w:pPr>
        <w:tabs>
          <w:tab w:val="left" w:pos="567"/>
        </w:tabs>
        <w:rPr>
          <w:noProof/>
        </w:rPr>
      </w:pPr>
    </w:p>
    <w:bookmarkEnd w:id="26"/>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8</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Výpočet vlastných zdrojov v prípade platobných inštitúcií, ktoré ponúkajú služby elektronických peňazí</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Členské</w:t>
      </w:r>
      <w:r>
        <w:rPr>
          <w:rFonts w:eastAsiaTheme="minorHAnsi"/>
          <w:szCs w:val="22"/>
          <w:lang w:eastAsia="en-US"/>
        </w:rPr>
        <w:t xml:space="preserve"> štáty bez ohľadu na požiadavky na počiatočný kapitál stanovené v článku 5 vyžadujú, aby platobné inštitúcie, ktoré ponúkajú platobné služby aj služby elektronických peňazí, mali na účely svojej činnosti v oblasti platobných služieb nepretržite v držbe vla</w:t>
      </w:r>
      <w:r>
        <w:rPr>
          <w:rFonts w:eastAsiaTheme="minorHAnsi"/>
          <w:szCs w:val="22"/>
          <w:lang w:eastAsia="en-US"/>
        </w:rPr>
        <w:t>stné zdroje vypočítané v súlade s článkom 7.</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Členské štáty bez ohľadu na požiadavky na počiatočný kapitál stanovené v článku 5 vyžadujú, aby platobné inštitúcie, ktoré ponúkajú len služby elektronických peňazí, mali nepretržite v držbe vlastné zdroje vy</w:t>
      </w:r>
      <w:r>
        <w:rPr>
          <w:rFonts w:eastAsiaTheme="minorHAnsi"/>
          <w:szCs w:val="22"/>
          <w:lang w:eastAsia="en-US"/>
        </w:rPr>
        <w:t>počítané v súlade s metódou D, ako sa stanovuje v odseku 3 ďalej v texte.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lastRenderedPageBreak/>
        <w:t>3.</w:t>
      </w:r>
      <w:r>
        <w:rPr>
          <w:rFonts w:eastAsiaTheme="minorHAnsi"/>
          <w:szCs w:val="22"/>
          <w:lang w:eastAsia="en-US"/>
        </w:rPr>
        <w:tab/>
        <w:t>Metóda D: vlastné zdroje na činnosť poskytovania služieb elektronických peňazí predstavujú aspoň 2 % priemeru vydaných elektronických peňazí.</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Členské štáty vyžadujú, aby platob</w:t>
      </w:r>
      <w:r>
        <w:rPr>
          <w:rFonts w:eastAsiaTheme="minorHAnsi"/>
          <w:szCs w:val="22"/>
          <w:lang w:eastAsia="en-US"/>
        </w:rPr>
        <w:t>né inštitúcie, ktoré ponúkajú platobné služby aj služby elektronických peňazí, mali nepretržite v držbe vlastné zdroje, ktoré sa prinajmenšom rovnajú súčtu požiadaviek uvedených v odsekoch 1 a 2.</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5.</w:t>
      </w:r>
      <w:r>
        <w:rPr>
          <w:rFonts w:eastAsiaTheme="minorHAnsi"/>
          <w:szCs w:val="22"/>
          <w:lang w:eastAsia="en-US"/>
        </w:rPr>
        <w:tab/>
        <w:t xml:space="preserve">Členské štáty umožnia platobným inštitúciám, ktoré </w:t>
      </w:r>
      <w:r>
        <w:rPr>
          <w:rFonts w:eastAsiaTheme="minorHAnsi"/>
          <w:szCs w:val="22"/>
          <w:lang w:eastAsia="en-US"/>
        </w:rPr>
        <w:t>poskytujú platobné služby aj služby elektronických peňazí a ktoré vykonávajú ktorúkoľvek z činností uvedených v prílohe I, ktoré nie sú spojené so službami elektronických peňazí, alebo ktorúkoľvek z činností uvedených v článku 10 ods. 1 a 4, aby vypočítali</w:t>
      </w:r>
      <w:r>
        <w:rPr>
          <w:rFonts w:eastAsiaTheme="minorHAnsi"/>
          <w:szCs w:val="22"/>
          <w:lang w:eastAsia="en-US"/>
        </w:rPr>
        <w:t xml:space="preserve"> svoje požiadavky na vlastné zdroje na základe reprezentatívnej časti, o ktorej sa predpokladá, že sa použije na služby elektronických peňazí, a to za predpokladu, že takúto reprezentatívnu časť možno primerane odhadnúť na základe historických údajov a k s</w:t>
      </w:r>
      <w:r>
        <w:rPr>
          <w:rFonts w:eastAsiaTheme="minorHAnsi"/>
          <w:szCs w:val="22"/>
          <w:lang w:eastAsia="en-US"/>
        </w:rPr>
        <w:t xml:space="preserve">pokojnosti príslušných orgánov, ak suma vydaných elektronických peňazí nie je vopred známa. Ak platobná inštitúcia nepodnikala počas dostatočne dlhého obdobia, požiadavky na jej vlastné zdroje sa vypočítavajú na základe plánovaných vydaných elektronických </w:t>
      </w:r>
      <w:r>
        <w:rPr>
          <w:rFonts w:eastAsiaTheme="minorHAnsi"/>
          <w:szCs w:val="22"/>
          <w:lang w:eastAsia="en-US"/>
        </w:rPr>
        <w:t>peňazí doložených jej podnikateľským plánom a v súlade so všetkými úpravami tohto plánu požadovanými príslušnými orgánmi.</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6.</w:t>
      </w:r>
      <w:r>
        <w:rPr>
          <w:rFonts w:eastAsiaTheme="minorHAnsi"/>
          <w:szCs w:val="22"/>
          <w:lang w:eastAsia="en-US"/>
        </w:rPr>
        <w:tab/>
        <w:t>Odseky 4 a 5 článku 7 sa primerane uplatňujú na platobné inštitúcie poskytujúce služby elektronických peňazí.</w:t>
      </w:r>
    </w:p>
    <w:p w:rsidR="00F7624D" w:rsidRDefault="003C5F24">
      <w:pPr>
        <w:keepNext/>
        <w:widowControl/>
        <w:spacing w:before="360" w:after="120"/>
        <w:jc w:val="center"/>
        <w:rPr>
          <w:rFonts w:eastAsiaTheme="minorHAnsi"/>
          <w:i/>
          <w:noProof/>
          <w:szCs w:val="22"/>
          <w:lang w:eastAsia="en-US"/>
        </w:rPr>
      </w:pPr>
      <w:bookmarkStart w:id="28" w:name="_Hlk128572357"/>
      <w:bookmarkEnd w:id="27"/>
      <w:r>
        <w:rPr>
          <w:rFonts w:eastAsiaTheme="minorHAnsi"/>
          <w:i/>
          <w:szCs w:val="22"/>
          <w:lang w:eastAsia="en-US"/>
        </w:rPr>
        <w:t>Článok 9</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Požiadavky n</w:t>
      </w:r>
      <w:r>
        <w:rPr>
          <w:rFonts w:eastAsiaTheme="minorHAnsi"/>
          <w:b/>
          <w:i/>
          <w:szCs w:val="22"/>
          <w:lang w:eastAsia="en-US"/>
        </w:rPr>
        <w:t>a zabezpečenie finančných prostriedkov</w:t>
      </w:r>
    </w:p>
    <w:bookmarkEnd w:id="28"/>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 xml:space="preserve">Členské štáty vyžadujú, aby platobná inštitúcia, ktorá poskytuje platobné služby, ako sa uvádza v prílohe I bodoch 1 až 5, alebo služby elektronických peňazí, zabezpečila všetky finančné prostriedky, ktoré prijala </w:t>
      </w:r>
      <w:r>
        <w:rPr>
          <w:rFonts w:eastAsiaTheme="minorHAnsi"/>
          <w:szCs w:val="22"/>
          <w:lang w:eastAsia="en-US"/>
        </w:rPr>
        <w:t>od používateľov platobných služieb alebo prostredníctvom iného poskytovateľa platobných služieb na vykonávanie platobných transakcií alebo, ak je to relevantné, finančné prostriedky prijaté výmenou za vydané elektronické peniaze jedným z týchto spôsobov:</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w:t>
      </w:r>
      <w:r>
        <w:rPr>
          <w:rFonts w:eastAsiaTheme="minorHAnsi"/>
          <w:szCs w:val="22"/>
          <w:lang w:eastAsia="en-US"/>
        </w:rPr>
        <w:tab/>
        <w:t>tieto finančné prostriedky sa nesmú v žiadnom okamihu zlúčiť s finančnými prostriedkami inej fyzickej alebo právnickej osoby, než sú používatelia platobných služieb, v ktorých mene sa tieto finančné prostriedky držia;</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 xml:space="preserve">tieto finančné prostriedky musia </w:t>
      </w:r>
      <w:r>
        <w:rPr>
          <w:rFonts w:eastAsiaTheme="minorHAnsi"/>
          <w:szCs w:val="22"/>
          <w:lang w:eastAsia="en-US"/>
        </w:rPr>
        <w:t>byť kryté poistnou zmluvou alebo nejakou inou porovnateľnou zárukou poisťovne alebo úverovej inštitúcie, ktorá nepatrí do rovnakej skupiny ako samotná platobná inštitúcia, na sumu rovnajúcu sa sume, ktorá by bola oddelená v prípade neexistencie takejto poi</w:t>
      </w:r>
      <w:r>
        <w:rPr>
          <w:rFonts w:eastAsiaTheme="minorHAnsi"/>
          <w:szCs w:val="22"/>
          <w:lang w:eastAsia="en-US"/>
        </w:rPr>
        <w:t>stnej zmluvy alebo inej porovnateľnej záruky a ktorá je splatná v prípade, že platobná inštitúcia si nedokáže plniť finančné záväzky.</w:t>
      </w:r>
    </w:p>
    <w:p w:rsidR="00F7624D" w:rsidRDefault="003C5F24">
      <w:pPr>
        <w:ind w:left="850"/>
        <w:jc w:val="both"/>
        <w:rPr>
          <w:noProof/>
        </w:rPr>
      </w:pPr>
      <w:r>
        <w:t xml:space="preserve">Na účely prvého odseku písmena a), ak má platobná inštitúcia stále v držbe finančné prostriedky a do konca pracovného dňa </w:t>
      </w:r>
      <w:r>
        <w:t>nasledujúceho po dni, kedy boli finančné prostriedky prijaté, stále nedoručila tieto finančné prostriedky príjemcovi platby alebo ich nepreviedla na iného poskytovateľa platobných služieb, platobná inštitúcia podnikne jeden z týchto krokov:</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 xml:space="preserve">uloží tieto </w:t>
      </w:r>
      <w:r>
        <w:rPr>
          <w:rFonts w:eastAsiaTheme="minorHAnsi"/>
          <w:szCs w:val="22"/>
          <w:lang w:eastAsia="en-US"/>
        </w:rPr>
        <w:t>finančné prostriedky buď na samostatnom účte v úverovej inštitúcii, ktorej bolo udelené povolenie v členskom štáte, alebo v centrálnej banke, a to podľa uváženia uvedenej centrálnej banky;</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lastRenderedPageBreak/>
        <w:t>b)</w:t>
      </w:r>
      <w:r>
        <w:rPr>
          <w:rFonts w:eastAsiaTheme="minorHAnsi"/>
          <w:szCs w:val="22"/>
          <w:lang w:eastAsia="en-US"/>
        </w:rPr>
        <w:tab/>
        <w:t>investuje tieto finančné prostriedky do bezpečných likvidných ní</w:t>
      </w:r>
      <w:r>
        <w:rPr>
          <w:rFonts w:eastAsiaTheme="minorHAnsi"/>
          <w:szCs w:val="22"/>
          <w:lang w:eastAsia="en-US"/>
        </w:rPr>
        <w:t>zkorizikových aktív, ako to určia príslušné orgány domovského členského štátu.</w:t>
      </w:r>
    </w:p>
    <w:p w:rsidR="00F7624D" w:rsidRDefault="003C5F24">
      <w:pPr>
        <w:ind w:left="850"/>
        <w:jc w:val="both"/>
        <w:rPr>
          <w:noProof/>
        </w:rPr>
      </w:pPr>
      <w:r>
        <w:t>Platobné inštitúcie v súlade s vnútroštátnym právom v záujme používateľov platobných služieb chránia tieto finančné prostriedky pred nárokmi iných veriteľov platobnej inštitúcie</w:t>
      </w:r>
      <w:r>
        <w:t>, najmä v prípade platobnej neschopnosti.</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 xml:space="preserve">Platobné inštitúcie predchádzajú riziku koncentrácie v súvislosti so zabezpečenými finančnými prostriedkami zákazníkov tak, že </w:t>
      </w:r>
      <w:r>
        <w:rPr>
          <w:rFonts w:eastAsiaTheme="minorHAnsi"/>
          <w:b/>
          <w:i/>
          <w:szCs w:val="22"/>
          <w:lang w:eastAsia="en-US"/>
        </w:rPr>
        <w:t>v prípade potreby</w:t>
      </w:r>
      <w:r>
        <w:rPr>
          <w:rFonts w:eastAsiaTheme="minorHAnsi"/>
          <w:szCs w:val="22"/>
          <w:lang w:eastAsia="en-US"/>
        </w:rPr>
        <w:t xml:space="preserve"> zaistia, aby sa na zabezpečenie všetkých ich zabezpečených finančn</w:t>
      </w:r>
      <w:r>
        <w:rPr>
          <w:rFonts w:eastAsiaTheme="minorHAnsi"/>
          <w:szCs w:val="22"/>
          <w:lang w:eastAsia="en-US"/>
        </w:rPr>
        <w:t>ých prostriedkov zákazníkov nepoužila rovnaká metóda zabezpečenia. Usilujú sa najmä o to, aby neboli všetky finančné prostriedky zákazníkov zabezpečené v jednej úverovej inštitúcii.</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 xml:space="preserve">Ak sa požaduje, aby platobná inštitúcia zabezpečovala finančné </w:t>
      </w:r>
      <w:r>
        <w:rPr>
          <w:rFonts w:eastAsiaTheme="minorHAnsi"/>
          <w:szCs w:val="22"/>
          <w:lang w:eastAsia="en-US"/>
        </w:rPr>
        <w:t>prostriedky podľa odseku 1 a ak sa časť uvedených finančných prostriedkov má použiť na budúce platobné transakcie, pričom zostatok má slúžiť na iné ako platobné služby, tá časť finančných prostriedkov, ktorá sa má použiť na účely vykonania budúcich platobn</w:t>
      </w:r>
      <w:r>
        <w:rPr>
          <w:rFonts w:eastAsiaTheme="minorHAnsi"/>
          <w:szCs w:val="22"/>
          <w:lang w:eastAsia="en-US"/>
        </w:rPr>
        <w:t>ých transakcií, tiež podlieha požiadavkám odseku 1. Ak je táto časť premenlivá alebo vopred neznáma, členské štáty dovolia platobným inštitúciám uplatniť tento odsek na základe reprezentatívnej časti, o ktorej sa predpokladá, že sa použije na platobné služ</w:t>
      </w:r>
      <w:r>
        <w:rPr>
          <w:rFonts w:eastAsiaTheme="minorHAnsi"/>
          <w:szCs w:val="22"/>
          <w:lang w:eastAsia="en-US"/>
        </w:rPr>
        <w:t>by, a to za predpokladu, že takúto reprezentatívnu časť možno primerane odhadnúť na základe historických údajov k spokojnosti príslušných orgánov.</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Ak platobná inštitúcia poskytuje služby elektronických peňazí, finančné prostriedky prijaté na účely vydáv</w:t>
      </w:r>
      <w:r>
        <w:rPr>
          <w:rFonts w:eastAsiaTheme="minorHAnsi"/>
          <w:szCs w:val="22"/>
          <w:lang w:eastAsia="en-US"/>
        </w:rPr>
        <w:t>ania elektronických peňazí nemusia byť zabezpečené dovtedy, kým sú finančné prostriedky pripísané na platobný účet platobnej inštitúcie alebo sú inak sprístupnené platobnej inštitúcii v súlade s požiadavkami na lehotu na vykonanie stanovenými v nariadení X</w:t>
      </w:r>
      <w:r>
        <w:rPr>
          <w:rFonts w:eastAsiaTheme="minorHAnsi"/>
          <w:szCs w:val="22"/>
          <w:lang w:eastAsia="en-US"/>
        </w:rPr>
        <w:t>XX [nariadenie o platobných službách]. V každom prípade musia byť takéto finančné prostriedky zabezpečené po vydaní elektronických peňazí najneskôr do konca pracovného dňa nasledujúceho po dni, keď boli finančné prostriedky prijaté.</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5.</w:t>
      </w:r>
      <w:r>
        <w:rPr>
          <w:rFonts w:eastAsiaTheme="minorHAnsi"/>
          <w:szCs w:val="22"/>
          <w:lang w:eastAsia="en-US"/>
        </w:rPr>
        <w:tab/>
        <w:t>Ak platobná inštitúc</w:t>
      </w:r>
      <w:r>
        <w:rPr>
          <w:rFonts w:eastAsiaTheme="minorHAnsi"/>
          <w:szCs w:val="22"/>
          <w:lang w:eastAsia="en-US"/>
        </w:rPr>
        <w:t>ia poskytuje služby elektronických peňazí, na účely uplatňovania odseku 1 sú bezpečnými nízkorizikovými aktívami položky aktív, ktoré patria do jednej z kategórií stanovených v tabuľke 1 článku 336 ods. 1 nariadenia (EÚ) č. 575/2013, pri ktorých nie je kap</w:t>
      </w:r>
      <w:r>
        <w:rPr>
          <w:rFonts w:eastAsiaTheme="minorHAnsi"/>
          <w:szCs w:val="22"/>
          <w:lang w:eastAsia="en-US"/>
        </w:rPr>
        <w:t>itálová požiadavka na špecifické riziko vyššia ako 1,6 %, ale s vylúčením iných kvalifikovaných položiek vymedzených v článku 336 ods. 4 uvedeného nariadenia.</w:t>
      </w:r>
    </w:p>
    <w:p w:rsidR="00F7624D" w:rsidRDefault="003C5F24">
      <w:pPr>
        <w:tabs>
          <w:tab w:val="left" w:pos="567"/>
        </w:tabs>
        <w:ind w:left="850"/>
        <w:jc w:val="both"/>
        <w:rPr>
          <w:noProof/>
        </w:rPr>
      </w:pPr>
      <w:r>
        <w:t xml:space="preserve">Na účely odseku 1 sú bezpečnými nízkorizikovými aktíva aj podielové listy v podniku kolektívneho </w:t>
      </w:r>
      <w:r>
        <w:t xml:space="preserve">investovania do prevoditeľných cenných papierov (PKIPCP), ktorý investuje výlučne do aktív uvedených v prvom </w:t>
      </w:r>
      <w:proofErr w:type="spellStart"/>
      <w:r>
        <w:t>pododseku</w:t>
      </w:r>
      <w:proofErr w:type="spellEnd"/>
      <w:r>
        <w:t>.</w:t>
      </w:r>
    </w:p>
    <w:p w:rsidR="00F7624D" w:rsidRDefault="003C5F24">
      <w:pPr>
        <w:tabs>
          <w:tab w:val="left" w:pos="567"/>
        </w:tabs>
        <w:ind w:left="850"/>
        <w:jc w:val="both"/>
        <w:rPr>
          <w:noProof/>
        </w:rPr>
      </w:pPr>
      <w:r>
        <w:t>Vo výnimočných prípadoch a po riadnom odôvodnení môžu príslušné orgány na základe hodnotenia bezpečnosti, splatnosti, hodnoty alebo inýc</w:t>
      </w:r>
      <w:r>
        <w:t xml:space="preserve">h rizikových prvkov aktív uvedených v prvom a druhom </w:t>
      </w:r>
      <w:proofErr w:type="spellStart"/>
      <w:r>
        <w:t>pododseku</w:t>
      </w:r>
      <w:proofErr w:type="spellEnd"/>
      <w:r>
        <w:t xml:space="preserve"> určiť, ktoré z týchto aktív sa nemajú považovať za bezpečné nízkorizikové aktíva na účely uplatňovania odseku 1.</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6.</w:t>
      </w:r>
      <w:r>
        <w:rPr>
          <w:rFonts w:eastAsiaTheme="minorHAnsi"/>
          <w:szCs w:val="22"/>
          <w:lang w:eastAsia="en-US"/>
        </w:rPr>
        <w:tab/>
        <w:t>Platobná inštitúcia vopred informuje príslušné orgány o každej podstatnej zme</w:t>
      </w:r>
      <w:r>
        <w:rPr>
          <w:rFonts w:eastAsiaTheme="minorHAnsi"/>
          <w:szCs w:val="22"/>
          <w:lang w:eastAsia="en-US"/>
        </w:rPr>
        <w:t>ne opatrení prijatých na zabezpečenie finančných prostriedkov prijatých na účely poskytovaných platobných služieb a v prípade služieb elektronických peňazí výmenou za vydané elektronické peniaze.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7.</w:t>
      </w:r>
      <w:r>
        <w:rPr>
          <w:rFonts w:eastAsiaTheme="minorHAnsi"/>
          <w:szCs w:val="22"/>
          <w:lang w:eastAsia="en-US"/>
        </w:rPr>
        <w:tab/>
        <w:t>Orgán EBA vypracuje regulačné technické predpisy týkajúce</w:t>
      </w:r>
      <w:r>
        <w:rPr>
          <w:rFonts w:eastAsiaTheme="minorHAnsi"/>
          <w:szCs w:val="22"/>
          <w:lang w:eastAsia="en-US"/>
        </w:rPr>
        <w:t xml:space="preserve"> sa požiadaviek na zabezpečenie, pričom stanoví pre platobné inštitúcie najmä rámce riadenia rizika zabezpečenia s cieľom zaistiť ochranu finančných prostriedkov používateľov, a to </w:t>
      </w:r>
      <w:r>
        <w:rPr>
          <w:rFonts w:eastAsiaTheme="minorHAnsi"/>
          <w:szCs w:val="22"/>
          <w:lang w:eastAsia="en-US"/>
        </w:rPr>
        <w:lastRenderedPageBreak/>
        <w:t>vrátane požiadaviek týkajúcich sa oddelenia, určenia, zosúladenia</w:t>
      </w:r>
      <w:r>
        <w:rPr>
          <w:rFonts w:eastAsiaTheme="minorHAnsi"/>
          <w:b/>
          <w:i/>
          <w:szCs w:val="22"/>
          <w:lang w:eastAsia="en-US"/>
        </w:rPr>
        <w:t>, ochrany</w:t>
      </w:r>
      <w:r>
        <w:rPr>
          <w:rFonts w:eastAsiaTheme="minorHAnsi"/>
          <w:szCs w:val="22"/>
          <w:lang w:eastAsia="en-US"/>
        </w:rPr>
        <w:t xml:space="preserve"> </w:t>
      </w:r>
      <w:r>
        <w:rPr>
          <w:rFonts w:eastAsiaTheme="minorHAnsi"/>
          <w:szCs w:val="22"/>
          <w:lang w:eastAsia="en-US"/>
        </w:rPr>
        <w:t xml:space="preserve">a výpočtu požiadaviek na zabezpečenie finančných prostriedkov </w:t>
      </w:r>
      <w:r>
        <w:rPr>
          <w:rFonts w:eastAsiaTheme="minorHAnsi"/>
          <w:b/>
          <w:i/>
          <w:szCs w:val="22"/>
          <w:lang w:eastAsia="en-US"/>
        </w:rPr>
        <w:t>a predchádzanie rizika likvidity a koncentrácie</w:t>
      </w:r>
      <w:r>
        <w:rPr>
          <w:rFonts w:eastAsiaTheme="minorHAnsi"/>
          <w:szCs w:val="22"/>
          <w:lang w:eastAsia="en-US"/>
        </w:rPr>
        <w:t>.</w:t>
      </w:r>
    </w:p>
    <w:p w:rsidR="00F7624D" w:rsidRDefault="003C5F24">
      <w:pPr>
        <w:widowControl/>
        <w:spacing w:before="120" w:after="120"/>
        <w:ind w:left="850"/>
        <w:jc w:val="both"/>
        <w:rPr>
          <w:rFonts w:eastAsiaTheme="minorHAnsi"/>
          <w:noProof/>
          <w:szCs w:val="22"/>
          <w:lang w:eastAsia="en-US"/>
        </w:rPr>
      </w:pPr>
      <w:r>
        <w:rPr>
          <w:rFonts w:eastAsiaTheme="minorHAnsi"/>
          <w:szCs w:val="22"/>
          <w:lang w:eastAsia="en-US"/>
        </w:rPr>
        <w:t xml:space="preserve">Orgán EBA predloží Komisii uvedený návrh regulačných technických predpisov do [OP: doplňte dátum = jeden rok od dátumu nadobudnutia účinnosti </w:t>
      </w:r>
      <w:r>
        <w:rPr>
          <w:rFonts w:eastAsiaTheme="minorHAnsi"/>
          <w:szCs w:val="22"/>
          <w:lang w:eastAsia="en-US"/>
        </w:rPr>
        <w:t>tejto smernice].</w:t>
      </w:r>
    </w:p>
    <w:p w:rsidR="00F7624D" w:rsidRDefault="003C5F24">
      <w:pPr>
        <w:widowControl/>
        <w:spacing w:before="120" w:after="120"/>
        <w:ind w:left="850"/>
        <w:jc w:val="both"/>
        <w:rPr>
          <w:rFonts w:eastAsiaTheme="minorHAnsi"/>
          <w:noProof/>
          <w:szCs w:val="22"/>
          <w:lang w:eastAsia="en-US"/>
        </w:rPr>
      </w:pPr>
      <w:r>
        <w:rPr>
          <w:rFonts w:eastAsiaTheme="minorHAnsi"/>
          <w:szCs w:val="22"/>
          <w:lang w:eastAsia="en-US"/>
        </w:rPr>
        <w:t xml:space="preserve">Na Komisiu sa deleguje právomoc prijať regulačné technické predpisy uvedené v prvom </w:t>
      </w:r>
      <w:proofErr w:type="spellStart"/>
      <w:r>
        <w:rPr>
          <w:rFonts w:eastAsiaTheme="minorHAnsi"/>
          <w:szCs w:val="22"/>
          <w:lang w:eastAsia="en-US"/>
        </w:rPr>
        <w:t>pododseku</w:t>
      </w:r>
      <w:proofErr w:type="spellEnd"/>
      <w:r>
        <w:rPr>
          <w:rFonts w:eastAsiaTheme="minorHAnsi"/>
          <w:szCs w:val="22"/>
          <w:lang w:eastAsia="en-US"/>
        </w:rPr>
        <w:t xml:space="preserve"> v súlade s článkami 10 až 14 nariadenia (EÚ) č. 1093/2010.</w:t>
      </w:r>
    </w:p>
    <w:p w:rsidR="00F7624D" w:rsidRDefault="00F7624D">
      <w:pPr>
        <w:widowControl/>
        <w:spacing w:before="120" w:after="120"/>
        <w:ind w:left="850"/>
        <w:jc w:val="both"/>
        <w:rPr>
          <w:rFonts w:eastAsiaTheme="minorHAnsi"/>
          <w:noProof/>
          <w:szCs w:val="22"/>
          <w:lang w:eastAsia="en-US"/>
        </w:rPr>
      </w:pP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10</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Činnosti</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Popri poskytovaní platobných služieb alebo služieb elektronický</w:t>
      </w:r>
      <w:r>
        <w:rPr>
          <w:rFonts w:eastAsiaTheme="minorHAnsi"/>
          <w:szCs w:val="22"/>
          <w:lang w:eastAsia="en-US"/>
        </w:rPr>
        <w:t>ch peňazí sú platobné inštitúcie oprávnené vykonávať tieto činnosti:</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 xml:space="preserve">poskytovanie prevádzkových a s nimi úzko súvisiacich doplnkových služieb vrátane zabezpečovania výkonu platobných transakcií, zmenárenských služieb, úschovy, uchovávania a spracúvania </w:t>
      </w:r>
      <w:r>
        <w:rPr>
          <w:rFonts w:eastAsiaTheme="minorHAnsi"/>
          <w:szCs w:val="22"/>
          <w:lang w:eastAsia="en-US"/>
        </w:rPr>
        <w:t>údajov;</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prevádzkovanie platobných systémov;</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podnikateľské činnosti iné ako poskytovanie platobných služieb alebo služieb elektronických peňazí so zreteľom na rozhodné právo Únie a vnútroštátne právo.</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Platobné inštitúcie, ktoré poskytujú jednu aleb</w:t>
      </w:r>
      <w:r>
        <w:rPr>
          <w:rFonts w:eastAsiaTheme="minorHAnsi"/>
          <w:szCs w:val="22"/>
          <w:lang w:eastAsia="en-US"/>
        </w:rPr>
        <w:t>o viacero platobných služieb alebo služieb elektronických peňazí, vedú len platobné účty, ktoré sa používajú výlučne na platobné transakcie.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Akékoľvek finančné prostriedky prijaté platobnými inštitúciami od používateľov platobných služieb na poskytovani</w:t>
      </w:r>
      <w:r>
        <w:rPr>
          <w:rFonts w:eastAsiaTheme="minorHAnsi"/>
          <w:szCs w:val="22"/>
          <w:lang w:eastAsia="en-US"/>
        </w:rPr>
        <w:t>e platobných služieb alebo služieb elektronických peňazí nepredstavujú vklad ani iné návratné zdroje v zmysle článku 9 smernice 2013/36/EÚ.</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4.</w:t>
      </w:r>
      <w:r>
        <w:rPr>
          <w:rFonts w:eastAsiaTheme="minorHAnsi"/>
          <w:szCs w:val="22"/>
          <w:lang w:eastAsia="en-US"/>
        </w:rPr>
        <w:tab/>
        <w:t>Platobné inštitúcie môžu poskytnúť úver v súvislosti s platobnými službami uvedenými v prílohe I bode 2 len vtedy</w:t>
      </w:r>
      <w:r>
        <w:rPr>
          <w:rFonts w:eastAsiaTheme="minorHAnsi"/>
          <w:szCs w:val="22"/>
          <w:lang w:eastAsia="en-US"/>
        </w:rPr>
        <w:t>, ak sú splnené všetky tieto podmienky:</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ab/>
        <w:t>úver je doplnkový a poskytuje sa výlučne v súvislosti s vykonaním platobnej transakcie;</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bez ohľadu na prípadné vnútroštátne pravidlá týkajúce sa poskytovania úverov vydavateľmi kreditných kariet sa má úver, kto</w:t>
      </w:r>
      <w:r>
        <w:rPr>
          <w:rFonts w:eastAsiaTheme="minorHAnsi"/>
          <w:szCs w:val="22"/>
          <w:lang w:eastAsia="en-US"/>
        </w:rPr>
        <w:t>rý je poskytnutý v súvislosti s platbou a uskutočnený v súlade s článkom 13 ods. 6 a článkom 30, splatiť v</w:t>
      </w:r>
      <w:r>
        <w:rPr>
          <w:rFonts w:eastAsiaTheme="minorHAnsi"/>
          <w:b/>
          <w:i/>
          <w:szCs w:val="22"/>
          <w:lang w:eastAsia="en-US"/>
        </w:rPr>
        <w:t xml:space="preserve"> primerane </w:t>
      </w:r>
      <w:r>
        <w:rPr>
          <w:rFonts w:eastAsiaTheme="minorHAnsi"/>
          <w:szCs w:val="22"/>
          <w:lang w:eastAsia="en-US"/>
        </w:rPr>
        <w:t>krátkej lehote,</w:t>
      </w:r>
      <w:r>
        <w:rPr>
          <w:rFonts w:eastAsiaTheme="minorHAnsi"/>
          <w:b/>
          <w:i/>
          <w:szCs w:val="22"/>
          <w:lang w:eastAsia="en-US"/>
        </w:rPr>
        <w:t xml:space="preserve"> ktorú vymedzia príslušné orgány;</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c)</w:t>
      </w:r>
      <w:r>
        <w:rPr>
          <w:rFonts w:eastAsiaTheme="minorHAnsi"/>
          <w:szCs w:val="22"/>
          <w:lang w:eastAsia="en-US"/>
        </w:rPr>
        <w:tab/>
        <w:t>poskytnutý úver nepochádza z finančných prostriedkov prijatých alebo držaných na vykona</w:t>
      </w:r>
      <w:r>
        <w:rPr>
          <w:rFonts w:eastAsiaTheme="minorHAnsi"/>
          <w:szCs w:val="22"/>
          <w:lang w:eastAsia="en-US"/>
        </w:rPr>
        <w:t>nie platobnej transakcie ani z finančných prostriedkov, ktoré boli prijaté od používateľov platobných služieb výmenou za elektronické peniaze a sú držané v súlade s článkom 9 ods. 1;</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d)</w:t>
      </w:r>
      <w:r>
        <w:rPr>
          <w:rFonts w:eastAsiaTheme="minorHAnsi"/>
          <w:szCs w:val="22"/>
          <w:lang w:eastAsia="en-US"/>
        </w:rPr>
        <w:tab/>
        <w:t>vlastné zdroje platobnej inštitúcie sú nepretržite a k spokojnosti org</w:t>
      </w:r>
      <w:r>
        <w:rPr>
          <w:rFonts w:eastAsiaTheme="minorHAnsi"/>
          <w:szCs w:val="22"/>
          <w:lang w:eastAsia="en-US"/>
        </w:rPr>
        <w:t>ánov dohľadu primerané so zreteľom na celkovú sumu poskytnutého úveru.</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5.</w:t>
      </w:r>
      <w:r>
        <w:rPr>
          <w:rFonts w:eastAsiaTheme="minorHAnsi"/>
          <w:szCs w:val="22"/>
          <w:lang w:eastAsia="en-US"/>
        </w:rPr>
        <w:tab/>
        <w:t>Platobné inštitúcie nesmú prijímať vklady alebo iné návratné zdroje v zmysle článku 9 smernice 2013/36/EÚ.</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lastRenderedPageBreak/>
        <w:t>6.</w:t>
      </w:r>
      <w:r>
        <w:rPr>
          <w:rFonts w:eastAsiaTheme="minorHAnsi"/>
          <w:szCs w:val="22"/>
          <w:lang w:eastAsia="en-US"/>
        </w:rPr>
        <w:tab/>
        <w:t>Platobné inštitúcie, ktoré poskytujú služby elektronických peňazí, bez z</w:t>
      </w:r>
      <w:r>
        <w:rPr>
          <w:rFonts w:eastAsiaTheme="minorHAnsi"/>
          <w:szCs w:val="22"/>
          <w:lang w:eastAsia="en-US"/>
        </w:rPr>
        <w:t>bytočného odkladu zamenia všetky finančné prostriedky, vrátane hotovosti alebo bezhotovostných peňazí, prijaté danou platobnou inštitúciou od používateľov platobných služieb za elektronické peniaze. Takéto finančné prostriedky nepredstavujú vklad ani iné n</w:t>
      </w:r>
      <w:r>
        <w:rPr>
          <w:rFonts w:eastAsiaTheme="minorHAnsi"/>
          <w:szCs w:val="22"/>
          <w:lang w:eastAsia="en-US"/>
        </w:rPr>
        <w:t>ávratné zdroje od verejnosti v zmysle článku 9 smernice 2013/36/EÚ.</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7.</w:t>
      </w:r>
      <w:r>
        <w:rPr>
          <w:rFonts w:eastAsiaTheme="minorHAnsi"/>
          <w:szCs w:val="22"/>
          <w:lang w:eastAsia="en-US"/>
        </w:rPr>
        <w:tab/>
        <w:t>Touto smernicou nie je dotknutá smernica 2008/48/ES, iné príslušné právo Únie alebo vnútroštátne opatrenia týkajúce sa podmienok poskytovania úverov spotrebiteľom, ktoré nie sú harmoniz</w:t>
      </w:r>
      <w:r>
        <w:rPr>
          <w:rFonts w:eastAsiaTheme="minorHAnsi"/>
          <w:szCs w:val="22"/>
          <w:lang w:eastAsia="en-US"/>
        </w:rPr>
        <w:t>ované touto smernicou a ktoré sú v súlade s právom Únie.</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11</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Účtovníctvo a štatutárny audit</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Na platobné inštitúcie sa primerane uplatňuje smernica Rady 86/635/EHS</w:t>
      </w:r>
      <w:r>
        <w:rPr>
          <w:rFonts w:eastAsiaTheme="minorHAnsi"/>
          <w:b/>
          <w:noProof/>
          <w:szCs w:val="22"/>
          <w:vertAlign w:val="superscript"/>
          <w:lang w:eastAsia="en-US"/>
        </w:rPr>
        <w:footnoteReference w:id="31"/>
      </w:r>
      <w:r>
        <w:rPr>
          <w:rFonts w:eastAsiaTheme="minorHAnsi"/>
          <w:szCs w:val="22"/>
          <w:lang w:eastAsia="en-US"/>
        </w:rPr>
        <w:t xml:space="preserve">, smernica Európskeho parlamentu a Rady 2013/34/EÚ a nariadenie Európskeho </w:t>
      </w:r>
      <w:r>
        <w:rPr>
          <w:rFonts w:eastAsiaTheme="minorHAnsi"/>
          <w:szCs w:val="22"/>
          <w:lang w:eastAsia="en-US"/>
        </w:rPr>
        <w:t>parlamentu a Rady (ES) č. 1606/2002</w:t>
      </w:r>
      <w:r>
        <w:rPr>
          <w:rFonts w:eastAsiaTheme="minorHAnsi"/>
          <w:b/>
          <w:noProof/>
          <w:szCs w:val="22"/>
          <w:vertAlign w:val="superscript"/>
          <w:lang w:eastAsia="en-US"/>
        </w:rPr>
        <w:footnoteReference w:id="32"/>
      </w:r>
      <w:r>
        <w:rPr>
          <w:rFonts w:eastAsiaTheme="minorHAnsi"/>
          <w:szCs w:val="22"/>
          <w:lang w:eastAsia="en-US"/>
        </w:rPr>
        <w:t>.</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 xml:space="preserve">Pokiaľ sa neuplatňuje výnimka podľa smernice 2013/34/EÚ a prípadne podľa smernice 86/635/EHS, ročné účtovné závierky a konsolidované účtovné závierky platobných inštitúcií sú predmetom auditu štatutárnymi audítormi </w:t>
      </w:r>
      <w:r>
        <w:rPr>
          <w:rFonts w:eastAsiaTheme="minorHAnsi"/>
          <w:szCs w:val="22"/>
          <w:lang w:eastAsia="en-US"/>
        </w:rPr>
        <w:t>alebo audítorskými spoločnosťami v zmysle vymedzenia v článku 2 bodoch 2 a 3 smernice 2006/43/ES.</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w:t>
      </w:r>
      <w:r>
        <w:rPr>
          <w:rFonts w:eastAsiaTheme="minorHAnsi"/>
          <w:szCs w:val="22"/>
          <w:lang w:eastAsia="en-US"/>
        </w:rPr>
        <w:tab/>
        <w:t>Členské štáty na účely dohľadu požadujú, aby platobné inštitúcie poskytovali oddelené účtovné informácie o platobných službách alebo službách elektronickýc</w:t>
      </w:r>
      <w:r>
        <w:rPr>
          <w:rFonts w:eastAsiaTheme="minorHAnsi"/>
          <w:szCs w:val="22"/>
          <w:lang w:eastAsia="en-US"/>
        </w:rPr>
        <w:t>h peňazí na jednej strane a o činnostiach uvedených v článku 10 ods. 1 na strane druhej, pričom tieto účtovné informácie podliehajú audítorskej správe. Uvedenú správu v náležitých prípadoch vypracujú štatutárni audítori alebo audítorská spoločnosť.</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Povi</w:t>
      </w:r>
      <w:r>
        <w:rPr>
          <w:rFonts w:eastAsiaTheme="minorHAnsi"/>
          <w:szCs w:val="22"/>
          <w:lang w:eastAsia="en-US"/>
        </w:rPr>
        <w:t>nnosti stanovené v článku 63 smernice 2013/36/EÚ sa primerane uplatňujú na štatutárnych audítorov alebo audítorské spoločnosti platobných inštitúcií v súvislosti s platobnými službami alebo službami elektronických peňazí.</w:t>
      </w:r>
    </w:p>
    <w:p w:rsidR="00F7624D" w:rsidRDefault="003C5F24">
      <w:pPr>
        <w:keepNext/>
        <w:widowControl/>
        <w:spacing w:before="360" w:after="120"/>
        <w:jc w:val="center"/>
        <w:rPr>
          <w:rFonts w:eastAsiaTheme="minorHAnsi"/>
          <w:i/>
          <w:noProof/>
          <w:szCs w:val="22"/>
          <w:lang w:eastAsia="en-US"/>
        </w:rPr>
      </w:pPr>
      <w:bookmarkStart w:id="29" w:name="_Hlk137829820"/>
      <w:r>
        <w:rPr>
          <w:rFonts w:eastAsiaTheme="minorHAnsi"/>
          <w:i/>
          <w:szCs w:val="22"/>
          <w:lang w:eastAsia="en-US"/>
        </w:rPr>
        <w:t>Článok 12</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Vedenie záznamov</w:t>
      </w:r>
    </w:p>
    <w:p w:rsidR="00F7624D" w:rsidRDefault="003C5F24">
      <w:pPr>
        <w:jc w:val="both"/>
        <w:rPr>
          <w:noProof/>
        </w:rPr>
      </w:pPr>
      <w:r>
        <w:t>Členské</w:t>
      </w:r>
      <w:r>
        <w:t xml:space="preserve"> štáty od platobných inštitúcií vyžadujú, aby uchovávali všetky príslušné záznamy na účely tejto hlavy najmenej päť rokov bez toho, aby tým bola dotknutá smernica (EÚ) 2015/849 alebo iné príslušné právo Únie. Ak takéto záznamy obsahujú osobné údaje, platob</w:t>
      </w:r>
      <w:r>
        <w:t>ná inštitúcia neuchováva tieto záznamy dlhšie, než je nevyhnutné na účely tejto hlavy. Ak je platobnej inštitúcii odňaté povolenie v súlade s článkom 16, záznamy, ktoré obsahujú osobné údaje, sa neuchovávajú dlhšie ako päť rokov</w:t>
      </w:r>
      <w:bookmarkEnd w:id="29"/>
      <w:r>
        <w:t xml:space="preserve"> od dátumu odňatia povolenia</w:t>
      </w:r>
      <w:r>
        <w:t>.</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lastRenderedPageBreak/>
        <w:t>Článok 13</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Udelenie povolenia</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Členské štáty udelia povolenie žiadajúcej platobnej inštitúcii na platobné služby a služby elektronických peňazí, ktoré plánuje poskytovať, za predpokladu, že žiadajúca platobná inštitúcia:</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ab/>
        <w:t>je právnickou osobou zriadeno</w:t>
      </w:r>
      <w:r>
        <w:rPr>
          <w:rFonts w:eastAsiaTheme="minorHAnsi"/>
          <w:szCs w:val="22"/>
          <w:lang w:eastAsia="en-US"/>
        </w:rPr>
        <w:t>u v členskom štáte;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predložila svojim príslušným orgánom informácie uvedené v článku 3 ods. 3;</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 xml:space="preserve">zohľadnila potrebu zabezpečiť spoľahlivé a obozretné riadenie žiadajúcej platobnej inštitúcie, spoľahlivé mechanizmy riadenia a správy pre platobné služby </w:t>
      </w:r>
      <w:r>
        <w:rPr>
          <w:rFonts w:eastAsiaTheme="minorHAnsi"/>
          <w:szCs w:val="22"/>
          <w:lang w:eastAsia="en-US"/>
        </w:rPr>
        <w:t>alebo služby elektronických peňazí, ktoré plánuje poskytovať, vrátane:</w:t>
      </w:r>
    </w:p>
    <w:p w:rsidR="00F7624D" w:rsidRDefault="003C5F24">
      <w:pPr>
        <w:ind w:left="1440"/>
        <w:rPr>
          <w:noProof/>
        </w:rPr>
      </w:pPr>
      <w:r>
        <w:t>i) jasnej organizačnej štruktúry s náležite vymedzenými, transparentnými a konzistentnými líniami zodpovednosti;</w:t>
      </w:r>
    </w:p>
    <w:p w:rsidR="00F7624D" w:rsidRDefault="003C5F24">
      <w:pPr>
        <w:ind w:left="1440"/>
        <w:rPr>
          <w:noProof/>
        </w:rPr>
      </w:pPr>
      <w:r>
        <w:t xml:space="preserve">ii) účinných postupov na identifikáciu, riadenie a monitorovanie rizík, </w:t>
      </w:r>
      <w:r>
        <w:t>ktorým žiadajúca platobná inštitúcia je alebo môže byť vystavená, a na podávanie správ o nich;</w:t>
      </w:r>
    </w:p>
    <w:p w:rsidR="00F7624D" w:rsidRDefault="003C5F24">
      <w:pPr>
        <w:ind w:left="1440"/>
        <w:rPr>
          <w:noProof/>
        </w:rPr>
      </w:pPr>
      <w:r>
        <w:t>iii) primeraných mechanizmov vnútornej kontroly vrátane spoľahlivých administratívnych a účtovných postupov;</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d)</w:t>
      </w:r>
      <w:r>
        <w:rPr>
          <w:rFonts w:eastAsiaTheme="minorHAnsi"/>
          <w:szCs w:val="22"/>
          <w:lang w:eastAsia="en-US"/>
        </w:rPr>
        <w:tab/>
        <w:t>má počiatočný kapitál uvedený v článku 5;</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e)</w:t>
      </w:r>
      <w:r>
        <w:rPr>
          <w:rFonts w:eastAsiaTheme="minorHAnsi"/>
          <w:szCs w:val="22"/>
          <w:lang w:eastAsia="en-US"/>
        </w:rPr>
        <w:tab/>
        <w:t>spĺň</w:t>
      </w:r>
      <w:r>
        <w:rPr>
          <w:rFonts w:eastAsiaTheme="minorHAnsi"/>
          <w:szCs w:val="22"/>
          <w:lang w:eastAsia="en-US"/>
        </w:rPr>
        <w:t>a článok 3 ods. 4.</w:t>
      </w:r>
    </w:p>
    <w:p w:rsidR="00F7624D" w:rsidRDefault="003C5F24">
      <w:pPr>
        <w:ind w:left="850"/>
        <w:jc w:val="both"/>
        <w:rPr>
          <w:noProof/>
        </w:rPr>
      </w:pPr>
      <w:r>
        <w:t>Mechanizmy riadenia a správy a mechanizmy kontroly uvedené v písmene c) musia byť komplexné a primerané povahe, rozsahu a zložitosti platobných služieb alebo služieb elektronických peňazí, ktoré žiadajúca platobná inštitúcia plánuje posk</w:t>
      </w:r>
      <w:r>
        <w:t>ytovať.</w:t>
      </w:r>
    </w:p>
    <w:p w:rsidR="00F7624D" w:rsidRDefault="003C5F24">
      <w:pPr>
        <w:ind w:left="840"/>
        <w:jc w:val="both"/>
        <w:rPr>
          <w:noProof/>
          <w:szCs w:val="24"/>
        </w:rPr>
      </w:pPr>
      <w:r>
        <w:t>Orgán EBA prijme usmernenia týkajúce sa opatrení, procesov a mechanizmov uvedených v tomto odseku.</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Príslušné orgány domovského členského štátu udelia povolenie, ak informácie a dôkazy priložené k žiadosti spĺňajú všetky požiadavky stanovené v čl</w:t>
      </w:r>
      <w:r>
        <w:rPr>
          <w:rFonts w:eastAsiaTheme="minorHAnsi"/>
          <w:szCs w:val="22"/>
          <w:lang w:eastAsia="en-US"/>
        </w:rPr>
        <w:t>ánku 3 a ak je celkové posúdenie príslušnými orgánmi po preskúmaní žiadosti kladné. Pred udelením povolenia sa môžu príslušné orgány v prípade potreby poradiť s národnou centrálnou bankou alebo inými príslušnými orgánmi verejnej moci.</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w:t>
      </w:r>
      <w:r>
        <w:rPr>
          <w:rFonts w:eastAsiaTheme="minorHAnsi"/>
          <w:szCs w:val="22"/>
          <w:lang w:eastAsia="en-US"/>
        </w:rPr>
        <w:tab/>
        <w:t xml:space="preserve">Platobná </w:t>
      </w:r>
      <w:r>
        <w:rPr>
          <w:rFonts w:eastAsiaTheme="minorHAnsi"/>
          <w:szCs w:val="22"/>
          <w:lang w:eastAsia="en-US"/>
        </w:rPr>
        <w:t>inštitúcia, ktorá je podľa vnútroštátneho práva svojho domovského členského štátu povinná mať sídlo, musí mať svoje ústredie v tom istom členskom štáte, v ktorom má svoje sídlo, a vykonáva tam časť svojej podnikateľskej činnosti v oblasti platobných služie</w:t>
      </w:r>
      <w:r>
        <w:rPr>
          <w:rFonts w:eastAsiaTheme="minorHAnsi"/>
          <w:szCs w:val="22"/>
          <w:lang w:eastAsia="en-US"/>
        </w:rPr>
        <w:t>b alebo služieb elektronických peňazí. Príslušné orgány členského štátu, v ktorom má mať platobná inštitúcia svoje sídlo, však nevyžadujú, aby platobná inštitúcia vykonávala väčšinu svojej podnikateľskej činnosti v krajine, v ktorej bude mať svoje sídlo.</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4</w:t>
      </w:r>
      <w:r>
        <w:rPr>
          <w:rFonts w:eastAsiaTheme="minorHAnsi"/>
          <w:szCs w:val="22"/>
          <w:lang w:eastAsia="en-US"/>
        </w:rPr>
        <w:t>.</w:t>
      </w:r>
      <w:r>
        <w:rPr>
          <w:rFonts w:eastAsiaTheme="minorHAnsi"/>
          <w:szCs w:val="22"/>
          <w:lang w:eastAsia="en-US"/>
        </w:rPr>
        <w:tab/>
        <w:t>Príslušné orgány môžu ako podmienku udelenia povolenia vyžadovať, aby žiadajúca platobná inštitúcia zriadila samostatný subjekt na účely poskytovania platobných služieb uvedených v prílohe I bodoch 1 až 6, ak žiadajúca platobná inštitúcia vykonáva iné po</w:t>
      </w:r>
      <w:r>
        <w:rPr>
          <w:rFonts w:eastAsiaTheme="minorHAnsi"/>
          <w:szCs w:val="22"/>
          <w:lang w:eastAsia="en-US"/>
        </w:rPr>
        <w:t>dnikateľské činnosti, ktoré môžu alebo by mohli narušiť finančné zdravie žiadajúcej platobnej inštitúcie alebo schopnosť príslušných orgánov monitorovať dodržiavanie tejto smernice žiadajúcou platobnou inštitúciou.</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5.</w:t>
      </w:r>
      <w:r>
        <w:rPr>
          <w:rFonts w:eastAsiaTheme="minorHAnsi"/>
          <w:szCs w:val="22"/>
          <w:lang w:eastAsia="en-US"/>
        </w:rPr>
        <w:tab/>
        <w:t>Príslušné orgány odmietnu udeliť povol</w:t>
      </w:r>
      <w:r>
        <w:rPr>
          <w:rFonts w:eastAsiaTheme="minorHAnsi"/>
          <w:szCs w:val="22"/>
          <w:lang w:eastAsia="en-US"/>
        </w:rPr>
        <w:t>enie žiadajúcej platobnej inštitúcii v ktoromkoľvek z týchto prípadov:</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lastRenderedPageBreak/>
        <w:t>a)</w:t>
      </w:r>
      <w:r>
        <w:rPr>
          <w:rFonts w:eastAsiaTheme="minorHAnsi"/>
          <w:szCs w:val="22"/>
          <w:lang w:eastAsia="en-US"/>
        </w:rPr>
        <w:tab/>
        <w:t>ak po zohľadnení potreby zabezpečiť spoľahlivé a obozretné riadenie platobnej inštitúcie nie sú tieto príslušné orgány presvedčené o vhodnosti akcionárov alebo členov predstavenstva,</w:t>
      </w:r>
      <w:r>
        <w:rPr>
          <w:rFonts w:eastAsiaTheme="minorHAnsi"/>
          <w:szCs w:val="22"/>
          <w:lang w:eastAsia="en-US"/>
        </w:rPr>
        <w:t xml:space="preserve"> ktorí v nej majú kvalifikované podiely;</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ak medzi platobnou inštitúciou a fyzickými alebo právnickými osobami existuje úzke prepojenie v zmysle vymedzenia v článku 4 ods. 1 bode 38 nariadenia (EÚ) č. 575/2013, ktoré bráni účinnému vykonávaniu funkcií do</w:t>
      </w:r>
      <w:r>
        <w:rPr>
          <w:rFonts w:eastAsiaTheme="minorHAnsi"/>
          <w:szCs w:val="22"/>
          <w:lang w:eastAsia="en-US"/>
        </w:rPr>
        <w:t>hľadu príslušných orgánov;</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 xml:space="preserve">ak zákony, iné právne predpisy alebo správne opatrenia tretej krajiny, ktorými sa riadi jedna alebo viaceré fyzické alebo právnické osoby, s ktorými má platobná inštitúcia úzke prepojenie v zmysle vymedzenia v článku 4 ods. 1 </w:t>
      </w:r>
      <w:r>
        <w:rPr>
          <w:rFonts w:eastAsiaTheme="minorHAnsi"/>
          <w:szCs w:val="22"/>
          <w:lang w:eastAsia="en-US"/>
        </w:rPr>
        <w:t>bode 38 nariadenia (EÚ) č. 575/2013, alebo ťažkosti súvisiace s presadzovaním týchto zákonov, iných právnych predpisov alebo správnych opatrení bránia účinnému vykonávaniu funkcií dohľadu príslušných orgánov.</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6.</w:t>
      </w:r>
      <w:r>
        <w:rPr>
          <w:rFonts w:eastAsiaTheme="minorHAnsi"/>
          <w:szCs w:val="22"/>
          <w:lang w:eastAsia="en-US"/>
        </w:rPr>
        <w:tab/>
        <w:t>Povolenie je platné vo všetkých členských št</w:t>
      </w:r>
      <w:r>
        <w:rPr>
          <w:rFonts w:eastAsiaTheme="minorHAnsi"/>
          <w:szCs w:val="22"/>
          <w:lang w:eastAsia="en-US"/>
        </w:rPr>
        <w:t>átoch a umožňuje dotknutej platobnej inštitúcii poskytovať platobné služby alebo služby elektronických peňazí, na ktoré sa vzťahuje povolenie, v celej Únii v súlade so slobodou poskytovať služby alebo slobodou usadiť sa.</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14</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Oznamovanie rozhodnutia u</w:t>
      </w:r>
      <w:r>
        <w:rPr>
          <w:rFonts w:eastAsiaTheme="minorHAnsi"/>
          <w:b/>
          <w:i/>
          <w:szCs w:val="22"/>
          <w:lang w:eastAsia="en-US"/>
        </w:rPr>
        <w:t>deliť alebo zamietnuť povolenie</w:t>
      </w:r>
    </w:p>
    <w:p w:rsidR="00F7624D" w:rsidRDefault="003C5F24">
      <w:pPr>
        <w:jc w:val="both"/>
        <w:rPr>
          <w:noProof/>
        </w:rPr>
      </w:pPr>
      <w:r>
        <w:t xml:space="preserve">Príslušné orgány informujú žiadateľa o udelení alebo zamietnutí povolenia </w:t>
      </w:r>
      <w:r>
        <w:rPr>
          <w:b/>
          <w:bCs/>
          <w:i/>
          <w:iCs/>
        </w:rPr>
        <w:t>najneskôr do dvoch</w:t>
      </w:r>
      <w:r>
        <w:t xml:space="preserve"> mesiacov od dátumu prijatia žiadosti o udelenie povolenia, ako sa uvádza v článku 3, alebo, ak je takéto žiadosť neúplná, do troch </w:t>
      </w:r>
      <w:r>
        <w:t>mesiacov od dátumu prijatia všetkých informácií uvedených v článku 3 ods. 3. Príslušný orgán uvedie dôvody, ak povolenie zamietne.</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15</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Zachovanie platnosti povolenia na výkon činnosti platobnej inštitúcie</w:t>
      </w:r>
    </w:p>
    <w:p w:rsidR="00F7624D" w:rsidRDefault="003C5F24">
      <w:pPr>
        <w:jc w:val="both"/>
        <w:rPr>
          <w:noProof/>
        </w:rPr>
      </w:pPr>
      <w:r>
        <w:t>Členské štáty vyžadujú, aby platobné inštitúc</w:t>
      </w:r>
      <w:r>
        <w:t>ie informovali svoj príslušný orgán o každej zmene informácií a dôkazov poskytnutých v súlade s článkom 3, ktorá môže mať vplyv na presnosť uvedených informácií alebo dôkazov.</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16</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Odňatie povolenia na výkon činnosti platobnej inštitúcie</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 xml:space="preserve">Príslušné </w:t>
      </w:r>
      <w:r>
        <w:rPr>
          <w:rFonts w:eastAsiaTheme="minorHAnsi"/>
          <w:szCs w:val="22"/>
          <w:lang w:eastAsia="en-US"/>
        </w:rPr>
        <w:t>orgány domovského členského štátu môžu odňať povolenie vydané platobnej inštitúcii len vtedy, ak:</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ab/>
        <w:t>platobná inštitúcia nevyužila svoje povolenie do 12 mesiacov od dátumu, keď uvedené povolenie získala, alebo ak viac ako šesť po sebe idúcich mesiacov nepo</w:t>
      </w:r>
      <w:r>
        <w:rPr>
          <w:rFonts w:eastAsiaTheme="minorHAnsi"/>
          <w:szCs w:val="22"/>
          <w:lang w:eastAsia="en-US"/>
        </w:rPr>
        <w:t>skytla žiadne zo služieb, na ktoré jej bolo povolenie udelené;</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sa platobná inštitúcia výslovne vzdala uvedeného povolenia;</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c)</w:t>
      </w:r>
      <w:r>
        <w:rPr>
          <w:rFonts w:eastAsiaTheme="minorHAnsi"/>
          <w:szCs w:val="22"/>
          <w:lang w:eastAsia="en-US"/>
        </w:rPr>
        <w:tab/>
        <w:t>platobná inštitúcia prestane spĺňať podmienky na udelenie povolenia alebo v tejto súvislosti neinformuje príslušný orgán o zása</w:t>
      </w:r>
      <w:r>
        <w:rPr>
          <w:rFonts w:eastAsiaTheme="minorHAnsi"/>
          <w:szCs w:val="22"/>
          <w:lang w:eastAsia="en-US"/>
        </w:rPr>
        <w:t>dnom vývoji;</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lastRenderedPageBreak/>
        <w:t>d)</w:t>
      </w:r>
      <w:r>
        <w:rPr>
          <w:rFonts w:eastAsiaTheme="minorHAnsi"/>
          <w:szCs w:val="22"/>
          <w:lang w:eastAsia="en-US"/>
        </w:rPr>
        <w:tab/>
        <w:t>platobná inštitúcia získala povolenie na základe nepravdivých vyhlásení alebo iným podvodným spôsobom;</w:t>
      </w:r>
    </w:p>
    <w:p w:rsidR="00F7624D" w:rsidRDefault="003C5F24">
      <w:pPr>
        <w:widowControl/>
        <w:spacing w:before="120" w:after="120"/>
        <w:ind w:left="1417" w:hanging="567"/>
        <w:jc w:val="both"/>
        <w:rPr>
          <w:rFonts w:eastAsiaTheme="minorHAnsi"/>
          <w:noProof/>
          <w:szCs w:val="24"/>
          <w:lang w:eastAsia="en-US"/>
        </w:rPr>
      </w:pPr>
      <w:bookmarkStart w:id="30" w:name="_Hlk138006992"/>
      <w:r>
        <w:rPr>
          <w:rFonts w:eastAsiaTheme="minorHAnsi"/>
          <w:szCs w:val="22"/>
          <w:lang w:eastAsia="en-US"/>
        </w:rPr>
        <w:t>e)</w:t>
      </w:r>
      <w:r>
        <w:rPr>
          <w:rFonts w:eastAsiaTheme="minorHAnsi"/>
          <w:szCs w:val="22"/>
          <w:lang w:eastAsia="en-US"/>
        </w:rPr>
        <w:tab/>
        <w:t>platobná inštitúcia</w:t>
      </w:r>
      <w:bookmarkEnd w:id="30"/>
      <w:r>
        <w:rPr>
          <w:rFonts w:eastAsiaTheme="minorHAnsi"/>
          <w:szCs w:val="22"/>
          <w:lang w:eastAsia="en-US"/>
        </w:rPr>
        <w:t xml:space="preserve"> porušila svoje povinnosti v oblasti boja proti praniu špinavých peňazí alebo financovaniu terorizmu podľa smernice</w:t>
      </w:r>
      <w:r>
        <w:rPr>
          <w:rFonts w:eastAsiaTheme="minorHAnsi"/>
          <w:szCs w:val="22"/>
          <w:lang w:eastAsia="en-US"/>
        </w:rPr>
        <w:t xml:space="preserve"> (EÚ) 2015/849;</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f)</w:t>
      </w:r>
      <w:r>
        <w:rPr>
          <w:rFonts w:eastAsiaTheme="minorHAnsi"/>
          <w:szCs w:val="22"/>
          <w:lang w:eastAsia="en-US"/>
        </w:rPr>
        <w:tab/>
        <w:t>by pokračujúce poskytovanie platobných služieb alebo služieb elektronických peňazí platobnou inštitúciou ohrozilo stabilitu platobného systému alebo dôveru v platobný systém;</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g)</w:t>
      </w:r>
      <w:r>
        <w:rPr>
          <w:rFonts w:eastAsiaTheme="minorHAnsi"/>
          <w:szCs w:val="22"/>
          <w:lang w:eastAsia="en-US"/>
        </w:rPr>
        <w:tab/>
        <w:t>sa na platobnú inštitúciu sa vzťahuje jeden z prípadov, v k</w:t>
      </w:r>
      <w:r>
        <w:rPr>
          <w:rFonts w:eastAsiaTheme="minorHAnsi"/>
          <w:szCs w:val="22"/>
          <w:lang w:eastAsia="en-US"/>
        </w:rPr>
        <w:t>torých vnútroštátne právne predpisy stanovujú takéto odňatie povolenia.</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Príslušný orgán uvedie dôvody akéhokoľvek odňatia povolenia a zodpovedajúcim spôsobom o tom informuje dotknuté osoby.</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 xml:space="preserve">Príslušný orgán zverejňuje odňatie povolenia, a to aj </w:t>
      </w:r>
      <w:r>
        <w:rPr>
          <w:rFonts w:eastAsiaTheme="minorHAnsi"/>
          <w:szCs w:val="22"/>
          <w:lang w:eastAsia="en-US"/>
        </w:rPr>
        <w:t>v registroch alebo zoznamoch uvedených v článkoch 17 a 18.</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17</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Register platobných inštitúcií v domovskom členskom štáte</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 xml:space="preserve">Členské štáty prevádzkujú a udržiavajú verejný elektronický register platobných inštitúcií vrátane subjektov zaregistrovaných </w:t>
      </w:r>
      <w:r>
        <w:rPr>
          <w:rFonts w:eastAsiaTheme="minorHAnsi"/>
          <w:szCs w:val="22"/>
          <w:lang w:eastAsia="en-US"/>
        </w:rPr>
        <w:t>v súlade s článkami 34, 36 a 38 a ich agentov či distribútorov. Členské štáty zabezpečia, aby tento register obsahoval všetky tieto informácie: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platobné inštitúcie, ktorým bolo udelené povolenie v súlade s článkom 13, a ich prípadní agenti alebo distrib</w:t>
      </w:r>
      <w:r>
        <w:rPr>
          <w:rFonts w:eastAsiaTheme="minorHAnsi"/>
          <w:szCs w:val="22"/>
          <w:lang w:eastAsia="en-US"/>
        </w:rPr>
        <w:t>útori;</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fyzické a právnické osoby zaregistrované v súlade s článkom 34 ods. 2, článkom 36 ods. 1 alebo článkom 38 ods. 1 a ich prípadní agenti alebo distribútori;</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inštitúcie uvedené v článku 1 ods. 2, ktoré sú podľa vnútroštátneho práva oprávnené posk</w:t>
      </w:r>
      <w:r>
        <w:rPr>
          <w:rFonts w:eastAsiaTheme="minorHAnsi"/>
          <w:szCs w:val="22"/>
          <w:lang w:eastAsia="en-US"/>
        </w:rPr>
        <w:t>ytovať platobné služby alebo služby elektronických peňazí.</w:t>
      </w:r>
    </w:p>
    <w:p w:rsidR="00F7624D" w:rsidRDefault="003C5F24">
      <w:pPr>
        <w:ind w:left="850"/>
        <w:rPr>
          <w:noProof/>
          <w:szCs w:val="24"/>
        </w:rPr>
      </w:pPr>
      <w:r>
        <w:t>Pobočky platobných inštitúcií sa zapíšu do registra domovského členského štátu, ak tieto pobočky poskytujú služby v inom členskom štáte ako vo svojom domovskom členskom štáte.</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 xml:space="preserve">Vo verejnom </w:t>
      </w:r>
      <w:r>
        <w:rPr>
          <w:rFonts w:eastAsiaTheme="minorHAnsi"/>
          <w:szCs w:val="22"/>
          <w:lang w:eastAsia="en-US"/>
        </w:rPr>
        <w:t>registri uvedenom v odseku 1:</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ab/>
        <w:t>sa uvádzajú platobné služby a služby elektronických peňazí a príslušné značky, na ktoré bolo platobnej inštitúcii udelené povolenie alebo v súvislosti s ktorými je fyzická alebo právnická osoba zaregistrovaná;</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sa uvádzaj</w:t>
      </w:r>
      <w:r>
        <w:rPr>
          <w:rFonts w:eastAsiaTheme="minorHAnsi"/>
          <w:szCs w:val="22"/>
          <w:lang w:eastAsia="en-US"/>
        </w:rPr>
        <w:t>ú agenti alebo distribútori, ak je to relevantné, prostredníctvom ktorých platobná inštitúcia poskytuje platobné služby alebo služby elektronických peňazí, s výnimkou vydávania elektronických peňazí, a stanovujú sa v ňom služby, ktoré títo agenti alebo dis</w:t>
      </w:r>
      <w:r>
        <w:rPr>
          <w:rFonts w:eastAsiaTheme="minorHAnsi"/>
          <w:szCs w:val="22"/>
          <w:lang w:eastAsia="en-US"/>
        </w:rPr>
        <w:t>tribútori vykonávajú v mene platobnej inštitúcie;</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c)</w:t>
      </w:r>
      <w:r>
        <w:rPr>
          <w:rFonts w:eastAsiaTheme="minorHAnsi"/>
          <w:szCs w:val="22"/>
          <w:lang w:eastAsia="en-US"/>
        </w:rPr>
        <w:tab/>
        <w:t xml:space="preserve">sa uvádzajú iné členské štáty, v ktorých platobná inštitúcia pôsobí, a dátum, kedy sa tieto činnosti s režimom povolení v zahraničí začali. </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lastRenderedPageBreak/>
        <w:t>3.</w:t>
      </w:r>
      <w:r>
        <w:rPr>
          <w:rFonts w:eastAsiaTheme="minorHAnsi"/>
          <w:szCs w:val="22"/>
          <w:lang w:eastAsia="en-US"/>
        </w:rPr>
        <w:tab/>
        <w:t>Členské štáty zabezpečia, aby sa platobné inštitúcie uvádza</w:t>
      </w:r>
      <w:r>
        <w:rPr>
          <w:rFonts w:eastAsiaTheme="minorHAnsi"/>
          <w:szCs w:val="22"/>
          <w:lang w:eastAsia="en-US"/>
        </w:rPr>
        <w:t>li v registri uvedenom v odseku 1 oddelene od fyzických a právnických osôb zaregistrovaných v súlade s článkami 34, 36 alebo 38 a aby bol tento register verejne dostupný k nahliadnutiu, prístupný online a bez zbytočného odkladu aktualizovaný.</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 xml:space="preserve">Príslušné </w:t>
      </w:r>
      <w:r>
        <w:rPr>
          <w:rFonts w:eastAsiaTheme="minorHAnsi"/>
          <w:szCs w:val="22"/>
          <w:lang w:eastAsia="en-US"/>
        </w:rPr>
        <w:t>orgány zapíšu do verejného registra dátumy udelenia povolenia alebo registrácie, akéhokoľvek odňatia povolenia, pozastavenia platnosti povolenia a akéhokoľvek odňatia registrácie podľa článku 34, 36 alebo 38.</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5.</w:t>
      </w:r>
      <w:r>
        <w:rPr>
          <w:rFonts w:eastAsiaTheme="minorHAnsi"/>
          <w:szCs w:val="22"/>
          <w:lang w:eastAsia="en-US"/>
        </w:rPr>
        <w:tab/>
        <w:t>Príslušné orgány bez zbytočného odkladu ozná</w:t>
      </w:r>
      <w:r>
        <w:rPr>
          <w:rFonts w:eastAsiaTheme="minorHAnsi"/>
          <w:szCs w:val="22"/>
          <w:lang w:eastAsia="en-US"/>
        </w:rPr>
        <w:t>mia orgánu EBA dôvody na odňatie povolenia alebo registrácie, pozastavenie platnosti povolenia alebo registrácie alebo akékoľvek výnimky podľa článku 34, 36 alebo 38.</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18</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Register orgánu EBA</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 xml:space="preserve">Orgán EBA prevádzkuje a udržiava elektronický centrálny </w:t>
      </w:r>
      <w:r>
        <w:rPr>
          <w:rFonts w:eastAsiaTheme="minorHAnsi"/>
          <w:szCs w:val="22"/>
          <w:lang w:eastAsia="en-US"/>
        </w:rPr>
        <w:t>register platobných inštitúcií vrátane subjektov zaregistrovaných v súlade s článkami 34, 36 a 38 a ich agentov či distribútorov a prípadne pobočiek. Uvedený elektronický centrálny register obsahuje informácie, ktoré oznámili príslušné orgány v súlade s od</w:t>
      </w:r>
      <w:r>
        <w:rPr>
          <w:rFonts w:eastAsiaTheme="minorHAnsi"/>
          <w:szCs w:val="22"/>
          <w:lang w:eastAsia="en-US"/>
        </w:rPr>
        <w:t>sekom 3. Orgán EBA je zodpovedný za správnu prezentáciu uvedených informácií.</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Orgán EBA bezplatne sprístupní elektronický centrálny register verejnosti na svojom webovom sídle a umožní ľahký prístup k údajom a jednoduché vyhľadávanie údajov vedených v r</w:t>
      </w:r>
      <w:r>
        <w:rPr>
          <w:rFonts w:eastAsiaTheme="minorHAnsi"/>
          <w:szCs w:val="22"/>
          <w:lang w:eastAsia="en-US"/>
        </w:rPr>
        <w:t>egistri.</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Príslušné orgány poskytnú orgánu EBA informácie zapísané v ich vnútroštátnych verejných registroch v súlade s článkom 17 najneskôr do jedného pracovného dňa od dátumu zápisu uvedených informácií do vnútroštátnych verejných registrov.</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Prísluš</w:t>
      </w:r>
      <w:r>
        <w:rPr>
          <w:rFonts w:eastAsiaTheme="minorHAnsi"/>
          <w:szCs w:val="22"/>
          <w:lang w:eastAsia="en-US"/>
        </w:rPr>
        <w:t>né orgány sú zodpovedné za správnosť informácií uvedených v ich vnútroštátnych registroch a poskytnutých orgánu EBA, ako aj za ich aktualizáciu. Spoločnostiam uvedeným v registri sa poskytnú prostriedky na opravu akýchkoľvek nesprávností, ktoré sa ich týka</w:t>
      </w:r>
      <w:r>
        <w:rPr>
          <w:rFonts w:eastAsiaTheme="minorHAnsi"/>
          <w:szCs w:val="22"/>
          <w:lang w:eastAsia="en-US"/>
        </w:rPr>
        <w:t>jú.</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5.</w:t>
      </w:r>
      <w:r>
        <w:rPr>
          <w:rFonts w:eastAsiaTheme="minorHAnsi"/>
          <w:szCs w:val="22"/>
          <w:lang w:eastAsia="en-US"/>
        </w:rPr>
        <w:tab/>
        <w:t>Orgán EBA vypracuje návrh regulačných technických predpisov týkajúcich sa prevádzky a údržby elektronického centrálneho registra uvedeného v odseku 1 a prístupu k informáciám, ktoré sú v ňom uvedené, s cieľom zabezpečiť, aby informácie uvedené v reg</w:t>
      </w:r>
      <w:r>
        <w:rPr>
          <w:rFonts w:eastAsiaTheme="minorHAnsi"/>
          <w:szCs w:val="22"/>
          <w:lang w:eastAsia="en-US"/>
        </w:rPr>
        <w:t>istri mohol meniť len dotknutý príslušný orgán alebo orgán EBA.</w:t>
      </w:r>
      <w:r>
        <w:rPr>
          <w:rFonts w:eastAsiaTheme="minorHAnsi"/>
          <w:b/>
          <w:i/>
          <w:szCs w:val="22"/>
          <w:lang w:eastAsia="en-US"/>
        </w:rPr>
        <w:t xml:space="preserve"> </w:t>
      </w:r>
    </w:p>
    <w:p w:rsidR="00F7624D" w:rsidRDefault="003C5F24">
      <w:pPr>
        <w:ind w:left="850"/>
        <w:rPr>
          <w:noProof/>
        </w:rPr>
      </w:pPr>
      <w:r>
        <w:t>Orgán EBA predloží uvedený návrh regulačných technických predpisov Komisii do [OP: doplňte dátum = 18 mesiacov od dátumu nadobudnutia účinnosti tejto smernice].</w:t>
      </w:r>
    </w:p>
    <w:p w:rsidR="00F7624D" w:rsidRDefault="003C5F24">
      <w:pPr>
        <w:ind w:left="850"/>
        <w:rPr>
          <w:noProof/>
        </w:rPr>
      </w:pPr>
      <w:r>
        <w:t xml:space="preserve">Na Komisiu sa deleguje </w:t>
      </w:r>
      <w:r>
        <w:t>právomoc prijať regulačné technické predpisy v súlade s článkami 10 až 14 nariadenia (EÚ) č. 1093/2010.</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6.</w:t>
      </w:r>
      <w:r>
        <w:rPr>
          <w:rFonts w:eastAsiaTheme="minorHAnsi"/>
          <w:szCs w:val="22"/>
          <w:lang w:eastAsia="en-US"/>
        </w:rPr>
        <w:tab/>
        <w:t>Orgán EBA vypracuje návrh vykonávacích technických predpisov týkajúcich sa podrobností a štruktúry informácií, ktoré sa majú oznamovať v súlade s ods</w:t>
      </w:r>
      <w:r>
        <w:rPr>
          <w:rFonts w:eastAsiaTheme="minorHAnsi"/>
          <w:szCs w:val="22"/>
          <w:lang w:eastAsia="en-US"/>
        </w:rPr>
        <w:t xml:space="preserve">ekom 1, </w:t>
      </w:r>
      <w:r>
        <w:rPr>
          <w:rFonts w:eastAsiaTheme="minorHAnsi"/>
          <w:szCs w:val="22"/>
          <w:lang w:eastAsia="en-US"/>
        </w:rPr>
        <w:lastRenderedPageBreak/>
        <w:t>vrátane noriem pre údaje a formátov informácií, ako sa stanovuje vo vykonávacom nariadení Komisie (EÚ) 2019/410</w:t>
      </w:r>
      <w:r>
        <w:rPr>
          <w:rFonts w:eastAsiaTheme="minorHAnsi"/>
          <w:b/>
          <w:i/>
          <w:noProof/>
          <w:szCs w:val="24"/>
          <w:vertAlign w:val="superscript"/>
          <w:lang w:eastAsia="en-US"/>
        </w:rPr>
        <w:footnoteReference w:id="33"/>
      </w:r>
      <w:r>
        <w:rPr>
          <w:rFonts w:eastAsiaTheme="minorHAnsi"/>
          <w:szCs w:val="22"/>
          <w:lang w:eastAsia="en-US"/>
        </w:rPr>
        <w:t>.</w:t>
      </w:r>
    </w:p>
    <w:p w:rsidR="00F7624D" w:rsidRDefault="003C5F24">
      <w:pPr>
        <w:widowControl/>
        <w:spacing w:before="120" w:after="120"/>
        <w:ind w:left="850"/>
        <w:jc w:val="both"/>
        <w:rPr>
          <w:rFonts w:eastAsiaTheme="minorHAnsi"/>
          <w:noProof/>
          <w:szCs w:val="22"/>
          <w:lang w:eastAsia="en-US"/>
        </w:rPr>
      </w:pPr>
      <w:r>
        <w:rPr>
          <w:rFonts w:eastAsiaTheme="minorHAnsi"/>
          <w:szCs w:val="22"/>
          <w:lang w:eastAsia="en-US"/>
        </w:rPr>
        <w:t>Orgán EBA predloží uvedený návrh vykonávacích technických predpisov Komisii do [OP: doplňte dátum = 18 mesiacov od dátumu nadobudnutia</w:t>
      </w:r>
      <w:r>
        <w:rPr>
          <w:rFonts w:eastAsiaTheme="minorHAnsi"/>
          <w:szCs w:val="22"/>
          <w:lang w:eastAsia="en-US"/>
        </w:rPr>
        <w:t xml:space="preserve"> účinnosti tejto smernice].</w:t>
      </w:r>
    </w:p>
    <w:p w:rsidR="00F7624D" w:rsidRDefault="003C5F24">
      <w:pPr>
        <w:ind w:left="850"/>
        <w:rPr>
          <w:noProof/>
        </w:rPr>
      </w:pPr>
      <w:r>
        <w:t xml:space="preserve">Na Komisiu sa deleguje právomoc prijať vykonávacie technické predpisy uvedené v prvom </w:t>
      </w:r>
      <w:proofErr w:type="spellStart"/>
      <w:r>
        <w:t>pododseku</w:t>
      </w:r>
      <w:proofErr w:type="spellEnd"/>
      <w:r>
        <w:t xml:space="preserve"> v súlade s článkom 15 nariadenia (EÚ) č. 1093/2010.</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7.</w:t>
      </w:r>
      <w:r>
        <w:rPr>
          <w:rFonts w:eastAsiaTheme="minorHAnsi"/>
          <w:szCs w:val="22"/>
          <w:lang w:eastAsia="en-US"/>
        </w:rPr>
        <w:tab/>
        <w:t>Orgán EBA vypracuje, prevádzkuje a vedie centrálny, strojovo čitateľný zoznam</w:t>
      </w:r>
      <w:r>
        <w:rPr>
          <w:rFonts w:eastAsiaTheme="minorHAnsi"/>
          <w:szCs w:val="22"/>
          <w:lang w:eastAsia="en-US"/>
        </w:rPr>
        <w:t xml:space="preserve"> poskytovateľov platobných služieb, ktorí ponúkajú platobné služby uvedené v prílohe I bodoch 6 a 7, na základe najaktuálnejších informácií uvedených v registri orgánu EBA uvedenom v odseku 1 a v registri úverových inštitúcií orgánu EBA vytvorenom podľa čl</w:t>
      </w:r>
      <w:r>
        <w:rPr>
          <w:rFonts w:eastAsiaTheme="minorHAnsi"/>
          <w:szCs w:val="22"/>
          <w:lang w:eastAsia="en-US"/>
        </w:rPr>
        <w:t>ánku 8 ods. 2 písm. j) nariadenia (EÚ) č. 1093/2010. V uvedenom zozname sa uvádza názov a identifikátor týchto poskytovateľov platobných služieb a stav ich povolenia.</w:t>
      </w:r>
    </w:p>
    <w:p w:rsidR="00F7624D" w:rsidRDefault="00F7624D">
      <w:pPr>
        <w:ind w:left="720"/>
        <w:rPr>
          <w:noProof/>
        </w:rPr>
      </w:pPr>
    </w:p>
    <w:p w:rsidR="00F7624D" w:rsidRDefault="003C5F24">
      <w:pPr>
        <w:keepNext/>
        <w:widowControl/>
        <w:spacing w:before="120" w:after="360"/>
        <w:jc w:val="center"/>
        <w:rPr>
          <w:rFonts w:eastAsiaTheme="minorHAnsi"/>
          <w:b/>
          <w:smallCaps/>
          <w:noProof/>
          <w:sz w:val="28"/>
          <w:szCs w:val="22"/>
          <w:lang w:eastAsia="en-US"/>
        </w:rPr>
      </w:pPr>
      <w:r>
        <w:rPr>
          <w:rFonts w:eastAsiaTheme="minorHAnsi"/>
          <w:b/>
          <w:smallCaps/>
          <w:sz w:val="28"/>
          <w:szCs w:val="22"/>
          <w:lang w:eastAsia="en-US"/>
        </w:rPr>
        <w:t>Oddiel 2</w:t>
      </w:r>
    </w:p>
    <w:p w:rsidR="00F7624D" w:rsidRDefault="003C5F24">
      <w:pPr>
        <w:keepNext/>
        <w:widowControl/>
        <w:spacing w:before="120" w:after="360"/>
        <w:jc w:val="center"/>
        <w:rPr>
          <w:rFonts w:eastAsiaTheme="minorHAnsi"/>
          <w:b/>
          <w:smallCaps/>
          <w:noProof/>
          <w:sz w:val="28"/>
          <w:szCs w:val="22"/>
          <w:lang w:eastAsia="en-US"/>
        </w:rPr>
      </w:pPr>
      <w:r>
        <w:rPr>
          <w:rFonts w:eastAsiaTheme="minorHAnsi"/>
          <w:b/>
          <w:smallCaps/>
          <w:sz w:val="28"/>
          <w:szCs w:val="22"/>
          <w:lang w:eastAsia="en-US"/>
        </w:rPr>
        <w:t>Využívanie agentov, distribútorov, pobočiek a externého zabezpečovania činností</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19</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Využívanie agentov</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 xml:space="preserve">Platobné inštitúcie, ktoré plánujú poskytovať </w:t>
      </w:r>
      <w:r>
        <w:rPr>
          <w:rFonts w:eastAsiaTheme="minorHAnsi"/>
          <w:b/>
          <w:i/>
          <w:szCs w:val="22"/>
          <w:lang w:eastAsia="en-US"/>
        </w:rPr>
        <w:t>iné</w:t>
      </w:r>
      <w:r>
        <w:rPr>
          <w:rFonts w:eastAsiaTheme="minorHAnsi"/>
          <w:szCs w:val="22"/>
          <w:lang w:eastAsia="en-US"/>
        </w:rPr>
        <w:t xml:space="preserve"> platobné služby </w:t>
      </w:r>
      <w:r>
        <w:rPr>
          <w:rFonts w:eastAsiaTheme="minorHAnsi"/>
          <w:b/>
          <w:i/>
          <w:szCs w:val="22"/>
          <w:lang w:eastAsia="en-US"/>
        </w:rPr>
        <w:t>ako služby elektronických peňazí</w:t>
      </w:r>
      <w:r>
        <w:rPr>
          <w:rFonts w:eastAsiaTheme="minorHAnsi"/>
          <w:szCs w:val="22"/>
          <w:lang w:eastAsia="en-US"/>
        </w:rPr>
        <w:t xml:space="preserve"> prostredníctvom agentov, oznámia príslušným orgánom vo svojom domovskom členskom štáte všetky tieto informácie:</w:t>
      </w:r>
      <w:bookmarkStart w:id="31" w:name="_Hlk127173597"/>
      <w:bookmarkEnd w:id="31"/>
      <w:r>
        <w:rPr>
          <w:rFonts w:eastAsiaTheme="minorHAnsi"/>
          <w:szCs w:val="22"/>
          <w:lang w:eastAsia="en-US"/>
        </w:rPr>
        <w:cr/>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meno/náz</w:t>
      </w:r>
      <w:r>
        <w:rPr>
          <w:rFonts w:eastAsiaTheme="minorHAnsi"/>
          <w:szCs w:val="22"/>
          <w:lang w:eastAsia="en-US"/>
        </w:rPr>
        <w:t>ov a adresu agenta;</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aktuálny opis mechanizmov vnútornej kontroly, ktoré agent použije s cieľom zabezpečiť súlad so smernicou (EÚ) 2015/849;</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c)</w:t>
      </w:r>
      <w:r>
        <w:rPr>
          <w:rFonts w:eastAsiaTheme="minorHAnsi"/>
          <w:szCs w:val="22"/>
          <w:lang w:eastAsia="en-US"/>
        </w:rPr>
        <w:tab/>
        <w:t>totožnosť členov predstavenstva a iných osôb zodpovedných za riadenie agenta a, ak agent nie je poskytovateľom</w:t>
      </w:r>
      <w:r>
        <w:rPr>
          <w:rFonts w:eastAsiaTheme="minorHAnsi"/>
          <w:szCs w:val="22"/>
          <w:lang w:eastAsia="en-US"/>
        </w:rPr>
        <w:t xml:space="preserve"> platobných služieb, dôkaz, že tieto osoby sú odborne spôsobilé a vhodné na plnenie svojich úloh;</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d)</w:t>
      </w:r>
      <w:r>
        <w:rPr>
          <w:rFonts w:eastAsiaTheme="minorHAnsi"/>
          <w:szCs w:val="22"/>
          <w:lang w:eastAsia="en-US"/>
        </w:rPr>
        <w:tab/>
        <w:t>platobné služby poskytované platobnou inštitúciou, na ktoré má agent mandát,</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e)</w:t>
      </w:r>
      <w:r>
        <w:rPr>
          <w:rFonts w:eastAsiaTheme="minorHAnsi"/>
          <w:szCs w:val="22"/>
          <w:lang w:eastAsia="en-US"/>
        </w:rPr>
        <w:tab/>
        <w:t>prípadne jedinečný identifikačný kód alebo číslo agenta.</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Členské štáty z</w:t>
      </w:r>
      <w:r>
        <w:rPr>
          <w:rFonts w:eastAsiaTheme="minorHAnsi"/>
          <w:szCs w:val="22"/>
          <w:lang w:eastAsia="en-US"/>
        </w:rPr>
        <w:t>abezpečia, aby príslušné orgány domovského členského štátu do</w:t>
      </w:r>
      <w:r>
        <w:rPr>
          <w:rFonts w:eastAsiaTheme="minorHAnsi"/>
          <w:b/>
          <w:i/>
          <w:szCs w:val="22"/>
          <w:lang w:eastAsia="en-US"/>
        </w:rPr>
        <w:t xml:space="preserve"> jedného mesiaca </w:t>
      </w:r>
      <w:r>
        <w:rPr>
          <w:rFonts w:eastAsiaTheme="minorHAnsi"/>
          <w:szCs w:val="22"/>
          <w:lang w:eastAsia="en-US"/>
        </w:rPr>
        <w:t xml:space="preserve">od prijatia informácií uvedených v odseku 1 oznámili platobnej </w:t>
      </w:r>
      <w:r>
        <w:rPr>
          <w:rFonts w:eastAsiaTheme="minorHAnsi"/>
          <w:szCs w:val="22"/>
          <w:lang w:eastAsia="en-US"/>
        </w:rPr>
        <w:lastRenderedPageBreak/>
        <w:t>inštitúcii, či bol agent zapísaný do registra uvedeného v článku 17. Po zápise do registra môže agent začať poskyto</w:t>
      </w:r>
      <w:r>
        <w:rPr>
          <w:rFonts w:eastAsiaTheme="minorHAnsi"/>
          <w:szCs w:val="22"/>
          <w:lang w:eastAsia="en-US"/>
        </w:rPr>
        <w:t>vať platobné služby.</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w:t>
      </w:r>
      <w:r>
        <w:rPr>
          <w:rFonts w:eastAsiaTheme="minorHAnsi"/>
          <w:szCs w:val="22"/>
          <w:lang w:eastAsia="en-US"/>
        </w:rPr>
        <w:tab/>
        <w:t>Ak sa príslušné orgány domnievajú, že informácie uvedené v odseku 1 nie sú správne, pred zápisom agenta do registra uvedeného v článku 17 podniknú ďalšie kroky na overenie týchto informácií.</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4.</w:t>
      </w:r>
      <w:r>
        <w:rPr>
          <w:rFonts w:eastAsiaTheme="minorHAnsi"/>
          <w:szCs w:val="22"/>
          <w:lang w:eastAsia="en-US"/>
        </w:rPr>
        <w:tab/>
        <w:t xml:space="preserve">Ak po overení informácií uvedených </w:t>
      </w:r>
      <w:r>
        <w:rPr>
          <w:rFonts w:eastAsiaTheme="minorHAnsi"/>
          <w:szCs w:val="22"/>
          <w:lang w:eastAsia="en-US"/>
        </w:rPr>
        <w:t>v odseku 1 nie sú príslušné orgány presvedčené o tom, že informácie sú správne, zápis agenta do registra uvedeného v článku 17 zamietnu a bez zbytočného odkladu o tom informujú platobnú inštitúciu.</w:t>
      </w:r>
    </w:p>
    <w:p w:rsidR="00F7624D" w:rsidRDefault="003C5F24">
      <w:pPr>
        <w:widowControl/>
        <w:spacing w:before="120" w:after="120"/>
        <w:ind w:left="850" w:hanging="850"/>
        <w:jc w:val="both"/>
        <w:rPr>
          <w:rFonts w:eastAsiaTheme="minorHAnsi"/>
          <w:noProof/>
          <w:szCs w:val="24"/>
          <w:lang w:eastAsia="en-US"/>
        </w:rPr>
      </w:pPr>
      <w:bookmarkStart w:id="32" w:name="_Hlk127124658"/>
      <w:r>
        <w:rPr>
          <w:rFonts w:eastAsiaTheme="minorHAnsi"/>
          <w:szCs w:val="22"/>
          <w:lang w:eastAsia="en-US"/>
        </w:rPr>
        <w:t>5.</w:t>
      </w:r>
      <w:r>
        <w:rPr>
          <w:rFonts w:eastAsiaTheme="minorHAnsi"/>
          <w:szCs w:val="22"/>
          <w:lang w:eastAsia="en-US"/>
        </w:rPr>
        <w:tab/>
        <w:t>Členské štáty zabezpečia, aby platobné inštitúcie, ktor</w:t>
      </w:r>
      <w:r>
        <w:rPr>
          <w:rFonts w:eastAsiaTheme="minorHAnsi"/>
          <w:szCs w:val="22"/>
          <w:lang w:eastAsia="en-US"/>
        </w:rPr>
        <w:t>é chcú poskytovať platobné služby v inom členskom štáte prostredníctvom agenta alebo ktoré plánujú poskytovať platobné služby v inom členskom štáte než vo svojom domovskom členskom štáte prostredníctvom agenta nachádzajúceho sa v treťom členskom štáte, dod</w:t>
      </w:r>
      <w:r>
        <w:rPr>
          <w:rFonts w:eastAsiaTheme="minorHAnsi"/>
          <w:szCs w:val="22"/>
          <w:lang w:eastAsia="en-US"/>
        </w:rPr>
        <w:t>ržiavali postupy stanovené v článku 30.</w:t>
      </w:r>
      <w:r>
        <w:rPr>
          <w:rFonts w:eastAsiaTheme="minorHAnsi"/>
          <w:b/>
          <w:i/>
          <w:szCs w:val="22"/>
          <w:lang w:eastAsia="en-US"/>
        </w:rPr>
        <w:t xml:space="preserve"> </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6.</w:t>
      </w:r>
      <w:r>
        <w:rPr>
          <w:rFonts w:eastAsiaTheme="minorHAnsi"/>
          <w:szCs w:val="22"/>
          <w:lang w:eastAsia="en-US"/>
        </w:rPr>
        <w:tab/>
        <w:t>Členské štáty zabezpečia, aby platobné inštitúcie informovali svojich používateľov platobných služieb o skutočnosti, že v ich mene koná agent.</w:t>
      </w:r>
    </w:p>
    <w:p w:rsidR="00F7624D" w:rsidRDefault="003C5F24">
      <w:pPr>
        <w:widowControl/>
        <w:spacing w:before="120" w:after="120"/>
        <w:ind w:left="850" w:hanging="850"/>
        <w:jc w:val="both"/>
        <w:rPr>
          <w:rFonts w:eastAsiaTheme="minorHAnsi"/>
          <w:noProof/>
          <w:szCs w:val="22"/>
          <w:lang w:eastAsia="en-US"/>
        </w:rPr>
      </w:pPr>
      <w:bookmarkStart w:id="33" w:name="_Hlk127121656"/>
      <w:bookmarkEnd w:id="32"/>
      <w:r>
        <w:rPr>
          <w:rFonts w:eastAsiaTheme="minorHAnsi"/>
          <w:szCs w:val="22"/>
          <w:lang w:eastAsia="en-US"/>
        </w:rPr>
        <w:t>7.</w:t>
      </w:r>
      <w:r>
        <w:rPr>
          <w:rFonts w:eastAsiaTheme="minorHAnsi"/>
          <w:szCs w:val="22"/>
          <w:lang w:eastAsia="en-US"/>
        </w:rPr>
        <w:tab/>
      </w:r>
      <w:bookmarkEnd w:id="33"/>
      <w:r>
        <w:rPr>
          <w:rFonts w:eastAsiaTheme="minorHAnsi"/>
          <w:szCs w:val="22"/>
          <w:lang w:eastAsia="en-US"/>
        </w:rPr>
        <w:t>Členské štáty zabezpečia, aby platobné inštitúcie oznámili prísluš</w:t>
      </w:r>
      <w:r>
        <w:rPr>
          <w:rFonts w:eastAsiaTheme="minorHAnsi"/>
          <w:szCs w:val="22"/>
          <w:lang w:eastAsia="en-US"/>
        </w:rPr>
        <w:t>ným orgánom svojho domovského členského štátu každú zmenu, pokiaľ ide o využívanie agentov vrátane ďalších agentov, bez zbytočného odkladu a v súlade s postupom stanoveným v odsekoch 2, 3 a 4.</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20</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Distribútori služieb elektronických peňazí</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Členské</w:t>
      </w:r>
      <w:r>
        <w:rPr>
          <w:rFonts w:eastAsiaTheme="minorHAnsi"/>
          <w:szCs w:val="22"/>
          <w:lang w:eastAsia="en-US"/>
        </w:rPr>
        <w:t xml:space="preserve"> štáty umožnia platobným inštitúciám, ktoré poskytujú služby elektronických peňazí, distribuovať a zamieňať elektronické peniaze prostredníctvom distribútorov.</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Členské štáty zabezpečia, aby platobné inštitúcie, ktoré plánujú poskytovať služby elektronic</w:t>
      </w:r>
      <w:r>
        <w:rPr>
          <w:rFonts w:eastAsiaTheme="minorHAnsi"/>
          <w:szCs w:val="22"/>
          <w:lang w:eastAsia="en-US"/>
        </w:rPr>
        <w:t>kých peňazí prostredníctvom distribútora, primerane uplatňovali požiadavky stanovené v článku 19.</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 xml:space="preserve">Ak platobná inštitúcia plánuje distribuovať služby elektronických peňazí v inom členskom štáte prostredníctvom distribútora, na takúto platobnú inštitúciu </w:t>
      </w:r>
      <w:r>
        <w:rPr>
          <w:rFonts w:eastAsiaTheme="minorHAnsi"/>
          <w:szCs w:val="22"/>
          <w:lang w:eastAsia="en-US"/>
        </w:rPr>
        <w:t>sa primerane uplatňujú články 30 až 33, s výnimkou článku 31 ods. 4 a 5 tejto smernice, vrátane delegovaných aktov prijatých v súlade s článkom 30 ods. 5 tejto smernice.</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21</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Pobočky</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Členské štáty vyžadujú od</w:t>
      </w:r>
      <w:r>
        <w:rPr>
          <w:rFonts w:eastAsiaTheme="minorHAnsi"/>
          <w:b/>
          <w:i/>
          <w:szCs w:val="22"/>
          <w:lang w:eastAsia="en-US"/>
        </w:rPr>
        <w:t xml:space="preserve"> platobnej inštitúcie, ktorá plánuje </w:t>
      </w:r>
      <w:r>
        <w:rPr>
          <w:rFonts w:eastAsiaTheme="minorHAnsi"/>
          <w:szCs w:val="22"/>
          <w:lang w:eastAsia="en-US"/>
        </w:rPr>
        <w:t>poskytovať platobné služby v inom členskom štáte prostredníctvom zriadenia pobočky alebo</w:t>
      </w:r>
      <w:r>
        <w:rPr>
          <w:rFonts w:eastAsiaTheme="minorHAnsi"/>
          <w:b/>
          <w:i/>
          <w:szCs w:val="22"/>
          <w:lang w:eastAsia="en-US"/>
        </w:rPr>
        <w:t xml:space="preserve"> ktorá plánuje </w:t>
      </w:r>
      <w:r>
        <w:rPr>
          <w:rFonts w:eastAsiaTheme="minorHAnsi"/>
          <w:szCs w:val="22"/>
          <w:lang w:eastAsia="en-US"/>
        </w:rPr>
        <w:t>poskytovať platobné služby v inom členskom štáte než vo svojom domovskom členskom štáte prostredníctvom pobočky nachádzajúcej sa v treťom členskom štáte,</w:t>
      </w:r>
      <w:r>
        <w:rPr>
          <w:rFonts w:eastAsiaTheme="minorHAnsi"/>
          <w:szCs w:val="22"/>
          <w:lang w:eastAsia="en-US"/>
        </w:rPr>
        <w:t xml:space="preserve"> aby </w:t>
      </w:r>
      <w:r>
        <w:rPr>
          <w:rFonts w:eastAsiaTheme="minorHAnsi"/>
          <w:b/>
          <w:i/>
          <w:szCs w:val="22"/>
          <w:lang w:eastAsia="en-US"/>
        </w:rPr>
        <w:t xml:space="preserve">dodržiavala </w:t>
      </w:r>
      <w:r>
        <w:rPr>
          <w:rFonts w:eastAsiaTheme="minorHAnsi"/>
          <w:szCs w:val="22"/>
          <w:lang w:eastAsia="en-US"/>
        </w:rPr>
        <w:t>postupy stanovené v článku 30.</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Členské štáty zabezpečia, aby platobné inštitúcie vyžadovali od pobočiek, ktoré konajú v ich mene, aby informovali o tejto skutočnosti používateľov platobných služieb.</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lastRenderedPageBreak/>
        <w:t>Článok 22</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 xml:space="preserve">Subjekty poverené externým </w:t>
      </w:r>
      <w:r>
        <w:rPr>
          <w:rFonts w:eastAsiaTheme="minorHAnsi"/>
          <w:b/>
          <w:i/>
          <w:szCs w:val="22"/>
          <w:lang w:eastAsia="en-US"/>
        </w:rPr>
        <w:t>zabezpečovaním činností</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Členské štáty zabezpečia, aby platobné inštitúcie, ktoré plánujú externe zabezpečovať prevádzkové úlohy platobných služieb alebo služieb elektronických peňazí, o tom informovali príslušné orgány svojho domovského členského štátu.</w:t>
      </w:r>
    </w:p>
    <w:p w:rsidR="00F7624D" w:rsidRDefault="003C5F24">
      <w:pPr>
        <w:ind w:left="850"/>
        <w:jc w:val="both"/>
        <w:rPr>
          <w:noProof/>
          <w:szCs w:val="24"/>
        </w:rPr>
      </w:pPr>
      <w:r>
        <w:t>Členské štáty zabezpečia, aby platobné inštitúcie externe nezabezpečovali významné prevádzkové úlohy, vrátane systémov IKT, takým spôsobom, ktorým by sa podstatne narušila kvalita vnútornej kontroly platobnej inštitúcie a schopnosť príslušných orgánov mon</w:t>
      </w:r>
      <w:r>
        <w:t>itorovať a vysledovať dodržiavanie všetkých povinností stanovených v tejto smernici danou platobnou inštitúciou.</w:t>
      </w:r>
    </w:p>
    <w:p w:rsidR="00F7624D" w:rsidRDefault="003C5F24">
      <w:pPr>
        <w:ind w:left="850"/>
        <w:jc w:val="both"/>
        <w:rPr>
          <w:noProof/>
          <w:szCs w:val="24"/>
        </w:rPr>
      </w:pPr>
      <w:r>
        <w:t>Prevádzková úloha je významná vtedy, ak by chyba v jej vykonaní alebo jej nevykonanie podstatne narušili pokračujúce dodržiavanie podmienok pla</w:t>
      </w:r>
      <w:r>
        <w:t xml:space="preserve">tobnou inštitúciou, ktoré jej vyplývajú z povolenia, iných jej povinností podľa tejto smernice, jej finančnú výkonnosť, zdravie alebo kontinuitu jej platobných služieb alebo služieb elektronických peňazí. </w:t>
      </w:r>
    </w:p>
    <w:p w:rsidR="00F7624D" w:rsidRDefault="003C5F24">
      <w:pPr>
        <w:ind w:left="850"/>
        <w:jc w:val="both"/>
        <w:rPr>
          <w:noProof/>
          <w:szCs w:val="24"/>
        </w:rPr>
      </w:pPr>
      <w:r>
        <w:t xml:space="preserve">Členské štáty zabezpečia, aby platobné inštitúcie </w:t>
      </w:r>
      <w:r>
        <w:t>v prípade, že významné prevádzkové úlohy zabezpečujú externe, spĺňali všetky tieto podmienky:</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ab/>
        <w:t>externé zabezpečovanie nevedie k delegovaniu zodpovednosti vrcholového manažmentu;</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 xml:space="preserve">vzťah a povinnosti platobnej inštitúcie voči jej používateľom platobných </w:t>
      </w:r>
      <w:r>
        <w:rPr>
          <w:rFonts w:eastAsiaTheme="minorHAnsi"/>
          <w:szCs w:val="22"/>
          <w:lang w:eastAsia="en-US"/>
        </w:rPr>
        <w:t>služieb podľa tejto smernice sa nemenia;</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c)</w:t>
      </w:r>
      <w:r>
        <w:rPr>
          <w:rFonts w:eastAsiaTheme="minorHAnsi"/>
          <w:szCs w:val="22"/>
          <w:lang w:eastAsia="en-US"/>
        </w:rPr>
        <w:tab/>
        <w:t>podmienky, ktoré má platobná inštitúcia spĺňať, aby jej bolo udelené povolenie a zachovala si ho, nie sú narušené;</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d)</w:t>
      </w:r>
      <w:r>
        <w:rPr>
          <w:rFonts w:eastAsiaTheme="minorHAnsi"/>
          <w:szCs w:val="22"/>
          <w:lang w:eastAsia="en-US"/>
        </w:rPr>
        <w:tab/>
        <w:t>nie je zrušená ani upravená žiadna z iných podmienok, na základe ktorej bolo platobnej inštitú</w:t>
      </w:r>
      <w:r>
        <w:rPr>
          <w:rFonts w:eastAsiaTheme="minorHAnsi"/>
          <w:szCs w:val="22"/>
          <w:lang w:eastAsia="en-US"/>
        </w:rPr>
        <w:t>cii udelené povolenie.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 xml:space="preserve">Členské štáty zabezpečia, aby platobné inštitúcie bez zbytočného odkladu informovali príslušné orgány svojho domovského členského štátu o každej zmene týkajúcej sa využívania subjektov, ktoré poverili externým zabezpečovaním </w:t>
      </w:r>
      <w:r>
        <w:rPr>
          <w:rFonts w:eastAsiaTheme="minorHAnsi"/>
          <w:szCs w:val="22"/>
          <w:lang w:eastAsia="en-US"/>
        </w:rPr>
        <w:t>činností.</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23</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Zodpovednosť</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Členské štáty zabezpečia, aby platobné inštitúcie, ktoré sa pri výkone prevádzkových úloh spoliehajú na tretie strany, podnikli primerané kroky na zabezpečenie dodržiavania požiadaviek tejto smernice.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Členské štáty vy</w:t>
      </w:r>
      <w:r>
        <w:rPr>
          <w:rFonts w:eastAsiaTheme="minorHAnsi"/>
          <w:szCs w:val="22"/>
          <w:lang w:eastAsia="en-US"/>
        </w:rPr>
        <w:t>žadujú, aby platobné inštitúcie naďalej niesli plnú zodpovednosť za každé konanie svojich zamestnancov alebo každého agenta, distribútora, pobočky či subjektu, ktorých poverili externým zabezpečovaním činnosti.</w:t>
      </w:r>
    </w:p>
    <w:p w:rsidR="00F7624D" w:rsidRDefault="003C5F24">
      <w:pPr>
        <w:keepNext/>
        <w:widowControl/>
        <w:spacing w:before="120" w:after="360"/>
        <w:jc w:val="center"/>
        <w:rPr>
          <w:rFonts w:eastAsiaTheme="minorHAnsi"/>
          <w:b/>
          <w:smallCaps/>
          <w:noProof/>
          <w:sz w:val="28"/>
          <w:szCs w:val="22"/>
          <w:lang w:eastAsia="en-US"/>
        </w:rPr>
      </w:pPr>
      <w:r>
        <w:rPr>
          <w:rFonts w:eastAsiaTheme="minorHAnsi"/>
          <w:i/>
          <w:smallCaps/>
          <w:sz w:val="28"/>
          <w:szCs w:val="22"/>
          <w:lang w:eastAsia="en-US"/>
        </w:rPr>
        <w:lastRenderedPageBreak/>
        <w:t>Oddiel 3</w:t>
      </w:r>
    </w:p>
    <w:p w:rsidR="00F7624D" w:rsidRDefault="003C5F24">
      <w:pPr>
        <w:keepNext/>
        <w:widowControl/>
        <w:spacing w:before="120" w:after="360"/>
        <w:jc w:val="center"/>
        <w:rPr>
          <w:rFonts w:eastAsiaTheme="minorHAnsi"/>
          <w:b/>
          <w:smallCaps/>
          <w:noProof/>
          <w:sz w:val="28"/>
          <w:szCs w:val="22"/>
          <w:lang w:eastAsia="en-US"/>
        </w:rPr>
      </w:pPr>
      <w:r>
        <w:rPr>
          <w:rFonts w:eastAsiaTheme="minorHAnsi"/>
          <w:i/>
          <w:smallCaps/>
          <w:sz w:val="28"/>
          <w:szCs w:val="22"/>
          <w:lang w:eastAsia="en-US"/>
        </w:rPr>
        <w:t>Príslušné orgány a dohľad</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24</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Určenie príslušných orgánov</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Členské štáty určia za príslušné orgány, ktoré sú zodpovedné za udeľovanie povolení platobným inštitúciám a </w:t>
      </w:r>
      <w:proofErr w:type="spellStart"/>
      <w:r>
        <w:rPr>
          <w:rFonts w:eastAsiaTheme="minorHAnsi"/>
          <w:szCs w:val="22"/>
          <w:lang w:eastAsia="en-US"/>
        </w:rPr>
        <w:t>prudenciálny</w:t>
      </w:r>
      <w:proofErr w:type="spellEnd"/>
      <w:r>
        <w:rPr>
          <w:rFonts w:eastAsiaTheme="minorHAnsi"/>
          <w:szCs w:val="22"/>
          <w:lang w:eastAsia="en-US"/>
        </w:rPr>
        <w:t xml:space="preserve"> dohľad nad nimi a ktoré majú vykonávať povinnosti ustanovené podľa tejto hlavy, buď orgány verejnej moci, alebo subjekty uznané vnútroštátnymi právnymi predpismi alebo orgánmi verejnej moci, ktoré na tento účel výslovne oprávňuje vnútroštátne právo, vráta</w:t>
      </w:r>
      <w:r>
        <w:rPr>
          <w:rFonts w:eastAsiaTheme="minorHAnsi"/>
          <w:szCs w:val="22"/>
          <w:lang w:eastAsia="en-US"/>
        </w:rPr>
        <w:t>ne národných centrálnych bánk. Členské štáty neurčia za príslušné orgány platobné inštitúcie, úverové inštitúcie ani poštové žírové inštitúcie.</w:t>
      </w:r>
    </w:p>
    <w:p w:rsidR="00F7624D" w:rsidRDefault="003C5F24">
      <w:pPr>
        <w:tabs>
          <w:tab w:val="left" w:pos="567"/>
        </w:tabs>
        <w:ind w:left="850"/>
        <w:rPr>
          <w:noProof/>
          <w:szCs w:val="24"/>
        </w:rPr>
      </w:pPr>
      <w:r>
        <w:t>Príslušné orgány musia byť nezávislé od hospodárskych subjektov a predchádzať konfliktu záujmov.</w:t>
      </w:r>
    </w:p>
    <w:p w:rsidR="00F7624D" w:rsidRDefault="003C5F24">
      <w:pPr>
        <w:tabs>
          <w:tab w:val="left" w:pos="567"/>
        </w:tabs>
        <w:ind w:left="850"/>
        <w:rPr>
          <w:noProof/>
          <w:szCs w:val="24"/>
        </w:rPr>
      </w:pPr>
      <w:r>
        <w:t>Členské štáty p</w:t>
      </w:r>
      <w:r>
        <w:t xml:space="preserve">oskytnú Komisii názov a kontaktné údaje príslušného orgánu určeného v súlade s prvým </w:t>
      </w:r>
      <w:proofErr w:type="spellStart"/>
      <w:r>
        <w:t>pododsekom</w:t>
      </w:r>
      <w:proofErr w:type="spellEnd"/>
      <w:r>
        <w:t>.</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Členské štáty zabezpečia, aby príslušné orgány určené podľa odseku 1 mali všetky právomoci potrebné na vykonávanie svojich povinností.</w:t>
      </w:r>
    </w:p>
    <w:p w:rsidR="00F7624D" w:rsidRDefault="003C5F24">
      <w:pPr>
        <w:ind w:left="840"/>
        <w:rPr>
          <w:noProof/>
        </w:rPr>
      </w:pPr>
      <w:r>
        <w:t>Členské štáty zabezpe</w:t>
      </w:r>
      <w:r>
        <w:t>čia, aby príslušné orgány mali na vykonávanie svojich úloh potrebné zdroje, najmä pokiaľ ide o špecializovaných zamestnancov.</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w:t>
      </w:r>
      <w:r>
        <w:rPr>
          <w:rFonts w:eastAsiaTheme="minorHAnsi"/>
          <w:szCs w:val="22"/>
          <w:lang w:eastAsia="en-US"/>
        </w:rPr>
        <w:tab/>
        <w:t xml:space="preserve">Členské štáty, ktoré vymenovali viac ako jeden príslušný orgán pre záležitosti upravené v tejto hlave alebo ktoré za príslušné </w:t>
      </w:r>
      <w:r>
        <w:rPr>
          <w:rFonts w:eastAsiaTheme="minorHAnsi"/>
          <w:szCs w:val="22"/>
          <w:lang w:eastAsia="en-US"/>
        </w:rPr>
        <w:t>orgány vymenovali príslušné orgány, ktoré sú zodpovedné za dohľad nad úverovými inštitúciami, zabezpečia, aby tieto orgány úzko spolupracovali na účely účinného plnenia svojich povinností.</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4.</w:t>
      </w:r>
      <w:r>
        <w:rPr>
          <w:rFonts w:eastAsiaTheme="minorHAnsi"/>
          <w:szCs w:val="22"/>
          <w:lang w:eastAsia="en-US"/>
        </w:rPr>
        <w:tab/>
        <w:t>Za plnenie úloh príslušných orgánov určených podľa odseku 1 sú z</w:t>
      </w:r>
      <w:r>
        <w:rPr>
          <w:rFonts w:eastAsiaTheme="minorHAnsi"/>
          <w:szCs w:val="22"/>
          <w:lang w:eastAsia="en-US"/>
        </w:rPr>
        <w:t>odpovedné príslušné orgány domovského členského štátu.</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5.</w:t>
      </w:r>
      <w:r>
        <w:rPr>
          <w:rFonts w:eastAsiaTheme="minorHAnsi"/>
          <w:szCs w:val="22"/>
          <w:lang w:eastAsia="en-US"/>
        </w:rPr>
        <w:tab/>
        <w:t xml:space="preserve">Odsek 1 neznamená, že sa od príslušných orgánov vyžaduje, aby vykonávali dohľad nad inými podnikateľskými činnosťami platobných inštitúcií, než je poskytovanie platobných služieb a činnosti uvedené </w:t>
      </w:r>
      <w:r>
        <w:rPr>
          <w:rFonts w:eastAsiaTheme="minorHAnsi"/>
          <w:szCs w:val="22"/>
          <w:lang w:eastAsia="en-US"/>
        </w:rPr>
        <w:t>v článku 10 ods. 1 písm. a).</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25</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Dohľad</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Členské štáty zabezpečia, aby boli kontroly vykonávané príslušnými orgánmi na účely kontroly pokračujúceho dodržiavania tejto hlavy primerané, zodpovedajúce a aby reagovali na riziká, ktorým sú platobné inšt</w:t>
      </w:r>
      <w:r>
        <w:rPr>
          <w:rFonts w:eastAsiaTheme="minorHAnsi"/>
          <w:szCs w:val="22"/>
          <w:lang w:eastAsia="en-US"/>
        </w:rPr>
        <w:t>itúcie vystavené.</w:t>
      </w:r>
    </w:p>
    <w:p w:rsidR="00F7624D" w:rsidRDefault="003C5F24">
      <w:pPr>
        <w:ind w:left="850"/>
        <w:rPr>
          <w:noProof/>
        </w:rPr>
      </w:pPr>
      <w:r>
        <w:t>Na kontrolu dodržiavania tejto hlavy sú príslušné orgány najmä oprávnené prijať tieto opatrenia:</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vyžadovať, aby platobná inštitúcia poskytla všetky informácie, ktoré sú potrebné na monitorovanie dodržiavania súladu, a v prípade potreby</w:t>
      </w:r>
      <w:r>
        <w:rPr>
          <w:rFonts w:eastAsiaTheme="minorHAnsi"/>
          <w:szCs w:val="22"/>
          <w:lang w:eastAsia="en-US"/>
        </w:rPr>
        <w:t xml:space="preserve"> stanovia účel žiadosti a lehotu, v rámci ktorej sa tieto informácie majú poskytnúť;</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lastRenderedPageBreak/>
        <w:t>b)</w:t>
      </w:r>
      <w:r>
        <w:rPr>
          <w:rFonts w:eastAsiaTheme="minorHAnsi"/>
          <w:szCs w:val="22"/>
          <w:lang w:eastAsia="en-US"/>
        </w:rPr>
        <w:tab/>
        <w:t>vykonávať kontroly na mieste v obchodných priestoroch platobnej inštitúcie, u každého agenta, distribútora alebo v každej pobočke poskytujúcej platobné služby alebo slu</w:t>
      </w:r>
      <w:r>
        <w:rPr>
          <w:rFonts w:eastAsiaTheme="minorHAnsi"/>
          <w:szCs w:val="22"/>
          <w:lang w:eastAsia="en-US"/>
        </w:rPr>
        <w:t>žby elektronických peňazí, za ktorých konanie je zodpovedná platobná inštitúcia, alebo v obchodných priestoroch každého subjektu, ktorý bol poverený externým zabezpečovaním činností;</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vydávať odporúčania, usmernenia a prípade záväzné správne opatrenia;</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d</w:t>
      </w:r>
      <w:r>
        <w:rPr>
          <w:rFonts w:eastAsiaTheme="minorHAnsi"/>
          <w:szCs w:val="22"/>
          <w:lang w:eastAsia="en-US"/>
        </w:rPr>
        <w:t>)</w:t>
      </w:r>
      <w:r>
        <w:rPr>
          <w:rFonts w:eastAsiaTheme="minorHAnsi"/>
          <w:szCs w:val="22"/>
          <w:lang w:eastAsia="en-US"/>
        </w:rPr>
        <w:tab/>
        <w:t>pozastaviť platnosť povolenia alebo ho odňať podľa článku 16.</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 xml:space="preserve">Bez toho, aby bol dotknutý článok 16 a akékoľvek vnútroštátne ustanovenia trestného práva, členské štáty stanovia, že ich príslušné orgány môžu uložiť platobným inštitúciám, ktoré porušujú </w:t>
      </w:r>
      <w:r>
        <w:rPr>
          <w:rFonts w:eastAsiaTheme="minorHAnsi"/>
          <w:szCs w:val="22"/>
          <w:lang w:eastAsia="en-US"/>
        </w:rPr>
        <w:t>ustanovenia, ktorými sa transponuje táto smernica, alebo subjektom, ktoré skutočne ovládajú ich podnikateľskú činnosť a ktoré porušujú ustanovenia, ktorými sa transponuje táto smernica, sankcie alebo opatrenia zamerané konkrétne na ukončenie zisteného poru</w:t>
      </w:r>
      <w:r>
        <w:rPr>
          <w:rFonts w:eastAsiaTheme="minorHAnsi"/>
          <w:szCs w:val="22"/>
          <w:lang w:eastAsia="en-US"/>
        </w:rPr>
        <w:t>šovania a odstránenie dôvodov takéhoto porušovania.</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Bez ohľadu na požiadavky článku 5, článku 6 ods. 1 a 2, článku 7 a článku 8 členské štáty zabezpečia, aby príslušné orgány mohli podniknúť kroky uvedené v odseku 1 tohto článku s cieľom zabezpečiť dost</w:t>
      </w:r>
      <w:r>
        <w:rPr>
          <w:rFonts w:eastAsiaTheme="minorHAnsi"/>
          <w:szCs w:val="22"/>
          <w:lang w:eastAsia="en-US"/>
        </w:rPr>
        <w:t>atočný kapitál pre platobné inštitúcie, najmä ak činnosti iné ako platobné služby alebo služby elektronických peňazí narúšajú alebo môžu narušiť finančnú stabilitu daných platobných inštitúcií.</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26</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Služobné tajomstvo</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Bez toho, aby tým boli dotknut</w:t>
      </w:r>
      <w:r>
        <w:rPr>
          <w:rFonts w:eastAsiaTheme="minorHAnsi"/>
          <w:szCs w:val="22"/>
          <w:lang w:eastAsia="en-US"/>
        </w:rPr>
        <w:t>é prípady, na ktoré sa vzťahuje vnútroštátne trestné právo, členské štáty zabezpečia, aby všetky osoby, ktoré pracujú alebo pracovali pre príslušné orgány, a všetci experti, ktorí konajú v mene príslušných orgánov, boli viazaní povinnosťou služobného tajom</w:t>
      </w:r>
      <w:r>
        <w:rPr>
          <w:rFonts w:eastAsiaTheme="minorHAnsi"/>
          <w:szCs w:val="22"/>
          <w:lang w:eastAsia="en-US"/>
        </w:rPr>
        <w:t>stva.</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Na informácie vymieňané v súlade s článkom 28 sa vzťahuje povinnosť služobného tajomstva zo strany orgánu poskytujúceho informácie, ako aj zo strany prijímajúceho orgánu, aby sa zabezpečila ochrana práv jednotlivcov a podnikov.</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Členské štáty mô</w:t>
      </w:r>
      <w:r>
        <w:rPr>
          <w:rFonts w:eastAsiaTheme="minorHAnsi"/>
          <w:szCs w:val="22"/>
          <w:lang w:eastAsia="en-US"/>
        </w:rPr>
        <w:t>žu primerane uplatňovať tento článok s prihliadnutím na články 53 až 61 smernice 2013/36/EÚ.</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27</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Právo obrátiť sa na súdy</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Členské štáty zabezpečia, aby rozhodnutia prijaté príslušnými orgánmi, pokiaľ ide o platobnú inštitúciu, mohli byť podľa záko</w:t>
      </w:r>
      <w:r>
        <w:rPr>
          <w:rFonts w:eastAsiaTheme="minorHAnsi"/>
          <w:szCs w:val="22"/>
          <w:lang w:eastAsia="en-US"/>
        </w:rPr>
        <w:t>nov, iných právnych predpisov a správnych opatrení prijatých v súlade s touto smernicou napadnuteľné na súde.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Odsek 1 sa uplatňuje aj v súvislosti s nečinnosťou.</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lastRenderedPageBreak/>
        <w:t>Článok 28</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Spolupráca a výmena informácií</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 xml:space="preserve">Príslušné orgány jednotlivých členských štátov </w:t>
      </w:r>
      <w:r>
        <w:rPr>
          <w:rFonts w:eastAsiaTheme="minorHAnsi"/>
          <w:szCs w:val="22"/>
          <w:lang w:eastAsia="en-US"/>
        </w:rPr>
        <w:t>spolupracujú navzájom a prípadne s ECB a národnými centrálnymi bankami členských štátov, orgánom EBA a inými relevantnými príslušnými orgánmi určenými podľa práva Únie alebo vnútroštátneho práva uplatniteľného na poskytovateľov platobných služieb.</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Člens</w:t>
      </w:r>
      <w:r>
        <w:rPr>
          <w:rFonts w:eastAsiaTheme="minorHAnsi"/>
          <w:szCs w:val="22"/>
          <w:lang w:eastAsia="en-US"/>
        </w:rPr>
        <w:t>ké štáty umožnia výmenu informácií medzi svojimi príslušnými orgánmi a:</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ab/>
        <w:t>príslušnými orgánmi iných členských štátov, ktoré sú zodpovedné za udeľovanie povolení žiadajúcim platobným inštitúciám a dohľad nad platobnými inštitúciami;</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ECB a národnými cent</w:t>
      </w:r>
      <w:r>
        <w:rPr>
          <w:rFonts w:eastAsiaTheme="minorHAnsi"/>
          <w:szCs w:val="22"/>
          <w:lang w:eastAsia="en-US"/>
        </w:rPr>
        <w:t xml:space="preserve">rálnymi bankami členských štátov v rámci výkonu ich činnosti ako menových orgánov a orgánov dohľadu, a prípadne inými orgánmi verejnej moci zodpovednými za dohľad nad platobnými a zúčtovacími systémami; </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c)</w:t>
      </w:r>
      <w:r>
        <w:rPr>
          <w:rFonts w:eastAsiaTheme="minorHAnsi"/>
          <w:szCs w:val="22"/>
          <w:lang w:eastAsia="en-US"/>
        </w:rPr>
        <w:tab/>
        <w:t>inými relevantnými orgánmi určenými podľa tejto s</w:t>
      </w:r>
      <w:r>
        <w:rPr>
          <w:rFonts w:eastAsiaTheme="minorHAnsi"/>
          <w:szCs w:val="22"/>
          <w:lang w:eastAsia="en-US"/>
        </w:rPr>
        <w:t>mernice a iných právnych predpisov Únie uplatniteľných na poskytovateľov platobných služieb vrátane smernice (EÚ) 2015/849;</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d)</w:t>
      </w:r>
      <w:r>
        <w:rPr>
          <w:rFonts w:eastAsiaTheme="minorHAnsi"/>
          <w:szCs w:val="22"/>
          <w:lang w:eastAsia="en-US"/>
        </w:rPr>
        <w:tab/>
        <w:t>orgánom EBA v rámci plnenia jeho úlohy prispievať k účinnému a konzistentnému fungovaniu mechanizmov dohľadu, ako sa uvádza v člá</w:t>
      </w:r>
      <w:r>
        <w:rPr>
          <w:rFonts w:eastAsiaTheme="minorHAnsi"/>
          <w:szCs w:val="22"/>
          <w:lang w:eastAsia="en-US"/>
        </w:rPr>
        <w:t>nku 1 ods. 5 písm. a) nariadenia (EÚ) č. 1093/2010.</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29</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Urovnávanie sporov medzi príslušnými orgánmi rôznych členských štátov</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 xml:space="preserve">Príslušný orgán členského štátu, ktorý sa domnieva, že v určitej záležitosti nie je cezhraničná spolupráca s príslušnými </w:t>
      </w:r>
      <w:r>
        <w:rPr>
          <w:rFonts w:eastAsiaTheme="minorHAnsi"/>
          <w:szCs w:val="22"/>
          <w:lang w:eastAsia="en-US"/>
        </w:rPr>
        <w:t>orgánmi iného členského štátu, ako sa uvádza v článkoch 28, 30, 31, 32 alebo 33, v súlade s podmienkami stanovenými v uvedených ustanoveniach, môže túto záležitosť postúpiť orgánu EBA a požiadať ho o pomoc v súlade s článkom 19 nariadenia (EÚ) č. 1093/2010</w:t>
      </w:r>
      <w:r>
        <w:rPr>
          <w:rFonts w:eastAsiaTheme="minorHAnsi"/>
          <w:szCs w:val="22"/>
          <w:lang w:eastAsia="en-US"/>
        </w:rPr>
        <w:t>.</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 xml:space="preserve">Ak bol orgán EBA požiadaný o pomoc podľa odseku 1, bez zbytočného odkladu prijme rozhodnutie podľa článku 19 ods. 3 nariadenia (EÚ) č. 1093/2010. Orgán EBA môže pri dosahovaní dohody v súlade s článkom 19 ods. 1 druhým </w:t>
      </w:r>
      <w:proofErr w:type="spellStart"/>
      <w:r>
        <w:rPr>
          <w:rFonts w:eastAsiaTheme="minorHAnsi"/>
          <w:szCs w:val="22"/>
          <w:lang w:eastAsia="en-US"/>
        </w:rPr>
        <w:t>pododsekom</w:t>
      </w:r>
      <w:proofErr w:type="spellEnd"/>
      <w:r>
        <w:rPr>
          <w:rFonts w:eastAsiaTheme="minorHAnsi"/>
          <w:szCs w:val="22"/>
          <w:lang w:eastAsia="en-US"/>
        </w:rPr>
        <w:t xml:space="preserve"> uvedeného nariadenia </w:t>
      </w:r>
      <w:r>
        <w:rPr>
          <w:rFonts w:eastAsiaTheme="minorHAnsi"/>
          <w:szCs w:val="22"/>
          <w:lang w:eastAsia="en-US"/>
        </w:rPr>
        <w:t>príslušným orgánom pomáhať aj z vlastného podnetu. Dotknuté príslušné orgány v každom prípade odložia svoje rozhodnutie až do vyriešenia podľa článku 19 uvedeného nariadenia.</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30</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Žiadosť o uplatnenie práva usadiť sa a slobody poskytovať služby</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Čle</w:t>
      </w:r>
      <w:r>
        <w:rPr>
          <w:rFonts w:eastAsiaTheme="minorHAnsi"/>
          <w:szCs w:val="22"/>
          <w:lang w:eastAsia="en-US"/>
        </w:rPr>
        <w:t>nské štáty zabezpečia, aby každá platobná inštitúcia, ktorá chce prvýkrát poskytovať platobné služby alebo služby elektronických peňazí v inom členskom štáte než vo svojom domovskom členskom štáte, a to aj prostredníctvom prevádzkarne v treťom členskom štá</w:t>
      </w:r>
      <w:r>
        <w:rPr>
          <w:rFonts w:eastAsiaTheme="minorHAnsi"/>
          <w:szCs w:val="22"/>
          <w:lang w:eastAsia="en-US"/>
        </w:rPr>
        <w:t xml:space="preserve">te, v rámci uplatnenia práva usadiť sa alebo slobody poskytovať </w:t>
      </w:r>
      <w:r>
        <w:rPr>
          <w:rFonts w:eastAsiaTheme="minorHAnsi"/>
          <w:szCs w:val="22"/>
          <w:lang w:eastAsia="en-US"/>
        </w:rPr>
        <w:lastRenderedPageBreak/>
        <w:t>služby, oznámila príslušným orgánom vo svojom domovskom členskom štáte tieto informácie:</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ab/>
        <w:t>názov, adresu a prípadne číslo povolenia platobnej inštitúcie;</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členský štát/štáty, v ktorých plat</w:t>
      </w:r>
      <w:r>
        <w:rPr>
          <w:rFonts w:eastAsiaTheme="minorHAnsi"/>
          <w:szCs w:val="22"/>
          <w:lang w:eastAsia="en-US"/>
        </w:rPr>
        <w:t>obná inštitúcia plánuje vykonávať činnosť, a plánovaný dátum začatia činností v tomto členskom štáte;</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c)</w:t>
      </w:r>
      <w:r>
        <w:rPr>
          <w:rFonts w:eastAsiaTheme="minorHAnsi"/>
          <w:szCs w:val="22"/>
          <w:lang w:eastAsia="en-US"/>
        </w:rPr>
        <w:tab/>
        <w:t>platobné služby alebo služby elektronických peňazí, ktoré platobná inštitúcia plánuje poskytovať;</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d)</w:t>
      </w:r>
      <w:r>
        <w:rPr>
          <w:rFonts w:eastAsiaTheme="minorHAnsi"/>
          <w:szCs w:val="22"/>
          <w:lang w:eastAsia="en-US"/>
        </w:rPr>
        <w:tab/>
        <w:t>ak platobná inštitúcia plánuje využívať agenta ale</w:t>
      </w:r>
      <w:r>
        <w:rPr>
          <w:rFonts w:eastAsiaTheme="minorHAnsi"/>
          <w:szCs w:val="22"/>
          <w:lang w:eastAsia="en-US"/>
        </w:rPr>
        <w:t>bo distribútora, informácie uvedené v článku 19 ods. 1 a článku 20 ods. 2;</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e)</w:t>
      </w:r>
      <w:r>
        <w:rPr>
          <w:rFonts w:eastAsiaTheme="minorHAnsi"/>
          <w:szCs w:val="22"/>
          <w:lang w:eastAsia="en-US"/>
        </w:rPr>
        <w:tab/>
        <w:t>ak platobná inštitúcia plánuje využívať pobočku:</w:t>
      </w:r>
    </w:p>
    <w:p w:rsidR="00F7624D" w:rsidRDefault="003C5F24">
      <w:pPr>
        <w:widowControl/>
        <w:spacing w:before="120" w:after="120"/>
        <w:ind w:left="1418"/>
        <w:jc w:val="both"/>
        <w:rPr>
          <w:rFonts w:eastAsiaTheme="minorHAnsi"/>
          <w:noProof/>
          <w:szCs w:val="24"/>
          <w:lang w:eastAsia="en-US"/>
        </w:rPr>
      </w:pPr>
      <w:r>
        <w:rPr>
          <w:rFonts w:eastAsiaTheme="minorHAnsi"/>
          <w:szCs w:val="22"/>
          <w:lang w:eastAsia="en-US"/>
        </w:rPr>
        <w:t>i)</w:t>
      </w:r>
      <w:r>
        <w:rPr>
          <w:rFonts w:eastAsiaTheme="minorHAnsi"/>
          <w:szCs w:val="22"/>
          <w:lang w:eastAsia="en-US"/>
        </w:rPr>
        <w:tab/>
        <w:t>informácie uvedené v článku 3 ods. 3 písm. b) a e), pokiaľ ide o podnikateľské činnosti v oblasti platobných služieb alebo slu</w:t>
      </w:r>
      <w:r>
        <w:rPr>
          <w:rFonts w:eastAsiaTheme="minorHAnsi"/>
          <w:szCs w:val="22"/>
          <w:lang w:eastAsia="en-US"/>
        </w:rPr>
        <w:t>žieb elektronických peňazí v hostiteľskom členskom štáte;</w:t>
      </w:r>
    </w:p>
    <w:p w:rsidR="00F7624D" w:rsidRDefault="003C5F24">
      <w:pPr>
        <w:widowControl/>
        <w:spacing w:before="120" w:after="120"/>
        <w:ind w:left="1418"/>
        <w:jc w:val="both"/>
        <w:rPr>
          <w:rFonts w:eastAsiaTheme="minorHAnsi"/>
          <w:noProof/>
          <w:szCs w:val="24"/>
          <w:lang w:eastAsia="en-US"/>
        </w:rPr>
      </w:pPr>
      <w:r>
        <w:rPr>
          <w:rFonts w:eastAsiaTheme="minorHAnsi"/>
          <w:szCs w:val="22"/>
          <w:lang w:eastAsia="en-US"/>
        </w:rPr>
        <w:t>ii)</w:t>
      </w:r>
      <w:r>
        <w:rPr>
          <w:rFonts w:eastAsiaTheme="minorHAnsi"/>
          <w:szCs w:val="22"/>
          <w:lang w:eastAsia="en-US"/>
        </w:rPr>
        <w:tab/>
        <w:t>opis organizačnej štruktúry pobočky;</w:t>
      </w:r>
    </w:p>
    <w:p w:rsidR="00F7624D" w:rsidRDefault="003C5F24">
      <w:pPr>
        <w:widowControl/>
        <w:spacing w:before="120" w:after="120"/>
        <w:ind w:left="1418"/>
        <w:jc w:val="both"/>
        <w:rPr>
          <w:rFonts w:eastAsiaTheme="minorHAnsi"/>
          <w:noProof/>
          <w:szCs w:val="24"/>
          <w:lang w:eastAsia="en-US"/>
        </w:rPr>
      </w:pPr>
      <w:r>
        <w:rPr>
          <w:rFonts w:eastAsiaTheme="minorHAnsi"/>
          <w:szCs w:val="22"/>
          <w:lang w:eastAsia="en-US"/>
        </w:rPr>
        <w:t>iii)</w:t>
      </w:r>
      <w:r>
        <w:rPr>
          <w:rFonts w:eastAsiaTheme="minorHAnsi"/>
          <w:szCs w:val="22"/>
          <w:lang w:eastAsia="en-US"/>
        </w:rPr>
        <w:tab/>
        <w:t>totožnosť osôb zodpovedných za riadenie pobočky.</w:t>
      </w:r>
    </w:p>
    <w:p w:rsidR="00F7624D" w:rsidRDefault="003C5F24">
      <w:pPr>
        <w:spacing w:before="120" w:after="120"/>
        <w:ind w:left="851"/>
        <w:jc w:val="both"/>
        <w:rPr>
          <w:rFonts w:eastAsiaTheme="minorHAnsi"/>
          <w:noProof/>
          <w:szCs w:val="24"/>
        </w:rPr>
      </w:pPr>
      <w:r>
        <w:t>Členské štáty zabezpečia, aby platobné inštitúcie, ktoré plánujú poveriť iné subjekty v hostiteľskom čl</w:t>
      </w:r>
      <w:r>
        <w:t>enskom štáte externým zabezpečovaním prevádzkových úloh platobných služieb alebo služieb elektronických peňazí, o tom</w:t>
      </w:r>
      <w:r>
        <w:rPr>
          <w:b/>
          <w:i/>
        </w:rPr>
        <w:t xml:space="preserve"> okamžite</w:t>
      </w:r>
      <w:r>
        <w:t xml:space="preserve"> informovali príslušné orgány vo svojom domovskom členskom štáte.</w:t>
      </w:r>
    </w:p>
    <w:p w:rsidR="00F7624D" w:rsidRDefault="003C5F24">
      <w:pPr>
        <w:ind w:left="851" w:hanging="851"/>
        <w:jc w:val="both"/>
        <w:rPr>
          <w:noProof/>
          <w:szCs w:val="24"/>
        </w:rPr>
      </w:pPr>
      <w:r>
        <w:rPr>
          <w:b/>
          <w:i/>
        </w:rPr>
        <w:t>1a.</w:t>
      </w:r>
      <w:r>
        <w:rPr>
          <w:b/>
          <w:i/>
        </w:rPr>
        <w:tab/>
        <w:t>Komisia vytvorí špecializované internetové webové sídlo so v</w:t>
      </w:r>
      <w:r>
        <w:rPr>
          <w:b/>
          <w:i/>
        </w:rPr>
        <w:t>šetkými informáciami na jednom mieste o tom, ako sa môžu platobné inštitúcie registrovať v každom členskom štáte.</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Príslušné orgány domovského členského štátu zašlú príslušným orgánom hostiteľského členského štátu všetky informácie uvedené v odseku 1 do</w:t>
      </w:r>
      <w:r>
        <w:rPr>
          <w:rFonts w:eastAsiaTheme="minorHAnsi"/>
          <w:b/>
          <w:i/>
          <w:szCs w:val="22"/>
          <w:lang w:eastAsia="en-US"/>
        </w:rPr>
        <w:t xml:space="preserve"> </w:t>
      </w:r>
      <w:r>
        <w:rPr>
          <w:rFonts w:eastAsiaTheme="minorHAnsi"/>
          <w:b/>
          <w:i/>
          <w:szCs w:val="22"/>
          <w:lang w:eastAsia="en-US"/>
        </w:rPr>
        <w:t xml:space="preserve">10 pracovných dní </w:t>
      </w:r>
      <w:r>
        <w:rPr>
          <w:rFonts w:eastAsiaTheme="minorHAnsi"/>
          <w:szCs w:val="22"/>
          <w:lang w:eastAsia="en-US"/>
        </w:rPr>
        <w:t>od ich doručenia. Ak sa služby poskytujú prostredníctvom tretieho členského štátu, členským štátom, ktorý má byť informovaný, je členský štát, v ktorom sa služby poskytujú používateľom platobných služieb.</w:t>
      </w:r>
    </w:p>
    <w:p w:rsidR="00F7624D" w:rsidRDefault="003C5F24">
      <w:pPr>
        <w:tabs>
          <w:tab w:val="left" w:pos="567"/>
        </w:tabs>
        <w:ind w:left="850"/>
        <w:jc w:val="both"/>
        <w:rPr>
          <w:noProof/>
          <w:szCs w:val="24"/>
        </w:rPr>
      </w:pPr>
      <w:r>
        <w:t xml:space="preserve">Príslušné orgány hostiteľského </w:t>
      </w:r>
      <w:r>
        <w:t>členského štátu do</w:t>
      </w:r>
      <w:r>
        <w:rPr>
          <w:b/>
          <w:i/>
        </w:rPr>
        <w:t xml:space="preserve"> 15 pracovných dní </w:t>
      </w:r>
      <w:r>
        <w:t>od doručenia informácií od príslušných orgánov domovského členského štátu posúdia tieto informácie a poskytnú príslušným orgánom domovského členského štátu relevantné informácie o plánovanom poskytovaní platobných služi</w:t>
      </w:r>
      <w:r>
        <w:t>eb alebo služieb elektronických peňazí príslušnou platobnou inštitúciou pri uplatnení slobody usadiť sa alebo slobody poskytovať služby. Príslušné orgány hostiteľského členského štátu informujú príslušné orgány domovského členského štátu o akýchkoľvek dôvo</w:t>
      </w:r>
      <w:r>
        <w:t>doch na obavy v súvislosti s plánovaným využitím agenta, distribútora alebo zriadením pobočky, pokiaľ ide o pranie špinavých peňazí alebo financovanie terorizmu v zmysle smernice (EÚ) 2015/849. Pred tým, ako tak urobí, musí príslušný orgán hostiteľského čl</w:t>
      </w:r>
      <w:r>
        <w:t>enského štátu spolupracovať s relevantnými príslušnými orgánmi, ako sa uvádza v článku 7 ods. 2 smernice (EÚ) 2015/849, s cieľom zistiť, či takéto dôvody existujú.</w:t>
      </w:r>
    </w:p>
    <w:p w:rsidR="00F7624D" w:rsidRDefault="003C5F24">
      <w:pPr>
        <w:tabs>
          <w:tab w:val="left" w:pos="567"/>
        </w:tabs>
        <w:ind w:left="850"/>
        <w:jc w:val="both"/>
        <w:rPr>
          <w:noProof/>
          <w:szCs w:val="24"/>
        </w:rPr>
      </w:pPr>
      <w:r>
        <w:t>Príslušné orgány domovského členského štátu, ktoré nesúhlasia s posúdením príslušnými orgánm</w:t>
      </w:r>
      <w:r>
        <w:t xml:space="preserve">i hostiteľského členského štátu, poskytnú príslušným orgánom hostiteľského členského štátu dôvody svojho nesúhlasu. </w:t>
      </w:r>
    </w:p>
    <w:p w:rsidR="00F7624D" w:rsidRDefault="003C5F24">
      <w:pPr>
        <w:tabs>
          <w:tab w:val="left" w:pos="567"/>
        </w:tabs>
        <w:ind w:left="850"/>
        <w:jc w:val="both"/>
        <w:rPr>
          <w:noProof/>
          <w:szCs w:val="24"/>
        </w:rPr>
      </w:pPr>
      <w:r>
        <w:t>Ak posúdenie príslušných orgánov domovského členského štátu nie je priaznivé vzhľadom na informácie, ktoré dostali od príslušných orgánov h</w:t>
      </w:r>
      <w:r>
        <w:t xml:space="preserve">ostiteľského členského štátu, príslušné orgány domovského členského štátu odmietnu zapísať </w:t>
      </w:r>
      <w:r>
        <w:lastRenderedPageBreak/>
        <w:t>agenta, pobočku alebo distribútora do registra alebo zrušia registráciu, ak už bola vykonaná.</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w:t>
      </w:r>
      <w:r>
        <w:rPr>
          <w:rFonts w:eastAsiaTheme="minorHAnsi"/>
          <w:szCs w:val="22"/>
          <w:lang w:eastAsia="en-US"/>
        </w:rPr>
        <w:tab/>
        <w:t>Príslušné orgány domovského členského štátu do</w:t>
      </w:r>
      <w:r>
        <w:rPr>
          <w:rFonts w:eastAsiaTheme="minorHAnsi"/>
          <w:b/>
          <w:i/>
          <w:szCs w:val="22"/>
          <w:lang w:eastAsia="en-US"/>
        </w:rPr>
        <w:t xml:space="preserve"> 30 pracovných dní </w:t>
      </w:r>
      <w:r>
        <w:rPr>
          <w:rFonts w:eastAsiaTheme="minorHAnsi"/>
          <w:szCs w:val="22"/>
          <w:lang w:eastAsia="en-US"/>
        </w:rPr>
        <w:t xml:space="preserve">od </w:t>
      </w:r>
      <w:r>
        <w:rPr>
          <w:rFonts w:eastAsiaTheme="minorHAnsi"/>
          <w:szCs w:val="22"/>
          <w:lang w:eastAsia="en-US"/>
        </w:rPr>
        <w:t>doručenia informácií uvedených v odseku 1 oznámia svoje rozhodnutie príslušným orgánom hostiteľského členského štátu a platobnej inštitúcii.</w:t>
      </w:r>
    </w:p>
    <w:p w:rsidR="00F7624D" w:rsidRDefault="003C5F24">
      <w:pPr>
        <w:tabs>
          <w:tab w:val="left" w:pos="567"/>
        </w:tabs>
        <w:ind w:left="850"/>
        <w:jc w:val="both"/>
        <w:rPr>
          <w:noProof/>
          <w:szCs w:val="24"/>
        </w:rPr>
      </w:pPr>
      <w:r>
        <w:t>Po zápise do registra uvedeného v článku 17 môže agent, distribútor alebo pobočka začať vykonávať svoje činnosti v </w:t>
      </w:r>
      <w:r>
        <w:t>príslušnom hostiteľskom členskom štáte.</w:t>
      </w:r>
    </w:p>
    <w:p w:rsidR="00F7624D" w:rsidRDefault="003C5F24">
      <w:pPr>
        <w:tabs>
          <w:tab w:val="left" w:pos="567"/>
        </w:tabs>
        <w:ind w:left="850"/>
        <w:jc w:val="both"/>
        <w:rPr>
          <w:noProof/>
          <w:szCs w:val="24"/>
        </w:rPr>
      </w:pPr>
      <w:r>
        <w:t>Členské štáty zabezpečia, aby platobná inštitúcia oznámila príslušnými orgánom domovského členského štátu dátum začatia vykonávania činností vykonávaných v mene platobnej inštitúcie prostredníctvom agenta, distribúto</w:t>
      </w:r>
      <w:r>
        <w:t>ra alebo pobočky v dotknutom hostiteľskom členskom štáte. Príslušné orgány domovského členského štátu o tom informujú príslušné orgány hostiteľského členského štátu.</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4.</w:t>
      </w:r>
      <w:r>
        <w:rPr>
          <w:rFonts w:eastAsiaTheme="minorHAnsi"/>
          <w:szCs w:val="22"/>
          <w:lang w:eastAsia="en-US"/>
        </w:rPr>
        <w:tab/>
        <w:t>Členské štáty zabezpečia, aby platobná inštitúcia bez zbytočného odkladu oznámila prísl</w:t>
      </w:r>
      <w:r>
        <w:rPr>
          <w:rFonts w:eastAsiaTheme="minorHAnsi"/>
          <w:szCs w:val="22"/>
          <w:lang w:eastAsia="en-US"/>
        </w:rPr>
        <w:t>ušnými orgánom domovského členského štátu akúkoľvek relevantnú zmenu, pokiaľ ide o informácie oznámené v súlade s odsekom 1, vrátane ďalších agentov, distribútorov, pobočiek alebo subjektov, ktoré sú poverené externým zabezpečovaním činností v hostiteľskýc</w:t>
      </w:r>
      <w:r>
        <w:rPr>
          <w:rFonts w:eastAsiaTheme="minorHAnsi"/>
          <w:szCs w:val="22"/>
          <w:lang w:eastAsia="en-US"/>
        </w:rPr>
        <w:t>h členských štátoch, v ktorých platobná inštitúcia vykonáva činnosť. Uplatňuje sa postup stanovený v odsekoch 2 a 3.</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5.</w:t>
      </w:r>
      <w:r>
        <w:rPr>
          <w:rFonts w:eastAsiaTheme="minorHAnsi"/>
          <w:szCs w:val="22"/>
          <w:lang w:eastAsia="en-US"/>
        </w:rPr>
        <w:tab/>
        <w:t>Orgán EBA vypracuje návrh regulačných technických predpisov, v ktorých sa vymedzí rámec spolupráce a výmeny informácií medzi príslušnými</w:t>
      </w:r>
      <w:r>
        <w:rPr>
          <w:rFonts w:eastAsiaTheme="minorHAnsi"/>
          <w:szCs w:val="22"/>
          <w:lang w:eastAsia="en-US"/>
        </w:rPr>
        <w:t xml:space="preserve"> orgánmi domovského a hostiteľského členského štátu v súlade s týmto článkom. V uvedenom návrhu regulačných technických predpisov sa stanoví spôsob, prostriedky a podrobnosti spolupráce pri oznamovaní platobných inštitúcií, ktoré vykonávajú svoju činnosť c</w:t>
      </w:r>
      <w:r>
        <w:rPr>
          <w:rFonts w:eastAsiaTheme="minorHAnsi"/>
          <w:szCs w:val="22"/>
          <w:lang w:eastAsia="en-US"/>
        </w:rPr>
        <w:t xml:space="preserve">ezhranične, a to najmä rozsah informácií, ktoré sa majú predložiť, a zaobchádzanie s nimi vrátane spoločnej terminológie a štandardných formulárov oznámení, aby sa zabezpečil jednotný a efektívny postup oznamovania. </w:t>
      </w:r>
    </w:p>
    <w:p w:rsidR="00F7624D" w:rsidRDefault="003C5F24">
      <w:pPr>
        <w:widowControl/>
        <w:tabs>
          <w:tab w:val="left" w:pos="567"/>
        </w:tabs>
        <w:spacing w:before="120" w:after="120"/>
        <w:ind w:left="850"/>
        <w:jc w:val="both"/>
        <w:rPr>
          <w:rFonts w:eastAsiaTheme="minorHAnsi"/>
          <w:noProof/>
          <w:szCs w:val="24"/>
          <w:lang w:eastAsia="en-US"/>
        </w:rPr>
      </w:pPr>
      <w:r>
        <w:rPr>
          <w:rFonts w:eastAsiaTheme="minorHAnsi"/>
          <w:szCs w:val="22"/>
          <w:lang w:eastAsia="en-US"/>
        </w:rPr>
        <w:t>Orgán EBA predloží uvedený návrh regula</w:t>
      </w:r>
      <w:r>
        <w:rPr>
          <w:rFonts w:eastAsiaTheme="minorHAnsi"/>
          <w:szCs w:val="22"/>
          <w:lang w:eastAsia="en-US"/>
        </w:rPr>
        <w:t>čných technických predpisov Komisii do [OP: doplňte dátum = 18 mesiacov od dátumu nadobudnutia účinnosti tejto smernice].</w:t>
      </w:r>
    </w:p>
    <w:p w:rsidR="00F7624D" w:rsidRDefault="003C5F24">
      <w:pPr>
        <w:ind w:left="850"/>
        <w:rPr>
          <w:noProof/>
        </w:rPr>
      </w:pPr>
      <w:r>
        <w:t>Na Komisiu sa deleguje právomoc prijať regulačné technické predpisy v súlade s článkami 10 až 14 nariadenia (EÚ) č. 1093/2010</w:t>
      </w:r>
      <w:r>
        <w:rPr>
          <w:b/>
          <w:i/>
        </w:rPr>
        <w:t>.</w:t>
      </w:r>
    </w:p>
    <w:p w:rsidR="00F7624D" w:rsidRDefault="00F7624D">
      <w:pPr>
        <w:rPr>
          <w:noProof/>
        </w:rPr>
      </w:pP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w:t>
      </w:r>
      <w:r>
        <w:rPr>
          <w:rFonts w:eastAsiaTheme="minorHAnsi"/>
          <w:i/>
          <w:szCs w:val="22"/>
          <w:lang w:eastAsia="en-US"/>
        </w:rPr>
        <w:t xml:space="preserve"> 31</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Dohľad nad platobnými inštitúciami uplatňujúcimi právo usadiť sa a slobodu poskytovať služby</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Príslušné orgány domovského členského štátu pri vykonávaní kontrol a podnikaní potrebných krokov stanovených v tejto hlave v súvislosti s agentom, distribút</w:t>
      </w:r>
      <w:r>
        <w:rPr>
          <w:rFonts w:eastAsiaTheme="minorHAnsi"/>
          <w:szCs w:val="22"/>
          <w:lang w:eastAsia="en-US"/>
        </w:rPr>
        <w:t xml:space="preserve">orom alebo pobočkou platobnej inštitúcie, ktorá sa nachádza na území iného členského štátu, spolupracujú s príslušnými orgánmi hostiteľského členského štátu, a to aj informovaním príslušných orgánov hostiteľského členského štátu o tom, kde plánujú vykonať </w:t>
      </w:r>
      <w:r>
        <w:rPr>
          <w:rFonts w:eastAsiaTheme="minorHAnsi"/>
          <w:szCs w:val="22"/>
          <w:lang w:eastAsia="en-US"/>
        </w:rPr>
        <w:t>kontrolu na mieste na území daného hostiteľského členského štátu.</w:t>
      </w:r>
    </w:p>
    <w:p w:rsidR="00F7624D" w:rsidRDefault="003C5F24">
      <w:pPr>
        <w:tabs>
          <w:tab w:val="left" w:pos="567"/>
        </w:tabs>
        <w:ind w:left="850"/>
        <w:jc w:val="both"/>
        <w:rPr>
          <w:noProof/>
          <w:szCs w:val="24"/>
        </w:rPr>
      </w:pPr>
      <w:r>
        <w:t>Príslušné orgány domovského členského štátu môžu delegovať na príslušné orgány hostiteľského členského štátu vykonanie kontrol na mieste v dotknutej platobnej inštitúcii.</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lastRenderedPageBreak/>
        <w:t>2.</w:t>
      </w:r>
      <w:r>
        <w:rPr>
          <w:rFonts w:eastAsiaTheme="minorHAnsi"/>
          <w:szCs w:val="22"/>
          <w:lang w:eastAsia="en-US"/>
        </w:rPr>
        <w:tab/>
        <w:t>Príslušné orgány</w:t>
      </w:r>
      <w:r>
        <w:rPr>
          <w:rFonts w:eastAsiaTheme="minorHAnsi"/>
          <w:szCs w:val="22"/>
          <w:lang w:eastAsia="en-US"/>
        </w:rPr>
        <w:t xml:space="preserve"> hostiteľského členského štátu môžu vyžadovať, aby im platobné inštitúcie, ktoré majú na ich území agentov, distribútorov alebo pobočky, pravidelne podávali správy o činnostiach vykonávaných na ich území.</w:t>
      </w:r>
    </w:p>
    <w:p w:rsidR="00F7624D" w:rsidRDefault="003C5F24">
      <w:pPr>
        <w:tabs>
          <w:tab w:val="left" w:pos="567"/>
        </w:tabs>
        <w:ind w:left="850"/>
        <w:jc w:val="both"/>
        <w:rPr>
          <w:noProof/>
          <w:szCs w:val="24"/>
        </w:rPr>
      </w:pPr>
      <w:r>
        <w:t>Takéto správy sa vyžadujú na informačné alebo štati</w:t>
      </w:r>
      <w:r>
        <w:t>stické účely a pokiaľ agenti, distribútori alebo pobočky poskytujú platobné služby alebo služby elektronických peňazí, na monitorovanie dodržiavania hláv II a III nariadenia XXX [nariadenie o platobných službách]. Na takýchto agentov, distribútorov alebo p</w:t>
      </w:r>
      <w:r>
        <w:t>obočky sa vzťahujú požiadavky služobného tajomstva, ktoré sú prinajmenšom rovnocenné s požiadavkami uvedenými v článku 26.</w:t>
      </w:r>
    </w:p>
    <w:p w:rsidR="00F7624D" w:rsidRDefault="003C5F24">
      <w:pPr>
        <w:tabs>
          <w:tab w:val="left" w:pos="567"/>
        </w:tabs>
        <w:ind w:left="850"/>
        <w:jc w:val="both"/>
        <w:rPr>
          <w:noProof/>
          <w:szCs w:val="24"/>
        </w:rPr>
      </w:pPr>
      <w:r>
        <w:t xml:space="preserve">Príslušné orgány hostiteľského členského štátu môžu vyžadovať ad hoc informácie od platobných inštitúcií, ak majú tieto orgány dôkaz </w:t>
      </w:r>
      <w:r>
        <w:t>o nedodržiavaní tejto hlavy alebo hláv II a III nariadenia XXX [nariadenie o platobných službách].</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w:t>
      </w:r>
      <w:r>
        <w:rPr>
          <w:rFonts w:eastAsiaTheme="minorHAnsi"/>
          <w:szCs w:val="22"/>
          <w:lang w:eastAsia="en-US"/>
        </w:rPr>
        <w:tab/>
        <w:t xml:space="preserve">Príslušné orgány domovského a hostiteľského členského štátu si navzájom poskytujú všetky zásadné alebo relevantné informácie, najmä v prípadoch porušenia </w:t>
      </w:r>
      <w:r>
        <w:rPr>
          <w:rFonts w:eastAsiaTheme="minorHAnsi"/>
          <w:szCs w:val="22"/>
          <w:lang w:eastAsia="en-US"/>
        </w:rPr>
        <w:t>alebo podozrenia z porušenia plnenia povinností zo strany agenta, distribútora alebo pobočky, a ak k takémuto porušeniu došlo v súvislosti s uplatňovaním slobody poskytovať služby. Príslušné orgány na požiadanie oznamujú všetky relevantné informácie a z vl</w:t>
      </w:r>
      <w:r>
        <w:rPr>
          <w:rFonts w:eastAsiaTheme="minorHAnsi"/>
          <w:szCs w:val="22"/>
          <w:lang w:eastAsia="en-US"/>
        </w:rPr>
        <w:t>astnej iniciatívy aj všetky zásadné informácie vrátané informácií o dodržiavaní podmienok stanovených v článku 13 ods. 3 zo strany platobnej inštitúcie.</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4.</w:t>
      </w:r>
      <w:r>
        <w:rPr>
          <w:rFonts w:eastAsiaTheme="minorHAnsi"/>
          <w:szCs w:val="22"/>
          <w:lang w:eastAsia="en-US"/>
        </w:rPr>
        <w:tab/>
        <w:t>Členské štáty môžu vyžadovať, aby platobné inštitúcie vykonávajúce činnosť na ich území prostredníct</w:t>
      </w:r>
      <w:r>
        <w:rPr>
          <w:rFonts w:eastAsiaTheme="minorHAnsi"/>
          <w:szCs w:val="22"/>
          <w:lang w:eastAsia="en-US"/>
        </w:rPr>
        <w:t>vom agentov, ktorých ústredie sa nachádza v inom členskom štáte, vymenovali ústredný kontaktný bod na svojom území s cieľom zabezpečiť primeranú komunikáciu a oznamovanie informácií v súlade s hlavami II a III nariadenia XXX [nariadenie o platobných službá</w:t>
      </w:r>
      <w:r>
        <w:rPr>
          <w:rFonts w:eastAsiaTheme="minorHAnsi"/>
          <w:szCs w:val="22"/>
          <w:lang w:eastAsia="en-US"/>
        </w:rPr>
        <w:t xml:space="preserve">ch] a uľahčiť dohľad vykonávaný príslušnými orgánmi domovského členského štátu a hostiteľských členských štátov, a to aj prostredníctvom poskytovania dokumentov a informácií príslušným orgánom na požiadanie. </w:t>
      </w:r>
      <w:r>
        <w:rPr>
          <w:rFonts w:eastAsiaTheme="minorHAnsi"/>
          <w:b/>
          <w:i/>
          <w:szCs w:val="22"/>
          <w:lang w:eastAsia="en-US"/>
        </w:rPr>
        <w:t>Ak sa členský štát rozhodne uložiť takúto požiad</w:t>
      </w:r>
      <w:r>
        <w:rPr>
          <w:rFonts w:eastAsiaTheme="minorHAnsi"/>
          <w:b/>
          <w:i/>
          <w:szCs w:val="22"/>
          <w:lang w:eastAsia="en-US"/>
        </w:rPr>
        <w:t>avku, každá platobná inštitúcia určí len jeden ústredný kontaktný bod v danom členskom štáte.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5.</w:t>
      </w:r>
      <w:r>
        <w:rPr>
          <w:rFonts w:eastAsiaTheme="minorHAnsi"/>
          <w:szCs w:val="22"/>
          <w:lang w:eastAsia="en-US"/>
        </w:rPr>
        <w:tab/>
        <w:t>Orgán EBA vypracuje návrh regulačných technických predpisov s cieľom stanoviť kritériá, ktoré sa majú v súlade so zásadou proporcionality uplatňovať pri určova</w:t>
      </w:r>
      <w:r>
        <w:rPr>
          <w:rFonts w:eastAsiaTheme="minorHAnsi"/>
          <w:szCs w:val="22"/>
          <w:lang w:eastAsia="en-US"/>
        </w:rPr>
        <w:t>ní okolností, za ktorých je vhodné vymenovať ústredný kontaktný bod uvedený v odseku 4, ako aj funkcií týchto kontaktných bodov.</w:t>
      </w:r>
    </w:p>
    <w:p w:rsidR="00F7624D" w:rsidRDefault="003C5F24">
      <w:pPr>
        <w:ind w:left="130" w:firstLine="720"/>
        <w:rPr>
          <w:noProof/>
        </w:rPr>
      </w:pPr>
      <w:r>
        <w:t>V uvedenom návrhu regulačných technických predpisov sa musí zohľadňovať najmä:</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 xml:space="preserve">celkový objem a hodnota transakcií, ktoré </w:t>
      </w:r>
      <w:r>
        <w:rPr>
          <w:rFonts w:eastAsiaTheme="minorHAnsi"/>
          <w:szCs w:val="22"/>
          <w:lang w:eastAsia="en-US"/>
        </w:rPr>
        <w:t>platobná inštitúcia vykonala v hostiteľských členských štátoch;</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 xml:space="preserve">druh poskytovaných platobných služieb; </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celkový počet agentov usadených v hostiteľskom členskom štáte.</w:t>
      </w:r>
    </w:p>
    <w:p w:rsidR="00F7624D" w:rsidRDefault="003C5F24">
      <w:pPr>
        <w:ind w:left="850"/>
        <w:jc w:val="both"/>
        <w:rPr>
          <w:noProof/>
        </w:rPr>
      </w:pPr>
      <w:r>
        <w:t xml:space="preserve">Orgán EBA predloží uvedený návrh regulačných technických predpisov Komisii do [OP: </w:t>
      </w:r>
      <w:r>
        <w:t>doplňte dátum = 18 mesiacov od dátumu nadobudnutia účinnosti tejto smernice].</w:t>
      </w:r>
    </w:p>
    <w:p w:rsidR="00F7624D" w:rsidRDefault="003C5F24">
      <w:pPr>
        <w:ind w:left="850"/>
        <w:jc w:val="both"/>
        <w:rPr>
          <w:noProof/>
        </w:rPr>
      </w:pPr>
      <w:r>
        <w:t>Na Komisiu sa deleguje právomoc prijať regulačné technické predpisy v súlade s článkami 10 až 14 nariadenia (EÚ) č. 1093/2010.</w:t>
      </w:r>
    </w:p>
    <w:p w:rsidR="00F7624D" w:rsidRDefault="00F7624D">
      <w:pPr>
        <w:rPr>
          <w:noProof/>
        </w:rPr>
      </w:pP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lastRenderedPageBreak/>
        <w:t>Článok 32</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Opatrenia v prípade nedodržiavania predp</w:t>
      </w:r>
      <w:r>
        <w:rPr>
          <w:rFonts w:eastAsiaTheme="minorHAnsi"/>
          <w:b/>
          <w:i/>
          <w:szCs w:val="22"/>
          <w:lang w:eastAsia="en-US"/>
        </w:rPr>
        <w:t>isov vrátane preventívnych opatrení</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Ak sa príslušný orgán hostiteľského členského štátu domnieva, že platobná inštitúcia, ktorá má agentov, distribútorov alebo pobočky na jeho území, nedodržiava túto hlavu alebo hlavy II a III nariadenia XXX [nariadenie</w:t>
      </w:r>
      <w:r>
        <w:rPr>
          <w:rFonts w:eastAsiaTheme="minorHAnsi"/>
          <w:szCs w:val="22"/>
          <w:lang w:eastAsia="en-US"/>
        </w:rPr>
        <w:t xml:space="preserve"> o platobných službách], tento príslušný orgán o tom bez zbytočného odkladu informuje príslušný orgán domovského členského štátu.</w:t>
      </w:r>
    </w:p>
    <w:p w:rsidR="00F7624D" w:rsidRDefault="003C5F24">
      <w:pPr>
        <w:tabs>
          <w:tab w:val="left" w:pos="567"/>
        </w:tabs>
        <w:ind w:left="850"/>
        <w:jc w:val="both"/>
        <w:rPr>
          <w:noProof/>
          <w:szCs w:val="24"/>
        </w:rPr>
      </w:pPr>
      <w:r>
        <w:t xml:space="preserve">Príslušný orgán domovského členského štátu po posúdení informácií doručených podľa prvého </w:t>
      </w:r>
      <w:proofErr w:type="spellStart"/>
      <w:r>
        <w:t>pododseku</w:t>
      </w:r>
      <w:proofErr w:type="spellEnd"/>
      <w:r>
        <w:t xml:space="preserve"> prijme bez zbytočného odkl</w:t>
      </w:r>
      <w:r>
        <w:t>adu všetky vhodné opatrenia s cieľom zabezpečiť, aby dotknutá platobná inštitúcia ukončila svoje nedodržiavanie predpisov. Príslušný orgán domovského členského štátu bez odkladu oznámi tieto opatrenia príslušnému orgánu hostiteľského členského štátu a prís</w:t>
      </w:r>
      <w:r>
        <w:t>lušným orgánom akéhokoľvek iného dotknutého členského štátu.</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V naliehavých situáciách, ak sú na riešenie závažného ohrozenia kolektívnych záujmov používateľov platobných služieb v hostiteľskom členskom štáte potrebné okamžité opatrenia, môžu príslušné o</w:t>
      </w:r>
      <w:r>
        <w:rPr>
          <w:rFonts w:eastAsiaTheme="minorHAnsi"/>
          <w:szCs w:val="22"/>
          <w:lang w:eastAsia="en-US"/>
        </w:rPr>
        <w:t>rgány hostiteľského členského štátu súbežne s cezhraničnou spoluprácou medzi príslušnými orgánmi a s ešte nevykonanými opatreniami príslušných orgánov domovského členského štátu, ako sa stanovuje v článku 31, prijať preventívne opatrenia.</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w:t>
      </w:r>
      <w:r>
        <w:rPr>
          <w:rFonts w:eastAsiaTheme="minorHAnsi"/>
          <w:szCs w:val="22"/>
          <w:lang w:eastAsia="en-US"/>
        </w:rPr>
        <w:tab/>
        <w:t>Akékoľvek prev</w:t>
      </w:r>
      <w:r>
        <w:rPr>
          <w:rFonts w:eastAsiaTheme="minorHAnsi"/>
          <w:szCs w:val="22"/>
          <w:lang w:eastAsia="en-US"/>
        </w:rPr>
        <w:t>entívne opatrenia, ako sa uvádza v odseku 2, musia byť vhodné a primerané svojmu účelu chrániť kolektívne záujmy používateľov platobných služieb v hostiteľskom členskom štáte pred závažným ohrozením. Dôsledkom týchto opatrení nesmie byť uprednostňovanie po</w:t>
      </w:r>
      <w:r>
        <w:rPr>
          <w:rFonts w:eastAsiaTheme="minorHAnsi"/>
          <w:szCs w:val="22"/>
          <w:lang w:eastAsia="en-US"/>
        </w:rPr>
        <w:t>užívateľov platobných služieb platobnej inštitúcie v hostiteľskom členskom štáte pred používateľmi platobných služieb platobnej inštitúcie v iných členských štátoch.</w:t>
      </w:r>
    </w:p>
    <w:p w:rsidR="00F7624D" w:rsidRDefault="003C5F24">
      <w:pPr>
        <w:tabs>
          <w:tab w:val="left" w:pos="567"/>
        </w:tabs>
        <w:ind w:left="850"/>
        <w:jc w:val="both"/>
        <w:rPr>
          <w:noProof/>
          <w:szCs w:val="24"/>
        </w:rPr>
      </w:pPr>
      <w:r>
        <w:t>Preventívne opatrenia musia byť dočasné a ukončia sa po vyriešení identifikovaného závažné</w:t>
      </w:r>
      <w:r>
        <w:t>ho ohrozenia, a to aj s pomocou príslušných orgánov domovského členského štátu alebo orgánu EBA, ako sa stanovuje v článku 29 ods. 1, alebo v spolupráci s nimi.</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4.</w:t>
      </w:r>
      <w:r>
        <w:rPr>
          <w:rFonts w:eastAsiaTheme="minorHAnsi"/>
          <w:szCs w:val="22"/>
          <w:lang w:eastAsia="en-US"/>
        </w:rPr>
        <w:tab/>
        <w:t>Ak je to vhodné vzhľadom na naliehavú situáciu, príslušné orgány hostiteľského členského štá</w:t>
      </w:r>
      <w:r>
        <w:rPr>
          <w:rFonts w:eastAsiaTheme="minorHAnsi"/>
          <w:szCs w:val="22"/>
          <w:lang w:eastAsia="en-US"/>
        </w:rPr>
        <w:t>tu vopred a v každom prípade bez zbytočného odkladu informujú príslušné orgány domovského členského štátu a príslušné orgány akéhokoľvek iného dotknutého členského štátu, Komisiu a orgán EBA o preventívnych opatreniach prijatých podľa odseku 2 a o ich dôvo</w:t>
      </w:r>
      <w:r>
        <w:rPr>
          <w:rFonts w:eastAsiaTheme="minorHAnsi"/>
          <w:szCs w:val="22"/>
          <w:lang w:eastAsia="en-US"/>
        </w:rPr>
        <w:t>doch.</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33</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Odôvodnenie a oznamovanie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Akékoľvek opatrenie prijaté príslušnými orgánmi podľa článku 25, 30, 31 alebo 32, ktoré zahŕňa sankcie alebo obmedzenia týkajúce sa uplatňovania slobody poskytovať služby alebo slobody usadiť sa, musí byť náleži</w:t>
      </w:r>
      <w:r>
        <w:rPr>
          <w:rFonts w:eastAsiaTheme="minorHAnsi"/>
          <w:szCs w:val="22"/>
          <w:lang w:eastAsia="en-US"/>
        </w:rPr>
        <w:t>te odôvodnené a oznámené dotknutej platobnej inštitúcii.</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Články 30, 29 a 32 sa uplatňujú bez toho, aby bola dotknutá povinnosť príslušných orgánov podľa smernice (EÚ) 2015/849 a nariadenia (EÚ) 2015/847, najmä podľa článku 47 ods. 1 smernice (EÚ) 2015/8</w:t>
      </w:r>
      <w:r>
        <w:rPr>
          <w:rFonts w:eastAsiaTheme="minorHAnsi"/>
          <w:szCs w:val="22"/>
          <w:lang w:eastAsia="en-US"/>
        </w:rPr>
        <w:t xml:space="preserve">49 a článku 22 ods. 1 nariadenia </w:t>
      </w:r>
      <w:r>
        <w:rPr>
          <w:rFonts w:eastAsiaTheme="minorHAnsi"/>
          <w:szCs w:val="22"/>
          <w:lang w:eastAsia="en-US"/>
        </w:rPr>
        <w:lastRenderedPageBreak/>
        <w:t>(EÚ) 2015/847, týkajúca sa dohľadu nad dodržiavaním požiadaviek stanovených v uvedených nástrojoch alebo monitorovania ich dodržiavania.</w:t>
      </w:r>
    </w:p>
    <w:p w:rsidR="00F7624D" w:rsidRDefault="00F7624D">
      <w:pPr>
        <w:keepNext/>
        <w:widowControl/>
        <w:spacing w:before="120" w:after="360"/>
        <w:jc w:val="center"/>
        <w:rPr>
          <w:rFonts w:eastAsiaTheme="minorHAnsi"/>
          <w:b/>
          <w:i/>
          <w:noProof/>
          <w:sz w:val="32"/>
          <w:szCs w:val="22"/>
          <w:lang w:eastAsia="en-US"/>
        </w:rPr>
      </w:pPr>
      <w:bookmarkStart w:id="34" w:name="_Hlk127434852"/>
    </w:p>
    <w:p w:rsidR="00F7624D" w:rsidRDefault="003C5F24">
      <w:pPr>
        <w:keepNext/>
        <w:widowControl/>
        <w:spacing w:before="120" w:after="360"/>
        <w:jc w:val="center"/>
        <w:rPr>
          <w:rFonts w:eastAsiaTheme="minorHAnsi"/>
          <w:b/>
          <w:noProof/>
          <w:sz w:val="32"/>
          <w:szCs w:val="22"/>
          <w:lang w:eastAsia="en-US"/>
        </w:rPr>
      </w:pPr>
      <w:r>
        <w:rPr>
          <w:rFonts w:eastAsiaTheme="minorHAnsi"/>
          <w:i/>
          <w:sz w:val="32"/>
          <w:szCs w:val="22"/>
          <w:lang w:eastAsia="en-US"/>
        </w:rPr>
        <w:t>KAPITOLA II</w:t>
      </w:r>
    </w:p>
    <w:p w:rsidR="00F7624D" w:rsidRDefault="003C5F24">
      <w:pPr>
        <w:keepNext/>
        <w:widowControl/>
        <w:spacing w:before="120" w:after="360"/>
        <w:jc w:val="center"/>
        <w:rPr>
          <w:rFonts w:eastAsiaTheme="minorHAnsi"/>
          <w:b/>
          <w:noProof/>
          <w:sz w:val="32"/>
          <w:szCs w:val="22"/>
          <w:lang w:eastAsia="en-US"/>
        </w:rPr>
      </w:pPr>
      <w:r>
        <w:rPr>
          <w:rFonts w:eastAsiaTheme="minorHAnsi"/>
          <w:i/>
          <w:sz w:val="32"/>
          <w:szCs w:val="22"/>
          <w:lang w:eastAsia="en-US"/>
        </w:rPr>
        <w:t>Výnimky a oznámenia</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34</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Voliteľné výnimky</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t xml:space="preserve">Členské štáty môžu </w:t>
      </w:r>
      <w:r>
        <w:rPr>
          <w:rFonts w:eastAsiaTheme="minorHAnsi"/>
          <w:szCs w:val="22"/>
          <w:lang w:eastAsia="en-US"/>
        </w:rPr>
        <w:t>neuplatňovať alebo svojim príslušným orgánom povoliť, aby neuplatňovali na fyzické alebo právnické osoby poskytujúce platobné služby, ako sa uvádza v prílohe I bodoch 1 až 5, alebo poskytujúce služby elektronických peňazí, všetky postupy a podmienky stanov</w:t>
      </w:r>
      <w:r>
        <w:rPr>
          <w:rFonts w:eastAsiaTheme="minorHAnsi"/>
          <w:szCs w:val="22"/>
          <w:lang w:eastAsia="en-US"/>
        </w:rPr>
        <w:t>ené v kapitole I oddieloch 1, 2 a 3 alebo ich časť, s výnimkou článkov 17, 18, 24, 26, 27 a 28, ak:</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ab/>
        <w:t>v prípade platobných služieb mesačný priemer z celkovej hodnoty platobných transakcií vykonaných za predchádzajúcich 12 mesiacov dotknutou osobou vrátane</w:t>
      </w:r>
      <w:r>
        <w:rPr>
          <w:rFonts w:eastAsiaTheme="minorHAnsi"/>
          <w:szCs w:val="22"/>
          <w:lang w:eastAsia="en-US"/>
        </w:rPr>
        <w:t xml:space="preserve"> akéhokoľvek agenta, za ktorého dotknutá osoba nesie plnú zodpovednosť, nepresahuje limit, ktorý stanovil členský štát, ale ktorý v každom prípade nepresahuje 3 milióny EUR, alebo</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v prípade služieb elektronických peňazí všetky obchodné činnosti spolu vy</w:t>
      </w:r>
      <w:r>
        <w:rPr>
          <w:rFonts w:eastAsiaTheme="minorHAnsi"/>
          <w:szCs w:val="22"/>
          <w:lang w:eastAsia="en-US"/>
        </w:rPr>
        <w:t>tvárajú priemer vydaných elektronických peňazí, ktorý nepresahuje hranicu stanovenú členským štátom, ale ktorý v každom prípade nepresahuje 5 miliónov EUR, a</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c)</w:t>
      </w:r>
      <w:r>
        <w:rPr>
          <w:rFonts w:eastAsiaTheme="minorHAnsi"/>
          <w:szCs w:val="22"/>
          <w:lang w:eastAsia="en-US"/>
        </w:rPr>
        <w:tab/>
        <w:t>v prípade platobných služieb a služieb elektronických peňazí žiadna z fyzických osôb zodpovedný</w:t>
      </w:r>
      <w:r>
        <w:rPr>
          <w:rFonts w:eastAsiaTheme="minorHAnsi"/>
          <w:szCs w:val="22"/>
          <w:lang w:eastAsia="en-US"/>
        </w:rPr>
        <w:t>ch za riadenie alebo prevádzku podniku nebola odsúdená za trestné činy spojené s praním špinavých peňazí alebo financovaním terorizmu alebo za iné finančné trestné činy.</w:t>
      </w:r>
    </w:p>
    <w:p w:rsidR="00F7624D" w:rsidRDefault="003C5F24">
      <w:pPr>
        <w:widowControl/>
        <w:spacing w:before="120" w:after="120"/>
        <w:ind w:left="1417" w:hanging="567"/>
        <w:jc w:val="both"/>
        <w:rPr>
          <w:rFonts w:eastAsiaTheme="minorHAnsi"/>
          <w:noProof/>
          <w:szCs w:val="24"/>
          <w:lang w:eastAsia="en-US"/>
        </w:rPr>
      </w:pPr>
      <w:proofErr w:type="spellStart"/>
      <w:r>
        <w:rPr>
          <w:rFonts w:eastAsiaTheme="minorHAnsi"/>
          <w:b/>
          <w:i/>
          <w:szCs w:val="22"/>
          <w:lang w:eastAsia="en-US"/>
        </w:rPr>
        <w:t>ca</w:t>
      </w:r>
      <w:proofErr w:type="spellEnd"/>
      <w:r>
        <w:rPr>
          <w:rFonts w:eastAsiaTheme="minorHAnsi"/>
          <w:b/>
          <w:i/>
          <w:szCs w:val="22"/>
          <w:lang w:eastAsia="en-US"/>
        </w:rPr>
        <w:t>)</w:t>
      </w:r>
      <w:r>
        <w:rPr>
          <w:rFonts w:eastAsiaTheme="minorHAnsi"/>
          <w:i/>
          <w:szCs w:val="22"/>
          <w:lang w:eastAsia="en-US"/>
        </w:rPr>
        <w:tab/>
      </w:r>
      <w:r>
        <w:rPr>
          <w:rFonts w:eastAsiaTheme="minorHAnsi"/>
          <w:b/>
          <w:i/>
          <w:szCs w:val="22"/>
          <w:lang w:eastAsia="en-US"/>
        </w:rPr>
        <w:t>v prípade platobných transakcií používaných na vykonanie služieb obchodovania a vy</w:t>
      </w:r>
      <w:r>
        <w:rPr>
          <w:rFonts w:eastAsiaTheme="minorHAnsi"/>
          <w:b/>
          <w:i/>
          <w:szCs w:val="22"/>
          <w:lang w:eastAsia="en-US"/>
        </w:rPr>
        <w:t xml:space="preserve">rovnania využívajúcich tokeny elektronických peňazí, ako sú vymedzené v článku 3 ods. 1 bode 7 nariadenia (EÚ) 2023/1114, poskytovateľ platobných služieb už pre tieto služby získal povolenie ako poskytovateľ služieb </w:t>
      </w:r>
      <w:proofErr w:type="spellStart"/>
      <w:r>
        <w:rPr>
          <w:rFonts w:eastAsiaTheme="minorHAnsi"/>
          <w:b/>
          <w:i/>
          <w:szCs w:val="22"/>
          <w:lang w:eastAsia="en-US"/>
        </w:rPr>
        <w:t>kryptoaktív</w:t>
      </w:r>
      <w:proofErr w:type="spellEnd"/>
      <w:r>
        <w:rPr>
          <w:rFonts w:eastAsiaTheme="minorHAnsi"/>
          <w:b/>
          <w:i/>
          <w:szCs w:val="22"/>
          <w:lang w:eastAsia="en-US"/>
        </w:rPr>
        <w:t xml:space="preserve"> v členskom štáte v súlade s </w:t>
      </w:r>
      <w:r>
        <w:rPr>
          <w:rFonts w:eastAsiaTheme="minorHAnsi"/>
          <w:b/>
          <w:i/>
          <w:szCs w:val="22"/>
          <w:lang w:eastAsia="en-US"/>
        </w:rPr>
        <w:t>hlavou V uvedeného nariadenia.</w:t>
      </w:r>
    </w:p>
    <w:p w:rsidR="00F7624D" w:rsidRDefault="003C5F24">
      <w:pPr>
        <w:tabs>
          <w:tab w:val="left" w:pos="567"/>
        </w:tabs>
        <w:ind w:left="850"/>
        <w:jc w:val="both"/>
        <w:rPr>
          <w:noProof/>
          <w:szCs w:val="24"/>
        </w:rPr>
      </w:pPr>
      <w:r>
        <w:t xml:space="preserve">Na účely tohto </w:t>
      </w:r>
      <w:proofErr w:type="spellStart"/>
      <w:r>
        <w:t>pododseku</w:t>
      </w:r>
      <w:proofErr w:type="spellEnd"/>
      <w:r>
        <w:t xml:space="preserve"> písmena a) je posúdenie toho, či došlo k prekročeniu limitu, založené na celkovej sume platobných transakcií plánovanej v jej obchodnom pláne, pokiaľ príslušné orgány nepožadovali úpravu uvedeného plá</w:t>
      </w:r>
      <w:r>
        <w:t xml:space="preserve">nu. </w:t>
      </w:r>
    </w:p>
    <w:p w:rsidR="00F7624D" w:rsidRDefault="003C5F24">
      <w:pPr>
        <w:tabs>
          <w:tab w:val="left" w:pos="567"/>
        </w:tabs>
        <w:ind w:left="850"/>
        <w:jc w:val="both"/>
        <w:rPr>
          <w:noProof/>
          <w:szCs w:val="24"/>
        </w:rPr>
      </w:pPr>
      <w:r>
        <w:t xml:space="preserve">Ak platobná inštitúcia poskytujúca služby elektronických peňazí ponúka aj akúkoľvek platobnú službu alebo ktorúkoľvek z činností uvedených v článku 10 a suma vydaných elektronických peňazí nie je vopred známa, príslušné orgány umožnia tejto platobnej </w:t>
      </w:r>
      <w:r>
        <w:t xml:space="preserve">inštitúcii, aby uplatnila prvý </w:t>
      </w:r>
      <w:proofErr w:type="spellStart"/>
      <w:r>
        <w:t>pododsek</w:t>
      </w:r>
      <w:proofErr w:type="spellEnd"/>
      <w:r>
        <w:t xml:space="preserve"> písmeno b) na základe reprezentatívnej časti, o ktorej sa predpokladá, že sa použije na služby elektronických peňazí, a to za predpokladu, že takúto reprezentatívnu časť možno primerane odhadnúť na základe historický</w:t>
      </w:r>
      <w:r>
        <w:t xml:space="preserve">ch údajov a k spokojnosti príslušných orgánov. Ak </w:t>
      </w:r>
      <w:r>
        <w:lastRenderedPageBreak/>
        <w:t>platobná inštitúcia nepodnikala počas dostatočne dlhého obdobia, táto požiadavka sa posudzuje na základe plánovaných vydaných elektronických peňazí doložených jej podnikateľským plánom a v súlade s akýmikoľ</w:t>
      </w:r>
      <w:r>
        <w:t>vek úpravami tohto plánu vyžadovanými príslušnými orgánmi.</w:t>
      </w:r>
    </w:p>
    <w:p w:rsidR="00F7624D" w:rsidRDefault="003C5F24">
      <w:pPr>
        <w:tabs>
          <w:tab w:val="left" w:pos="567"/>
        </w:tabs>
        <w:ind w:left="850"/>
        <w:jc w:val="both"/>
        <w:rPr>
          <w:noProof/>
          <w:szCs w:val="24"/>
        </w:rPr>
      </w:pPr>
      <w:r>
        <w:t>Členské štáty môžu tiež stanoviť, že udeľovanie voliteľných výnimiek bude podliehať dodatočnej požiadavke na maximálnu sumu uloženú na platobnom nástroji alebo platobnom účte spotrebiteľa, na ktoro</w:t>
      </w:r>
      <w:r>
        <w:t>m sú uložené elektronické peniaze.</w:t>
      </w:r>
    </w:p>
    <w:p w:rsidR="00F7624D" w:rsidRDefault="003C5F24">
      <w:pPr>
        <w:tabs>
          <w:tab w:val="left" w:pos="567"/>
        </w:tabs>
        <w:ind w:left="850"/>
        <w:jc w:val="both"/>
        <w:rPr>
          <w:noProof/>
          <w:szCs w:val="24"/>
        </w:rPr>
      </w:pPr>
      <w:r>
        <w:t xml:space="preserve">Fyzická alebo právnická osoba, na ktorú sa vzťahuje výnimka podľa odseku 1 prvého </w:t>
      </w:r>
      <w:proofErr w:type="spellStart"/>
      <w:r>
        <w:t>pododseku</w:t>
      </w:r>
      <w:proofErr w:type="spellEnd"/>
      <w:r>
        <w:t xml:space="preserve"> písm. b), môže poskytovať platobné služby, ktoré nesúvisia so službami elektronických peňazí, len v súlade s odsekom 1 prvými </w:t>
      </w:r>
      <w:proofErr w:type="spellStart"/>
      <w:r>
        <w:t>pod</w:t>
      </w:r>
      <w:r>
        <w:t>odsekom</w:t>
      </w:r>
      <w:proofErr w:type="spellEnd"/>
      <w:r>
        <w:t xml:space="preserve"> písm. a). </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Členské štáty vyžadujú, aby sa každá fyzická alebo právnická osoba, ktorá je vyňatá z uplatňovania postupov a podmienok uvedených v odseku 1, zaregistrovala u príslušného orgánu domovského členského štátu. Členské štáty určia z položi</w:t>
      </w:r>
      <w:r>
        <w:rPr>
          <w:rFonts w:eastAsiaTheme="minorHAnsi"/>
          <w:szCs w:val="22"/>
          <w:lang w:eastAsia="en-US"/>
        </w:rPr>
        <w:t xml:space="preserve">ek uvedených v článku 3 ods. 3 písm. a) až s) dokumentáciu, ktorá sa musí priložiť k takejto žiadosti o registráciu. </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w:t>
      </w:r>
      <w:r>
        <w:rPr>
          <w:rFonts w:eastAsiaTheme="minorHAnsi"/>
          <w:szCs w:val="22"/>
          <w:lang w:eastAsia="en-US"/>
        </w:rPr>
        <w:tab/>
        <w:t>Členské štáty vyžadujú, aby každá fyzická alebo právnická osoba zaregistrovaná v súlade s odsekom 2 mala svoje ústredie alebo miesto by</w:t>
      </w:r>
      <w:r>
        <w:rPr>
          <w:rFonts w:eastAsiaTheme="minorHAnsi"/>
          <w:szCs w:val="22"/>
          <w:lang w:eastAsia="en-US"/>
        </w:rPr>
        <w:t>dliska/sídlo v členskom štáte, v ktorom skutočne vykonáva svoju podnikateľskú činnosť.</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4.</w:t>
      </w:r>
      <w:r>
        <w:rPr>
          <w:rFonts w:eastAsiaTheme="minorHAnsi"/>
          <w:szCs w:val="22"/>
          <w:lang w:eastAsia="en-US"/>
        </w:rPr>
        <w:tab/>
        <w:t>S osobami vyňatými z uplatňovania postupov a podmienok uvedených v odseku 1 sa zaobchádza ako s platobnými inštitúciami. Článok 13 ods. 6 a články 30, 31 a 32 sa na u</w:t>
      </w:r>
      <w:r>
        <w:rPr>
          <w:rFonts w:eastAsiaTheme="minorHAnsi"/>
          <w:szCs w:val="22"/>
          <w:lang w:eastAsia="en-US"/>
        </w:rPr>
        <w:t>vedené osoby neuplatňujú.</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5.</w:t>
      </w:r>
      <w:r>
        <w:rPr>
          <w:rFonts w:eastAsiaTheme="minorHAnsi"/>
          <w:szCs w:val="22"/>
          <w:lang w:eastAsia="en-US"/>
        </w:rPr>
        <w:tab/>
        <w:t>Členské štáty môžu stanoviť, že každá fyzická alebo právnická osoba zaregistrovaná v súlade s odsekom 2 môže vykonávať iba určité činnosti uvedené v článku 10.</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6.</w:t>
      </w:r>
      <w:r>
        <w:rPr>
          <w:rFonts w:eastAsiaTheme="minorHAnsi"/>
          <w:szCs w:val="22"/>
          <w:lang w:eastAsia="en-US"/>
        </w:rPr>
        <w:tab/>
        <w:t>Osoby vyňaté z uplatňovania postupov a podmienok uvedených v ods</w:t>
      </w:r>
      <w:r>
        <w:rPr>
          <w:rFonts w:eastAsiaTheme="minorHAnsi"/>
          <w:szCs w:val="22"/>
          <w:lang w:eastAsia="en-US"/>
        </w:rPr>
        <w:t>eku 1 oznámia príslušným orgánom každú zmenu svojej situácie, ktorá je relevantná z hľadiska podmienok stanovených v uvedenom odseku, a aspoň raz za rok, k dátumu stanovenému príslušnými orgánmi, podajú správu o týchto skutočnostiach:</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a)</w:t>
      </w:r>
      <w:r>
        <w:rPr>
          <w:rFonts w:eastAsiaTheme="minorHAnsi"/>
          <w:szCs w:val="22"/>
          <w:lang w:eastAsia="en-US"/>
        </w:rPr>
        <w:tab/>
        <w:t>o priemere z celko</w:t>
      </w:r>
      <w:r>
        <w:rPr>
          <w:rFonts w:eastAsiaTheme="minorHAnsi"/>
          <w:szCs w:val="22"/>
          <w:lang w:eastAsia="en-US"/>
        </w:rPr>
        <w:t>vej hodnoty platobných transakcií za predchádzajúcich 12 mesiacov, ak poskytujú platobné služby;</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t>o priemere vydaných elektronických peňazí, ak poskytujú služby elektronických peňazí.</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7.</w:t>
      </w:r>
      <w:r>
        <w:rPr>
          <w:rFonts w:eastAsiaTheme="minorHAnsi"/>
          <w:szCs w:val="22"/>
          <w:lang w:eastAsia="en-US"/>
        </w:rPr>
        <w:tab/>
        <w:t xml:space="preserve">Členské štáty podniknú potrebné kroky s cieľom zabezpečiť, aby </w:t>
      </w:r>
      <w:r>
        <w:rPr>
          <w:rFonts w:eastAsiaTheme="minorHAnsi"/>
          <w:szCs w:val="22"/>
          <w:lang w:eastAsia="en-US"/>
        </w:rPr>
        <w:t>v prípade, že už nie sú splnené podmienky uvedené v odsekoch 1, 3 alebo 5 tohto článku, dotknutá osoba do 30 kalendárnych dní požiadala o udelenie povolenia v súlade s článkom 13. Členské štáty zabezpečia, aby ich príslušné orgány mali dostatočné právomoci</w:t>
      </w:r>
      <w:r>
        <w:rPr>
          <w:rFonts w:eastAsiaTheme="minorHAnsi"/>
          <w:szCs w:val="22"/>
          <w:lang w:eastAsia="en-US"/>
        </w:rPr>
        <w:t xml:space="preserve"> na overovanie nepretržitého dodržiavania tohto článku.</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8.</w:t>
      </w:r>
      <w:r>
        <w:rPr>
          <w:rFonts w:eastAsiaTheme="minorHAnsi"/>
          <w:szCs w:val="22"/>
          <w:lang w:eastAsia="en-US"/>
        </w:rPr>
        <w:tab/>
        <w:t>Odsekmi 1 až 6 tohto článku nie je dotknutá smernica (EÚ) 2015/849 ani vnútroštátne právne predpisy v oblasti boja proti praniu špinavých peňazí alebo financovaniu terorizmu.</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35</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Oznámenie a </w:t>
      </w:r>
      <w:r>
        <w:rPr>
          <w:rFonts w:eastAsiaTheme="minorHAnsi"/>
          <w:b/>
          <w:i/>
          <w:szCs w:val="22"/>
          <w:lang w:eastAsia="en-US"/>
        </w:rPr>
        <w:t>informovanie</w:t>
      </w:r>
    </w:p>
    <w:p w:rsidR="00F7624D" w:rsidRDefault="003C5F24">
      <w:pPr>
        <w:rPr>
          <w:noProof/>
          <w:szCs w:val="24"/>
        </w:rPr>
      </w:pPr>
      <w:r>
        <w:t>Členský štát, ktorý sa rozhodne udeliť výnimku podľa článku 34, informuje Komisiu o všetkých týchto skutočnostiach:</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lastRenderedPageBreak/>
        <w:t>a)</w:t>
      </w:r>
      <w:r>
        <w:rPr>
          <w:rFonts w:eastAsiaTheme="minorHAnsi"/>
          <w:szCs w:val="22"/>
          <w:lang w:eastAsia="en-US"/>
        </w:rPr>
        <w:tab/>
        <w:t>o svojom rozhodnutí udeliť takúto výnimku;</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b)</w:t>
      </w:r>
      <w:r>
        <w:rPr>
          <w:rFonts w:eastAsiaTheme="minorHAnsi"/>
          <w:szCs w:val="22"/>
          <w:lang w:eastAsia="en-US"/>
        </w:rPr>
        <w:tab/>
        <w:t>o akejkoľvek následnej zmene tejto výnimky;</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c)</w:t>
      </w:r>
      <w:r>
        <w:rPr>
          <w:rFonts w:eastAsiaTheme="minorHAnsi"/>
          <w:szCs w:val="22"/>
          <w:lang w:eastAsia="en-US"/>
        </w:rPr>
        <w:tab/>
        <w:t>o počte dotknutých fyzických a </w:t>
      </w:r>
      <w:r>
        <w:rPr>
          <w:rFonts w:eastAsiaTheme="minorHAnsi"/>
          <w:szCs w:val="22"/>
          <w:lang w:eastAsia="en-US"/>
        </w:rPr>
        <w:t>právnických osôb;</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d)</w:t>
      </w:r>
      <w:r>
        <w:rPr>
          <w:rFonts w:eastAsiaTheme="minorHAnsi"/>
          <w:szCs w:val="22"/>
          <w:lang w:eastAsia="en-US"/>
        </w:rPr>
        <w:tab/>
        <w:t>každoročne o celkovej hodnote platobných transakcií vykonaných od 31. decembra každého kalendárneho roka, ako sa uvádza v článku 34 ods. 1 písm. a), a o celkovej sume vydaných elektronických peňazí, ako sa uvádza v článku 34 ods. 1 pís</w:t>
      </w:r>
      <w:r>
        <w:rPr>
          <w:rFonts w:eastAsiaTheme="minorHAnsi"/>
          <w:szCs w:val="22"/>
          <w:lang w:eastAsia="en-US"/>
        </w:rPr>
        <w:t xml:space="preserve">m. b). </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36</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Poskytovatelia služieb informovania o účte</w:t>
      </w:r>
    </w:p>
    <w:p w:rsidR="00F7624D" w:rsidRDefault="003C5F24">
      <w:pPr>
        <w:widowControl/>
        <w:ind w:left="851" w:hanging="851"/>
        <w:jc w:val="both"/>
        <w:rPr>
          <w:szCs w:val="24"/>
        </w:rPr>
      </w:pPr>
      <w:r>
        <w:t>1.</w:t>
      </w:r>
      <w:r>
        <w:tab/>
      </w:r>
      <w:r>
        <w:rPr>
          <w:b/>
          <w:i/>
        </w:rPr>
        <w:t>Odchylne od článku 3 sa</w:t>
      </w:r>
      <w:r>
        <w:t xml:space="preserve"> na fyzické alebo právnické osoby poskytujúce len platobné služby uvedené v prílohe I bode 7 nevzťahuje podmienka udelenia povolenia, ale len podmienka registrácie u príslušného orgánu domovského členského štátu pred začatím vykonávania činnosti.</w:t>
      </w:r>
    </w:p>
    <w:p w:rsidR="00F7624D" w:rsidRDefault="003C5F24">
      <w:pPr>
        <w:widowControl/>
        <w:spacing w:before="120" w:after="120"/>
        <w:ind w:left="850" w:hanging="850"/>
        <w:jc w:val="both"/>
        <w:rPr>
          <w:rFonts w:eastAsiaTheme="minorHAnsi"/>
          <w:noProof/>
          <w:szCs w:val="22"/>
          <w:lang w:eastAsia="en-US"/>
        </w:rPr>
      </w:pPr>
      <w:bookmarkStart w:id="35" w:name="_Hlk137561762"/>
      <w:r>
        <w:rPr>
          <w:rFonts w:eastAsiaTheme="minorHAnsi"/>
          <w:szCs w:val="22"/>
          <w:lang w:eastAsia="en-US"/>
        </w:rPr>
        <w:t>2.</w:t>
      </w:r>
      <w:r>
        <w:rPr>
          <w:rFonts w:eastAsiaTheme="minorHAnsi"/>
          <w:szCs w:val="22"/>
          <w:lang w:eastAsia="en-US"/>
        </w:rPr>
        <w:tab/>
        <w:t>K take</w:t>
      </w:r>
      <w:r>
        <w:rPr>
          <w:rFonts w:eastAsiaTheme="minorHAnsi"/>
          <w:szCs w:val="22"/>
          <w:lang w:eastAsia="en-US"/>
        </w:rPr>
        <w:t>jto žiadosti o registráciu sa musia pripojiť informácie a dokumentácia uvedené v článku 3 ods. 3 písm. a), b), e) až h), j), l), n), p) a q).</w:t>
      </w:r>
    </w:p>
    <w:p w:rsidR="00F7624D" w:rsidRDefault="003C5F24">
      <w:pPr>
        <w:ind w:left="850"/>
        <w:jc w:val="both"/>
        <w:rPr>
          <w:noProof/>
        </w:rPr>
      </w:pPr>
      <w:r>
        <w:t>Na účely dokumentácie uvedenej v článku 3 ods. 3 písm. e), f) a l) poskytne registrujúca sa fyzická alebo právnick</w:t>
      </w:r>
      <w:r>
        <w:t xml:space="preserve">á osoba opis svojich opatrení týkajúcich sa auditu a organizačných opatrení, ktoré zaviedla s cieľom podniknúť všetky primerané kroky na ochranu záujmov svojich používateľov a zabezpečenie kontinuity a spoľahlivosti pri vykonávaní platobnej služby, ako sa </w:t>
      </w:r>
      <w:r>
        <w:t>uvádza v prílohe I bode 7.</w:t>
      </w:r>
      <w:bookmarkStart w:id="36" w:name="_Hlk137715508"/>
      <w:bookmarkEnd w:id="36"/>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V opatreniach bezpečnostnej kontroly a opatreniach na zmiernenie rizika uvedených v článku 3 ods. 3 písm. j) sa uvádza, ako registrujúca sa fyzická alebo právnická osoba zabezpečí vysokú úroveň digitálnej prevádzkovej odolnost</w:t>
      </w:r>
      <w:r>
        <w:rPr>
          <w:rFonts w:eastAsiaTheme="minorHAnsi"/>
          <w:szCs w:val="22"/>
          <w:lang w:eastAsia="en-US"/>
        </w:rPr>
        <w:t>i v súlade s kapitolou II nariadenia (EÚ) 2022/2554, najmä v súvislosti s technickou bezpečnosťou a ochranou údajov, a to aj vo vzťahu k softvéru a systémom IKT používaným registrujúcou sa fyzickou alebo právnickou osobou alebo podnikmi, ktoré poverila ext</w:t>
      </w:r>
      <w:r>
        <w:rPr>
          <w:rFonts w:eastAsiaTheme="minorHAnsi"/>
          <w:szCs w:val="22"/>
          <w:lang w:eastAsia="en-US"/>
        </w:rPr>
        <w:t>erným zabezpečovaním všetkých jej činností alebo ich časti.</w:t>
      </w:r>
    </w:p>
    <w:p w:rsidR="00F7624D" w:rsidRDefault="003C5F24">
      <w:pPr>
        <w:widowControl/>
        <w:spacing w:before="120" w:after="120"/>
        <w:ind w:left="850" w:hanging="850"/>
        <w:jc w:val="both"/>
        <w:rPr>
          <w:rFonts w:eastAsiaTheme="minorHAnsi"/>
          <w:noProof/>
          <w:szCs w:val="22"/>
          <w:lang w:eastAsia="en-US"/>
        </w:rPr>
      </w:pPr>
      <w:bookmarkStart w:id="37" w:name="_Hlk137562645"/>
      <w:bookmarkEnd w:id="35"/>
      <w:r>
        <w:rPr>
          <w:rFonts w:eastAsiaTheme="minorHAnsi"/>
          <w:szCs w:val="22"/>
          <w:lang w:eastAsia="en-US"/>
        </w:rPr>
        <w:t>4.</w:t>
      </w:r>
      <w:r>
        <w:rPr>
          <w:rFonts w:eastAsiaTheme="minorHAnsi"/>
          <w:szCs w:val="22"/>
          <w:lang w:eastAsia="en-US"/>
        </w:rPr>
        <w:tab/>
        <w:t xml:space="preserve">Členské štáty vyžadujú, aby osoby uvedené v odseku 1 mali ako podmienku na ich registráciu uzatvorené poistenie zodpovednosti za škodu spôsobenú pri výkone činnosti vzťahujúce sa na územia, na </w:t>
      </w:r>
      <w:r>
        <w:rPr>
          <w:rFonts w:eastAsiaTheme="minorHAnsi"/>
          <w:szCs w:val="22"/>
          <w:lang w:eastAsia="en-US"/>
        </w:rPr>
        <w:t>ktorých ponúkajú služby, alebo aby mali nejakú inú porovnateľnú záruku a aby zabezpečili, že: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dokážu kryť svoje záväzky voči poskytovateľovi platobných služieb spravujúcemu účet alebo používateľovi platobných služieb vyplývajúce z neautorizovaného či po</w:t>
      </w:r>
      <w:r>
        <w:rPr>
          <w:rFonts w:eastAsiaTheme="minorHAnsi"/>
          <w:szCs w:val="22"/>
          <w:lang w:eastAsia="en-US"/>
        </w:rPr>
        <w:t>dvodného prístupu k službe informovania o účte alebo z jej neautorizovaného či podvodného použitia;</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 xml:space="preserve">dokážu kryť hodnotu akéhokoľvek </w:t>
      </w:r>
      <w:proofErr w:type="spellStart"/>
      <w:r>
        <w:rPr>
          <w:rFonts w:eastAsiaTheme="minorHAnsi"/>
          <w:szCs w:val="22"/>
          <w:lang w:eastAsia="en-US"/>
        </w:rPr>
        <w:t>nadmerku</w:t>
      </w:r>
      <w:proofErr w:type="spellEnd"/>
      <w:r>
        <w:rPr>
          <w:rFonts w:eastAsiaTheme="minorHAnsi"/>
          <w:szCs w:val="22"/>
          <w:lang w:eastAsia="en-US"/>
        </w:rPr>
        <w:t>, prahovej hodnoty alebo spoluúčasti vyplývajúcich z poistenia alebo porovnateľnej záruky;</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priebežne monitoruj</w:t>
      </w:r>
      <w:r>
        <w:rPr>
          <w:rFonts w:eastAsiaTheme="minorHAnsi"/>
          <w:szCs w:val="22"/>
          <w:lang w:eastAsia="en-US"/>
        </w:rPr>
        <w:t>ú krytie v rámci poistenia alebo porovnateľnej záruky.</w:t>
      </w:r>
    </w:p>
    <w:p w:rsidR="00F7624D" w:rsidRDefault="003C5F24">
      <w:pPr>
        <w:widowControl/>
        <w:spacing w:before="120" w:after="120"/>
        <w:ind w:left="851"/>
        <w:jc w:val="both"/>
        <w:rPr>
          <w:rFonts w:eastAsiaTheme="minorHAnsi"/>
          <w:noProof/>
          <w:szCs w:val="22"/>
          <w:lang w:eastAsia="en-US"/>
        </w:rPr>
      </w:pPr>
      <w:r>
        <w:rPr>
          <w:rFonts w:eastAsiaTheme="minorHAnsi"/>
          <w:b/>
          <w:i/>
          <w:szCs w:val="22"/>
          <w:lang w:eastAsia="en-US"/>
        </w:rPr>
        <w:t>Ako alternatívu k požiadavkám stanoveným v písm. b) a c) si právnické osoby uvedené v odseku 1 tohto článku môžu vybrať, že budú držať počiatočný kapitál vo výške 50 000 EUR, ktorý sa nahradí poistením</w:t>
      </w:r>
      <w:r>
        <w:rPr>
          <w:rFonts w:eastAsiaTheme="minorHAnsi"/>
          <w:b/>
          <w:i/>
          <w:szCs w:val="22"/>
          <w:lang w:eastAsia="en-US"/>
        </w:rPr>
        <w:t xml:space="preserve"> zodpovednosti za škodu spôsobenú pri výkone činnosti alebo porovnateľnou zárukou bezodkladne po tom, ako tieto právnické osoby začnú svoju činnosť ako platobná inštitúcia.</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lastRenderedPageBreak/>
        <w:t>5.</w:t>
      </w:r>
      <w:r>
        <w:rPr>
          <w:rFonts w:eastAsiaTheme="minorHAnsi"/>
          <w:szCs w:val="22"/>
          <w:lang w:eastAsia="en-US"/>
        </w:rPr>
        <w:tab/>
        <w:t>Oddiely 1 a 2 kapitoly I sa nevzťahujú na osoby poskytujúce služby uvedené v ods</w:t>
      </w:r>
      <w:r>
        <w:rPr>
          <w:rFonts w:eastAsiaTheme="minorHAnsi"/>
          <w:szCs w:val="22"/>
          <w:lang w:eastAsia="en-US"/>
        </w:rPr>
        <w:t>eku 1 tohto článku. Oddiel 3 kapitoly I sa s výnimkou článku 25 ods. 3 vzťahuje na osoby poskytujúce služby uvedené v odseku 1 tohto článku.</w:t>
      </w:r>
    </w:p>
    <w:p w:rsidR="00F7624D" w:rsidRDefault="003C5F24">
      <w:pPr>
        <w:ind w:left="850"/>
        <w:jc w:val="both"/>
        <w:rPr>
          <w:noProof/>
        </w:rPr>
      </w:pPr>
      <w:r>
        <w:t>▌</w:t>
      </w:r>
    </w:p>
    <w:bookmarkEnd w:id="37"/>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6.</w:t>
      </w:r>
      <w:r>
        <w:rPr>
          <w:rFonts w:eastAsiaTheme="minorHAnsi"/>
          <w:szCs w:val="22"/>
          <w:lang w:eastAsia="en-US"/>
        </w:rPr>
        <w:tab/>
        <w:t>S osobami uvedenými v odseku 1 tohto článku sa zaobchádza ako s platobnými inštitúciami.</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37</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Služby, pri</w:t>
      </w:r>
      <w:r>
        <w:rPr>
          <w:rFonts w:eastAsiaTheme="minorHAnsi"/>
          <w:b/>
          <w:i/>
          <w:szCs w:val="22"/>
          <w:lang w:eastAsia="en-US"/>
        </w:rPr>
        <w:t xml:space="preserve"> ktorých sa hotovosť poskytuje v maloobchodných predajniach bez nákupu</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Členské štáty vyjmú z uplatňovania tejto smernice fyzické alebo právnické osoby poskytujúce hotovosť v maloobchodných predajniach nezávisle od nákupu za predpokladu, že sú splnené ti</w:t>
      </w:r>
      <w:r>
        <w:rPr>
          <w:rFonts w:eastAsiaTheme="minorHAnsi"/>
          <w:szCs w:val="22"/>
          <w:lang w:eastAsia="en-US"/>
        </w:rPr>
        <w:t>eto podmienky:</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 xml:space="preserve">službu vo svojich priestoroch ponúka fyzická alebo právnická osoba predávajúca tovar alebo služby v rámci riadneho zamestnania; </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suma poskytovanej hotovosti nepresiahne</w:t>
      </w:r>
      <w:r>
        <w:rPr>
          <w:rFonts w:eastAsiaTheme="minorHAnsi"/>
          <w:b/>
          <w:i/>
          <w:szCs w:val="22"/>
          <w:lang w:eastAsia="en-US"/>
        </w:rPr>
        <w:t xml:space="preserve"> 100 EUR alebo rovnocennú sumu v mene príslušného členského štátu </w:t>
      </w:r>
      <w:r>
        <w:rPr>
          <w:rFonts w:eastAsiaTheme="minorHAnsi"/>
          <w:szCs w:val="22"/>
          <w:lang w:eastAsia="en-US"/>
        </w:rPr>
        <w:t>z</w:t>
      </w:r>
      <w:r>
        <w:rPr>
          <w:rFonts w:eastAsiaTheme="minorHAnsi"/>
          <w:szCs w:val="22"/>
          <w:lang w:eastAsia="en-US"/>
        </w:rPr>
        <w:t>a jeden výber.</w:t>
      </w:r>
    </w:p>
    <w:p w:rsidR="00F7624D" w:rsidRDefault="003C5F24">
      <w:pPr>
        <w:widowControl/>
        <w:spacing w:before="120" w:after="120"/>
        <w:ind w:left="1417" w:hanging="567"/>
        <w:jc w:val="both"/>
        <w:rPr>
          <w:rFonts w:eastAsiaTheme="minorHAnsi"/>
          <w:noProof/>
          <w:szCs w:val="22"/>
          <w:lang w:eastAsia="en-US"/>
        </w:rPr>
      </w:pPr>
      <w:r>
        <w:rPr>
          <w:rFonts w:eastAsiaTheme="minorHAnsi"/>
          <w:b/>
          <w:i/>
          <w:szCs w:val="22"/>
          <w:lang w:eastAsia="en-US"/>
        </w:rPr>
        <w:t>ba)</w:t>
      </w:r>
      <w:r>
        <w:rPr>
          <w:rFonts w:eastAsiaTheme="minorHAnsi"/>
          <w:b/>
          <w:i/>
          <w:szCs w:val="22"/>
          <w:lang w:eastAsia="en-US"/>
        </w:rPr>
        <w:tab/>
        <w:t>výber klienta nie je anonymizovaný a vyžaduje si použitie autentifikácie zákazníka.</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Týmto článkom nie je dotknutá smernica (EÚ) 2015/849 ani žiadne iné príslušné právne predpisy Únie alebo vnútroštátne právne predpisy v oblasti boja p</w:t>
      </w:r>
      <w:r>
        <w:rPr>
          <w:rFonts w:eastAsiaTheme="minorHAnsi"/>
          <w:szCs w:val="22"/>
          <w:lang w:eastAsia="en-US"/>
        </w:rPr>
        <w:t>roti praniu špinavých peňazí/financovaniu terorizmu.</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38</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Služby umožňujúce výbery hotovosti ponúkané prevádzkovateľmi bankomatov, ktorí nespravujú platobné účty</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r>
      <w:r>
        <w:rPr>
          <w:rFonts w:eastAsiaTheme="minorHAnsi"/>
          <w:b/>
          <w:i/>
          <w:szCs w:val="22"/>
          <w:lang w:eastAsia="en-US"/>
        </w:rPr>
        <w:t xml:space="preserve">Odchylne od článku 3 sa </w:t>
      </w:r>
      <w:r>
        <w:rPr>
          <w:rFonts w:eastAsiaTheme="minorHAnsi"/>
          <w:szCs w:val="22"/>
          <w:lang w:eastAsia="en-US"/>
        </w:rPr>
        <w:t>na fyzické alebo právnické osoby, ktoré poskytujú služby výber</w:t>
      </w:r>
      <w:r>
        <w:rPr>
          <w:rFonts w:eastAsiaTheme="minorHAnsi"/>
          <w:szCs w:val="22"/>
          <w:lang w:eastAsia="en-US"/>
        </w:rPr>
        <w:t>u hotovosti, ako sa uvádza v prílohe I bode 1, a ktoré nespravujú platobné účty a neposkytujú iné platobné služby uvedené v prílohe I, nevzťahuje podmienka udelenia povolenia, ale musia sa pred začatím vykonávania činnosti zaregistrovať u príslušného orgán</w:t>
      </w:r>
      <w:r>
        <w:rPr>
          <w:rFonts w:eastAsiaTheme="minorHAnsi"/>
          <w:szCs w:val="22"/>
          <w:lang w:eastAsia="en-US"/>
        </w:rPr>
        <w:t>u domovského členského štátu.</w:t>
      </w:r>
    </w:p>
    <w:bookmarkEnd w:id="34"/>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K registrácii uvedenej v odseku 1 sa musia pripojiť informácie a dokumentácia uvedené v článku 3 ods. 3 písm. a), b), e) až h), j), l), n), p) a q).</w:t>
      </w:r>
    </w:p>
    <w:p w:rsidR="00F7624D" w:rsidRDefault="003C5F24">
      <w:pPr>
        <w:widowControl/>
        <w:spacing w:before="120" w:after="120"/>
        <w:ind w:left="850"/>
        <w:jc w:val="both"/>
        <w:rPr>
          <w:rFonts w:eastAsiaTheme="minorHAnsi"/>
          <w:noProof/>
          <w:szCs w:val="22"/>
          <w:lang w:eastAsia="en-US"/>
        </w:rPr>
      </w:pPr>
      <w:r>
        <w:rPr>
          <w:rFonts w:eastAsiaTheme="minorHAnsi"/>
          <w:szCs w:val="22"/>
          <w:lang w:eastAsia="en-US"/>
        </w:rPr>
        <w:t>Na účely dokumentácie uvedenej v článku 3 ods. 3 písm. e), f) a l) poskytn</w:t>
      </w:r>
      <w:r>
        <w:rPr>
          <w:rFonts w:eastAsiaTheme="minorHAnsi"/>
          <w:szCs w:val="22"/>
          <w:lang w:eastAsia="en-US"/>
        </w:rPr>
        <w:t xml:space="preserve">e registrujúca sa fyzická alebo právnická osoba opis svojich opatrení týkajúcich sa auditu a organizačných opatrení, ktoré zaviedla s cieľom podniknúť všetky primerané kroky na ochranu záujmov svojich používateľov a zabezpečenie kontinuity a spoľahlivosti </w:t>
      </w:r>
      <w:r>
        <w:rPr>
          <w:rFonts w:eastAsiaTheme="minorHAnsi"/>
          <w:szCs w:val="22"/>
          <w:lang w:eastAsia="en-US"/>
        </w:rPr>
        <w:t>pri vykonávaní platobnej služby, ako sa uvádza v bode 1 prílohy I.</w:t>
      </w:r>
    </w:p>
    <w:p w:rsidR="00F7624D" w:rsidRDefault="003C5F24">
      <w:pPr>
        <w:widowControl/>
        <w:spacing w:before="120" w:after="120"/>
        <w:ind w:left="850"/>
        <w:jc w:val="both"/>
        <w:rPr>
          <w:rFonts w:eastAsiaTheme="minorHAnsi"/>
          <w:noProof/>
          <w:szCs w:val="22"/>
          <w:lang w:eastAsia="en-US"/>
        </w:rPr>
      </w:pPr>
      <w:r>
        <w:rPr>
          <w:rFonts w:eastAsiaTheme="minorHAnsi"/>
          <w:szCs w:val="22"/>
          <w:lang w:eastAsia="en-US"/>
        </w:rPr>
        <w:t>V opatreniach bezpečnostnej kontroly a opatreniach na zmiernenie rizika uvedených v článku 3 ods. 3 písm. j) sa uvádza, ako registrujúca sa fyzická alebo právnická osoba zabezpečí vysokú úr</w:t>
      </w:r>
      <w:r>
        <w:rPr>
          <w:rFonts w:eastAsiaTheme="minorHAnsi"/>
          <w:szCs w:val="22"/>
          <w:lang w:eastAsia="en-US"/>
        </w:rPr>
        <w:t xml:space="preserve">oveň digitálnej prevádzkovej odolnosti v súlade s kapitolou II nariadenia (EÚ) 2022/2554, najmä v súvislosti s technickou bezpečnosťou a ochranou údajov, a to aj vo vzťahu k softvéru a systémom IKT používaným registrujúcou sa </w:t>
      </w:r>
      <w:r>
        <w:rPr>
          <w:rFonts w:eastAsiaTheme="minorHAnsi"/>
          <w:szCs w:val="22"/>
          <w:lang w:eastAsia="en-US"/>
        </w:rPr>
        <w:lastRenderedPageBreak/>
        <w:t>fyzickou alebo právnickou osob</w:t>
      </w:r>
      <w:r>
        <w:rPr>
          <w:rFonts w:eastAsiaTheme="minorHAnsi"/>
          <w:szCs w:val="22"/>
          <w:lang w:eastAsia="en-US"/>
        </w:rPr>
        <w:t>ou alebo podnikmi, ktoré poverila externým zabezpečovaním všetkých jej činností alebo ich časti.</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Oddiely 1 a 2 kapitoly 1 sa nevzťahujú na osoby poskytujúce služby uvedené v odseku 1 tohto článku. Oddiel 3 kapitoly 1 sa s výnimkou článku 25 ods. 3 nevzť</w:t>
      </w:r>
      <w:r>
        <w:rPr>
          <w:rFonts w:eastAsiaTheme="minorHAnsi"/>
          <w:szCs w:val="22"/>
          <w:lang w:eastAsia="en-US"/>
        </w:rPr>
        <w:t>ahuje na osoby poskytujúce služby uvedené v odseku 1 tohto článku.</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S osobami poskytujúcimi služby uvedené v odseku 1 tohto článku sa zaobchádza ako s platobnými inštitúciami.</w:t>
      </w:r>
    </w:p>
    <w:p w:rsidR="00F7624D" w:rsidRDefault="003C5F24">
      <w:pPr>
        <w:widowControl/>
        <w:ind w:left="851" w:hanging="851"/>
        <w:jc w:val="both"/>
        <w:rPr>
          <w:szCs w:val="24"/>
        </w:rPr>
      </w:pPr>
      <w:r>
        <w:rPr>
          <w:b/>
          <w:i/>
        </w:rPr>
        <w:t>4a.</w:t>
      </w:r>
      <w:r>
        <w:tab/>
      </w:r>
      <w:r>
        <w:rPr>
          <w:b/>
          <w:i/>
        </w:rPr>
        <w:t xml:space="preserve">Fyzické alebo právnické osoby poskytujúce služby uvedené v odseku 1 tohto </w:t>
      </w:r>
      <w:r>
        <w:rPr>
          <w:b/>
          <w:i/>
        </w:rPr>
        <w:t>článku dodržiavajú požiadavky na transparentnosť poplatkov a platieb stanovené v článku 7 nariadenia o platobných službách, a najmä zabezpečia, aby sa takéto poplatky a platby zobrazovali pri začatí poskytovania služieb.</w:t>
      </w:r>
      <w:r>
        <w:t xml:space="preserve"> </w:t>
      </w:r>
    </w:p>
    <w:p w:rsidR="00F7624D" w:rsidRDefault="00F7624D">
      <w:pPr>
        <w:rPr>
          <w:noProof/>
        </w:rPr>
      </w:pP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39</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Povinnosť oznamovať</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r>
      <w:r>
        <w:rPr>
          <w:rFonts w:eastAsiaTheme="minorHAnsi"/>
          <w:szCs w:val="22"/>
          <w:lang w:eastAsia="en-US"/>
        </w:rPr>
        <w:t>Členské štáty vyžadujú, aby poskytovatelia služieb, ktorí vykonávajú ktorúkoľvek z činností uvedených v</w:t>
      </w:r>
      <w:r>
        <w:rPr>
          <w:rFonts w:eastAsiaTheme="minorHAnsi"/>
          <w:b/>
          <w:i/>
          <w:szCs w:val="22"/>
          <w:lang w:eastAsia="en-US"/>
        </w:rPr>
        <w:t xml:space="preserve"> článku 2 ods. 2 </w:t>
      </w:r>
      <w:r>
        <w:rPr>
          <w:rFonts w:eastAsiaTheme="minorHAnsi"/>
          <w:szCs w:val="22"/>
          <w:lang w:eastAsia="en-US"/>
        </w:rPr>
        <w:t>písm. j), i) a ii) nariadenia XXX [nariadenie o platobných službách] alebo vykonávajú obe tieto činnosti, v prípade ktorých celková hodn</w:t>
      </w:r>
      <w:r>
        <w:rPr>
          <w:rFonts w:eastAsiaTheme="minorHAnsi"/>
          <w:szCs w:val="22"/>
          <w:lang w:eastAsia="en-US"/>
        </w:rPr>
        <w:t>ota platobných transakcií vykonaných za predchádzajúcich 12 mesiacov presahuje 1 milión EUR, informovali príslušné orgány o ponúkaných službách s uvedením toho, na základe ktorého vyňatia, ako sa uvádza v</w:t>
      </w:r>
      <w:r>
        <w:rPr>
          <w:rFonts w:eastAsiaTheme="minorHAnsi"/>
          <w:b/>
          <w:i/>
          <w:szCs w:val="22"/>
          <w:lang w:eastAsia="en-US"/>
        </w:rPr>
        <w:t xml:space="preserve"> článku 2 ods. 2 </w:t>
      </w:r>
      <w:r>
        <w:rPr>
          <w:rFonts w:eastAsiaTheme="minorHAnsi"/>
          <w:szCs w:val="22"/>
          <w:lang w:eastAsia="en-US"/>
        </w:rPr>
        <w:t>písm. j), i) a ii) nariadenia XXX [</w:t>
      </w:r>
      <w:r>
        <w:rPr>
          <w:rFonts w:eastAsiaTheme="minorHAnsi"/>
          <w:szCs w:val="22"/>
          <w:lang w:eastAsia="en-US"/>
        </w:rPr>
        <w:t>nariadenie o platobných službách], sa činnosť považuje za vykonávanú.</w:t>
      </w:r>
    </w:p>
    <w:p w:rsidR="00F7624D" w:rsidRDefault="003C5F24">
      <w:pPr>
        <w:ind w:left="850"/>
        <w:jc w:val="both"/>
        <w:rPr>
          <w:noProof/>
          <w:szCs w:val="24"/>
        </w:rPr>
      </w:pPr>
      <w:r>
        <w:t>Príslušný orgán prijme na základe uvedeného oznámenia riadne odôvodnené rozhodnutie podľa kritérií uvedených v</w:t>
      </w:r>
      <w:r>
        <w:rPr>
          <w:b/>
          <w:i/>
        </w:rPr>
        <w:t xml:space="preserve"> článku 2 ods. 2 </w:t>
      </w:r>
      <w:r>
        <w:t xml:space="preserve">písm. j) nariadenia XXX [nariadenie o platobných službách] </w:t>
      </w:r>
      <w:r>
        <w:t>v prípade, že sa táto činnosť nekvalifikuje ako obmedzená sieť, a informuje o tom poskytovateľa služieb.</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Členské štáty vyžadujú, aby poskytovatelia služieb, ktorí vykonávajú činnosť, ako sa uvádza v </w:t>
      </w:r>
      <w:r>
        <w:rPr>
          <w:rFonts w:eastAsiaTheme="minorHAnsi"/>
          <w:b/>
          <w:i/>
          <w:szCs w:val="22"/>
          <w:lang w:eastAsia="en-US"/>
        </w:rPr>
        <w:t>článku 2 ods. 2 pís</w:t>
      </w:r>
      <w:bookmarkStart w:id="38" w:name="_GoBack"/>
      <w:bookmarkEnd w:id="38"/>
      <w:r>
        <w:rPr>
          <w:rFonts w:eastAsiaTheme="minorHAnsi"/>
          <w:b/>
          <w:i/>
          <w:szCs w:val="22"/>
          <w:lang w:eastAsia="en-US"/>
        </w:rPr>
        <w:t xml:space="preserve">m. k) </w:t>
      </w:r>
      <w:r>
        <w:rPr>
          <w:rFonts w:eastAsiaTheme="minorHAnsi"/>
          <w:szCs w:val="22"/>
          <w:lang w:eastAsia="en-US"/>
        </w:rPr>
        <w:t>nariadenia XXX [nariadenie o </w:t>
      </w:r>
      <w:r>
        <w:rPr>
          <w:rFonts w:eastAsiaTheme="minorHAnsi"/>
          <w:szCs w:val="22"/>
          <w:lang w:eastAsia="en-US"/>
        </w:rPr>
        <w:t>platobných službách], zasielali príslušným orgánom oznámenie a aby každý rok poskytli príslušným orgánom stanovisko audítora, v ktorom sa potvrdí, že činnosť je v súlade s limitmi stanovenými v</w:t>
      </w:r>
      <w:r>
        <w:rPr>
          <w:rFonts w:eastAsiaTheme="minorHAnsi"/>
          <w:b/>
          <w:i/>
          <w:szCs w:val="22"/>
          <w:lang w:eastAsia="en-US"/>
        </w:rPr>
        <w:t xml:space="preserve"> článku 2 ods. 2 písm. k) </w:t>
      </w:r>
      <w:r>
        <w:rPr>
          <w:rFonts w:eastAsiaTheme="minorHAnsi"/>
          <w:szCs w:val="22"/>
          <w:lang w:eastAsia="en-US"/>
        </w:rPr>
        <w:t>nariadenia XXX [nariadenie o platobný</w:t>
      </w:r>
      <w:r>
        <w:rPr>
          <w:rFonts w:eastAsiaTheme="minorHAnsi"/>
          <w:szCs w:val="22"/>
          <w:lang w:eastAsia="en-US"/>
        </w:rPr>
        <w:t>ch službách]</w:t>
      </w:r>
      <w:r>
        <w:rPr>
          <w:rFonts w:eastAsiaTheme="minorHAnsi"/>
          <w:b/>
          <w:i/>
          <w:szCs w:val="22"/>
          <w:lang w:eastAsia="en-US"/>
        </w:rPr>
        <w:t>.</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3.</w:t>
      </w:r>
      <w:r>
        <w:rPr>
          <w:rFonts w:eastAsiaTheme="minorHAnsi"/>
          <w:szCs w:val="22"/>
          <w:lang w:eastAsia="en-US"/>
        </w:rPr>
        <w:tab/>
        <w:t>Členské štáty zabezpečia, aby príslušné orgány informovali orgán EBA o službách oznámených podľa odseku 1 s uvedením toho, na základe ktorého vyňatia sa činnosť vykonáva.</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Opis činnosti oznámenej podľa odsekov 2 a 3 sa sprístupní verejno</w:t>
      </w:r>
      <w:r>
        <w:rPr>
          <w:rFonts w:eastAsiaTheme="minorHAnsi"/>
          <w:szCs w:val="22"/>
          <w:lang w:eastAsia="en-US"/>
        </w:rPr>
        <w:t>sti v registroch uvedených v článkoch 17 a 18.</w:t>
      </w:r>
    </w:p>
    <w:p w:rsidR="00F7624D" w:rsidRDefault="003C5F24">
      <w:pPr>
        <w:keepNext/>
        <w:widowControl/>
        <w:spacing w:before="120" w:after="360"/>
        <w:jc w:val="center"/>
        <w:rPr>
          <w:rFonts w:eastAsiaTheme="minorHAnsi"/>
          <w:b/>
          <w:smallCaps/>
          <w:noProof/>
          <w:sz w:val="28"/>
          <w:szCs w:val="22"/>
          <w:lang w:eastAsia="en-US"/>
        </w:rPr>
      </w:pPr>
      <w:r>
        <w:rPr>
          <w:rFonts w:eastAsiaTheme="minorHAnsi"/>
          <w:i/>
          <w:smallCaps/>
          <w:sz w:val="28"/>
          <w:szCs w:val="22"/>
          <w:lang w:eastAsia="en-US"/>
        </w:rPr>
        <w:lastRenderedPageBreak/>
        <w:t>HLAVA III</w:t>
      </w:r>
    </w:p>
    <w:p w:rsidR="00F7624D" w:rsidRDefault="003C5F24">
      <w:pPr>
        <w:keepNext/>
        <w:widowControl/>
        <w:spacing w:before="120" w:after="360"/>
        <w:jc w:val="center"/>
        <w:rPr>
          <w:rFonts w:eastAsiaTheme="minorHAnsi"/>
          <w:b/>
          <w:smallCaps/>
          <w:noProof/>
          <w:sz w:val="28"/>
          <w:szCs w:val="22"/>
          <w:lang w:eastAsia="en-US"/>
        </w:rPr>
      </w:pPr>
      <w:r>
        <w:rPr>
          <w:rFonts w:eastAsiaTheme="minorHAnsi"/>
          <w:i/>
          <w:smallCaps/>
          <w:sz w:val="28"/>
          <w:szCs w:val="22"/>
          <w:lang w:eastAsia="en-US"/>
        </w:rPr>
        <w:t>DELEGOVANÉ AKTY A REGULAČNÉ TECHNICKÉ PREDPISY</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40</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Delegované akty</w:t>
      </w:r>
    </w:p>
    <w:p w:rsidR="00F7624D" w:rsidRDefault="003C5F24">
      <w:pPr>
        <w:jc w:val="both"/>
        <w:rPr>
          <w:noProof/>
        </w:rPr>
      </w:pPr>
      <w:r>
        <w:t>Komisia je splnomocnená prijímať delegované akty v súlade s článkom 41 s cieľom aktualizovať o infláciu sumy uvedené v článku </w:t>
      </w:r>
      <w:r>
        <w:t>5, článku 34 ods. 1 a článku 37.</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41</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Vykonávanie delegovania právomoci</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Komisii sa udeľuje právomoc prijímať delegované akty za podmienok stanovených v tomto článku.</w:t>
      </w:r>
    </w:p>
    <w:p w:rsidR="00F7624D" w:rsidRDefault="003C5F24">
      <w:pPr>
        <w:widowControl/>
        <w:spacing w:before="120" w:after="120"/>
        <w:ind w:left="850" w:hanging="850"/>
        <w:jc w:val="both"/>
        <w:rPr>
          <w:rFonts w:eastAsiaTheme="minorHAnsi"/>
          <w:b/>
          <w:i/>
          <w:noProof/>
          <w:szCs w:val="22"/>
          <w:lang w:eastAsia="en-US"/>
        </w:rPr>
      </w:pPr>
      <w:r>
        <w:rPr>
          <w:rFonts w:eastAsiaTheme="minorHAnsi"/>
          <w:szCs w:val="22"/>
          <w:lang w:eastAsia="en-US"/>
        </w:rPr>
        <w:t>2.</w:t>
      </w:r>
      <w:r>
        <w:rPr>
          <w:rFonts w:eastAsiaTheme="minorHAnsi"/>
          <w:szCs w:val="22"/>
          <w:lang w:eastAsia="en-US"/>
        </w:rPr>
        <w:tab/>
        <w:t xml:space="preserve">Právomoc prijímať delegované akty uvedená v článku 40 sa Komisii udeľuje na </w:t>
      </w:r>
      <w:r>
        <w:rPr>
          <w:rFonts w:eastAsiaTheme="minorHAnsi"/>
          <w:szCs w:val="22"/>
          <w:lang w:eastAsia="en-US"/>
        </w:rPr>
        <w:t>dobu neurčitú od dátumu nadobudnutia účinnosti tejto smernice.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 xml:space="preserve">Delegovanie právomoci uvedené v článku 40 môže Európsky parlament alebo Rada kedykoľvek odvolať. Rozhodnutím o odvolaní sa ukončuje delegovanie právomoci, ktoré sa v ňom uvádza. Rozhodnutie </w:t>
      </w:r>
      <w:r>
        <w:rPr>
          <w:rFonts w:eastAsiaTheme="minorHAnsi"/>
          <w:szCs w:val="22"/>
          <w:lang w:eastAsia="en-US"/>
        </w:rPr>
        <w:t>nadobúda účinnosť dňom nasledujúcim po jeho uverejnení v </w:t>
      </w:r>
      <w:r>
        <w:rPr>
          <w:rFonts w:eastAsiaTheme="minorHAnsi"/>
          <w:i/>
          <w:iCs/>
          <w:szCs w:val="22"/>
          <w:lang w:eastAsia="en-US"/>
        </w:rPr>
        <w:t>Úradnom vestníku Európskej únie</w:t>
      </w:r>
      <w:r>
        <w:rPr>
          <w:rFonts w:eastAsiaTheme="minorHAnsi"/>
          <w:szCs w:val="22"/>
          <w:lang w:eastAsia="en-US"/>
        </w:rPr>
        <w:t xml:space="preserve"> alebo k neskoršiemu dátumu, ktorý je v ňom určený. Nie je ním dotknutá platnosť delegovaných aktov, ktoré už nadobudli účinnosť.</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Komisia oznamuje delegovaný akt hne</w:t>
      </w:r>
      <w:r>
        <w:rPr>
          <w:rFonts w:eastAsiaTheme="minorHAnsi"/>
          <w:szCs w:val="22"/>
          <w:lang w:eastAsia="en-US"/>
        </w:rPr>
        <w:t>ď po jeho prijatí súčasne Európskemu parlamentu a Rade.</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5.</w:t>
      </w:r>
      <w:r>
        <w:rPr>
          <w:rFonts w:eastAsiaTheme="minorHAnsi"/>
          <w:szCs w:val="22"/>
          <w:lang w:eastAsia="en-US"/>
        </w:rPr>
        <w:tab/>
        <w:t>Delegovaný akt prijatý podľa článku 40 nadobudne účinnosť, len ak Európsky parlament alebo Rada voči nemu nevzniesli námietku v lehote troch mesiacov odo dňa oznámenia uvedeného aktu Európskemu par</w:t>
      </w:r>
      <w:r>
        <w:rPr>
          <w:rFonts w:eastAsiaTheme="minorHAnsi"/>
          <w:szCs w:val="22"/>
          <w:lang w:eastAsia="en-US"/>
        </w:rPr>
        <w:t>lamentu a Rade alebo ak pred uplynutím uvedenej lehoty Európsky parlament a Rada informovali Komisiu o svojom rozhodnutí nevzniesť námietku. Na podnet Európskeho parlamentu alebo Rady sa táto lehota predĺži o tri mesiace.</w:t>
      </w:r>
    </w:p>
    <w:p w:rsidR="00F7624D" w:rsidRDefault="003C5F24">
      <w:pPr>
        <w:keepNext/>
        <w:widowControl/>
        <w:spacing w:before="120" w:after="360"/>
        <w:jc w:val="center"/>
        <w:rPr>
          <w:rFonts w:eastAsiaTheme="minorHAnsi"/>
          <w:b/>
          <w:smallCaps/>
          <w:noProof/>
          <w:sz w:val="28"/>
          <w:szCs w:val="22"/>
          <w:lang w:eastAsia="en-US"/>
        </w:rPr>
      </w:pPr>
      <w:r>
        <w:rPr>
          <w:rFonts w:eastAsiaTheme="minorHAnsi"/>
          <w:i/>
          <w:smallCaps/>
          <w:sz w:val="28"/>
          <w:szCs w:val="22"/>
          <w:lang w:eastAsia="en-US"/>
        </w:rPr>
        <w:t>HLAVA IV</w:t>
      </w:r>
    </w:p>
    <w:p w:rsidR="00F7624D" w:rsidRDefault="003C5F24">
      <w:pPr>
        <w:keepNext/>
        <w:widowControl/>
        <w:spacing w:before="120" w:after="360"/>
        <w:jc w:val="center"/>
        <w:rPr>
          <w:rFonts w:eastAsiaTheme="minorHAnsi"/>
          <w:b/>
          <w:smallCaps/>
          <w:noProof/>
          <w:sz w:val="28"/>
          <w:szCs w:val="22"/>
          <w:lang w:eastAsia="en-US"/>
        </w:rPr>
      </w:pPr>
      <w:r>
        <w:rPr>
          <w:rFonts w:eastAsiaTheme="minorHAnsi"/>
          <w:i/>
          <w:smallCaps/>
          <w:sz w:val="28"/>
          <w:szCs w:val="22"/>
          <w:lang w:eastAsia="en-US"/>
        </w:rPr>
        <w:t>ZÁVEREČNÉ USTANOVENIA</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42</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Úplná harmonizácia</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Bez toho, aby bol dotknutý článok 6 ods. 3 a článok 34, pokiaľ táto smernica obsahuje harmonizované ustanovenia, členské štáty nesmú zachovávať ani zavádzať iné ustanovenia než ustanovenia stanovené v tejto smernici.</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Člen</w:t>
      </w:r>
      <w:r>
        <w:rPr>
          <w:rFonts w:eastAsiaTheme="minorHAnsi"/>
          <w:szCs w:val="22"/>
          <w:lang w:eastAsia="en-US"/>
        </w:rPr>
        <w:t xml:space="preserve">ský štát, ktorý využíva ktorúkoľvek z možností uvedených v článku 6 ods. 3 alebo článku 34, o tejto skutočnosti a o všetkých následných zmenách informuje </w:t>
      </w:r>
      <w:r>
        <w:rPr>
          <w:rFonts w:eastAsiaTheme="minorHAnsi"/>
          <w:szCs w:val="22"/>
          <w:lang w:eastAsia="en-US"/>
        </w:rPr>
        <w:lastRenderedPageBreak/>
        <w:t>Komisiu. Komisia uverejní informácie na webovom sídle alebo iným ľahko prístupným spôsobom.</w:t>
      </w:r>
    </w:p>
    <w:p w:rsidR="00F7624D" w:rsidRDefault="003C5F24">
      <w:pPr>
        <w:widowControl/>
        <w:spacing w:before="120" w:after="120"/>
        <w:ind w:left="850" w:hanging="850"/>
        <w:jc w:val="both"/>
        <w:rPr>
          <w:rFonts w:eastAsiaTheme="minorHAnsi"/>
          <w:noProof/>
          <w:szCs w:val="22"/>
          <w:lang w:eastAsia="en-US"/>
        </w:rPr>
      </w:pPr>
      <w:bookmarkStart w:id="39" w:name="_Hlk127548824"/>
      <w:r>
        <w:rPr>
          <w:rFonts w:eastAsiaTheme="minorHAnsi"/>
          <w:szCs w:val="22"/>
          <w:lang w:eastAsia="en-US"/>
        </w:rPr>
        <w:t>3.</w:t>
      </w:r>
      <w:r>
        <w:rPr>
          <w:rFonts w:eastAsiaTheme="minorHAnsi"/>
          <w:szCs w:val="22"/>
          <w:lang w:eastAsia="en-US"/>
        </w:rPr>
        <w:tab/>
        <w:t>Členské</w:t>
      </w:r>
      <w:r>
        <w:rPr>
          <w:rFonts w:eastAsiaTheme="minorHAnsi"/>
          <w:szCs w:val="22"/>
          <w:lang w:eastAsia="en-US"/>
        </w:rPr>
        <w:t xml:space="preserve"> štáty zabezpečia, aby sa poskytovatelia platobných služieb neodchyľovali na úkor používateľov platobných služieb od ustanovení vnútroštátneho práva, ktorými sa transponuje táto smernica, okrem prípadov výslovne v nej stanovených. Poskytovatelia platobných</w:t>
      </w:r>
      <w:r>
        <w:rPr>
          <w:rFonts w:eastAsiaTheme="minorHAnsi"/>
          <w:szCs w:val="22"/>
          <w:lang w:eastAsia="en-US"/>
        </w:rPr>
        <w:t xml:space="preserve"> služieb sa však môžu rozhodnúť poskytnúť používateľom platobných služieb priaznivejšie podmienky.</w:t>
      </w:r>
    </w:p>
    <w:p w:rsidR="00F7624D" w:rsidRDefault="003C5F24">
      <w:pPr>
        <w:keepNext/>
        <w:widowControl/>
        <w:spacing w:before="360" w:after="120"/>
        <w:jc w:val="center"/>
        <w:rPr>
          <w:rFonts w:eastAsiaTheme="minorHAnsi"/>
          <w:i/>
          <w:noProof/>
          <w:szCs w:val="22"/>
          <w:lang w:eastAsia="en-US"/>
        </w:rPr>
      </w:pPr>
      <w:bookmarkStart w:id="40" w:name="_Hlk127266001"/>
      <w:bookmarkEnd w:id="39"/>
      <w:r>
        <w:rPr>
          <w:rFonts w:eastAsiaTheme="minorHAnsi"/>
          <w:i/>
          <w:szCs w:val="22"/>
          <w:lang w:eastAsia="en-US"/>
        </w:rPr>
        <w:t>Článok 43</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Doložka o preskúmaní</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 xml:space="preserve">Komisia do [OP: doplňte dátum = päť rokov od dátumu </w:t>
      </w:r>
      <w:r>
        <w:rPr>
          <w:rFonts w:eastAsiaTheme="minorHAnsi"/>
          <w:b/>
          <w:i/>
          <w:szCs w:val="22"/>
          <w:lang w:eastAsia="en-US"/>
        </w:rPr>
        <w:t>začiatku uplatňovania</w:t>
      </w:r>
      <w:r>
        <w:rPr>
          <w:rFonts w:eastAsiaTheme="minorHAnsi"/>
          <w:szCs w:val="22"/>
          <w:lang w:eastAsia="en-US"/>
        </w:rPr>
        <w:t xml:space="preserve"> tejto smernice] predloží Európskemu parlamentu, R</w:t>
      </w:r>
      <w:r>
        <w:rPr>
          <w:rFonts w:eastAsiaTheme="minorHAnsi"/>
          <w:szCs w:val="22"/>
          <w:lang w:eastAsia="en-US"/>
        </w:rPr>
        <w:t>ade, ECB a Európskemu hospodárskemu a sociálnemu výboru správu o uplatňovaní a vplyve tejto smernice, a najmä o:</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 xml:space="preserve">▌ </w:t>
      </w:r>
      <w:r>
        <w:rPr>
          <w:rFonts w:eastAsiaTheme="minorHAnsi"/>
          <w:szCs w:val="22"/>
          <w:lang w:eastAsia="en-US"/>
        </w:rPr>
        <w:tab/>
      </w:r>
    </w:p>
    <w:bookmarkEnd w:id="40"/>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vplyve revízie smernice 2014/49/EÚ na zabezpečenie finančných prostriedkov zákazníkov platobnými inštitúciami.</w:t>
      </w:r>
    </w:p>
    <w:p w:rsidR="00F7624D" w:rsidRDefault="003C5F24">
      <w:pPr>
        <w:widowControl/>
        <w:spacing w:before="120" w:after="120"/>
        <w:ind w:left="1417" w:hanging="567"/>
        <w:jc w:val="both"/>
        <w:rPr>
          <w:rFonts w:eastAsiaTheme="minorHAnsi"/>
          <w:noProof/>
          <w:szCs w:val="22"/>
          <w:lang w:eastAsia="en-US"/>
        </w:rPr>
      </w:pPr>
      <w:r>
        <w:rPr>
          <w:rFonts w:eastAsiaTheme="minorHAnsi"/>
          <w:b/>
          <w:i/>
          <w:szCs w:val="22"/>
          <w:lang w:eastAsia="en-US"/>
        </w:rPr>
        <w:t>ba)</w:t>
      </w:r>
      <w:r>
        <w:rPr>
          <w:rFonts w:eastAsiaTheme="minorHAnsi"/>
          <w:szCs w:val="22"/>
          <w:lang w:eastAsia="en-US"/>
        </w:rPr>
        <w:tab/>
      </w:r>
      <w:r>
        <w:rPr>
          <w:rFonts w:eastAsiaTheme="minorHAnsi"/>
          <w:b/>
          <w:i/>
          <w:szCs w:val="22"/>
          <w:lang w:eastAsia="en-US"/>
        </w:rPr>
        <w:t>celkovom počte a trho</w:t>
      </w:r>
      <w:r>
        <w:rPr>
          <w:rFonts w:eastAsiaTheme="minorHAnsi"/>
          <w:b/>
          <w:i/>
          <w:szCs w:val="22"/>
          <w:lang w:eastAsia="en-US"/>
        </w:rPr>
        <w:t>vom podiele poskytovateľov platobných služieb, ktorým bolo udelené povolenie podľa tejto smernice, rozčlenených podľa jednotlivých členských štátov;</w:t>
      </w:r>
    </w:p>
    <w:p w:rsidR="00F7624D" w:rsidRDefault="003C5F24">
      <w:pPr>
        <w:ind w:left="850"/>
        <w:rPr>
          <w:noProof/>
        </w:rPr>
      </w:pPr>
      <w:r>
        <w:t>Komisia v prípade potreby predloží spolu so svojou správou aj legislatívny návrh.</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Komisia do [OP: doplňt</w:t>
      </w:r>
      <w:r>
        <w:rPr>
          <w:rFonts w:eastAsiaTheme="minorHAnsi"/>
          <w:szCs w:val="22"/>
          <w:lang w:eastAsia="en-US"/>
        </w:rPr>
        <w:t>e dátum = tri roky od dátumu nadobudnutia účinnosti tejto smernice] predloží Európskemu parlamentu, Rade, ECB a Európskemu hospodárskemu a sociálnemu výboru správu o rozsahu pôsobnosti tejto smernice, najmä pokiaľ ide o platobné systémy, platobné schémy a </w:t>
      </w:r>
      <w:r>
        <w:rPr>
          <w:rFonts w:eastAsiaTheme="minorHAnsi"/>
          <w:szCs w:val="22"/>
          <w:lang w:eastAsia="en-US"/>
        </w:rPr>
        <w:t xml:space="preserve">poskytovateľov technických služieb </w:t>
      </w:r>
      <w:r>
        <w:rPr>
          <w:rFonts w:eastAsiaTheme="minorHAnsi"/>
          <w:b/>
          <w:i/>
          <w:szCs w:val="22"/>
          <w:lang w:eastAsia="en-US"/>
        </w:rPr>
        <w:t>vrátane spracovania alebo prevádzkovania digitálnych peňaženiek, ktoré nespadajú do rozsahu pôsobnosti tejto smernice</w:t>
      </w:r>
      <w:r>
        <w:rPr>
          <w:rFonts w:eastAsiaTheme="minorHAnsi"/>
          <w:szCs w:val="22"/>
          <w:lang w:eastAsia="en-US"/>
        </w:rPr>
        <w:t>. Komisia v prípade potreby predloží spolu s uvedenou správou aj legislatívny návrh.</w:t>
      </w:r>
    </w:p>
    <w:p w:rsidR="00F7624D" w:rsidRDefault="00F7624D">
      <w:pPr>
        <w:rPr>
          <w:noProof/>
        </w:rPr>
      </w:pPr>
    </w:p>
    <w:p w:rsidR="00F7624D" w:rsidRDefault="003C5F24">
      <w:pPr>
        <w:keepNext/>
        <w:widowControl/>
        <w:spacing w:before="360" w:after="120"/>
        <w:jc w:val="center"/>
        <w:rPr>
          <w:rFonts w:eastAsiaTheme="minorHAnsi"/>
          <w:i/>
          <w:noProof/>
          <w:szCs w:val="22"/>
          <w:lang w:eastAsia="en-US"/>
        </w:rPr>
      </w:pPr>
      <w:bookmarkStart w:id="41" w:name="_Hlk127550794"/>
      <w:r>
        <w:rPr>
          <w:rFonts w:eastAsiaTheme="minorHAnsi"/>
          <w:i/>
          <w:szCs w:val="22"/>
          <w:lang w:eastAsia="en-US"/>
        </w:rPr>
        <w:t>Článok 44</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Prechodn</w:t>
      </w:r>
      <w:r>
        <w:rPr>
          <w:rFonts w:eastAsiaTheme="minorHAnsi"/>
          <w:b/>
          <w:i/>
          <w:szCs w:val="22"/>
          <w:lang w:eastAsia="en-US"/>
        </w:rPr>
        <w:t>é ustanovenia</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1.</w:t>
      </w:r>
      <w:r>
        <w:rPr>
          <w:rFonts w:eastAsiaTheme="minorHAnsi"/>
          <w:szCs w:val="22"/>
          <w:lang w:eastAsia="en-US"/>
        </w:rPr>
        <w:tab/>
      </w:r>
      <w:r>
        <w:rPr>
          <w:rFonts w:eastAsiaTheme="minorHAnsi"/>
          <w:szCs w:val="22"/>
          <w:lang w:eastAsia="en-US"/>
        </w:rPr>
        <w:t>Členské štáty umožnia platobným inštitúciám, ktorým bolo udelené povolenie podľa článku 11 smernice (EÚ) 2015/2366 do [OP: doplňte dátum = 18 mesiacov od dátumu nadobudnutia účinnosti tejto smernice], aby pokračovali v poskytovaní a vykonávaní platobných s</w:t>
      </w:r>
      <w:r>
        <w:rPr>
          <w:rFonts w:eastAsiaTheme="minorHAnsi"/>
          <w:szCs w:val="22"/>
          <w:lang w:eastAsia="en-US"/>
        </w:rPr>
        <w:t xml:space="preserve">lužieb, na ktoré im bolo udelené povolenie, bez toho, aby museli žiadať o udelenie </w:t>
      </w:r>
      <w:r>
        <w:rPr>
          <w:rFonts w:eastAsiaTheme="minorHAnsi"/>
          <w:b/>
          <w:i/>
          <w:szCs w:val="22"/>
          <w:lang w:eastAsia="en-US"/>
        </w:rPr>
        <w:t>nového</w:t>
      </w:r>
      <w:r>
        <w:rPr>
          <w:rFonts w:eastAsiaTheme="minorHAnsi"/>
          <w:szCs w:val="22"/>
          <w:lang w:eastAsia="en-US"/>
        </w:rPr>
        <w:t xml:space="preserve"> povolenia v súlade s článkom 3 tejto smernice alebo splniť iné ustanovenia stanovené alebo uvedené v hlave II tejto smernice do [OP: doplňte dátum = 24 mesiacov od dá</w:t>
      </w:r>
      <w:r>
        <w:rPr>
          <w:rFonts w:eastAsiaTheme="minorHAnsi"/>
          <w:szCs w:val="22"/>
          <w:lang w:eastAsia="en-US"/>
        </w:rPr>
        <w:t>tumu nadobudnutia účinnosti tejto smernice].</w:t>
      </w:r>
    </w:p>
    <w:p w:rsidR="00F7624D" w:rsidRDefault="003C5F24">
      <w:pPr>
        <w:tabs>
          <w:tab w:val="left" w:pos="567"/>
        </w:tabs>
        <w:ind w:left="850"/>
        <w:jc w:val="both"/>
        <w:rPr>
          <w:noProof/>
          <w:szCs w:val="24"/>
        </w:rPr>
      </w:pPr>
      <w:r>
        <w:t xml:space="preserve">Členské štáty </w:t>
      </w:r>
      <w:r>
        <w:rPr>
          <w:b/>
          <w:i/>
        </w:rPr>
        <w:t>nevyžadujú</w:t>
      </w:r>
      <w:r>
        <w:t xml:space="preserve">, aby platobné inštitúcie uvedené v prvom </w:t>
      </w:r>
      <w:proofErr w:type="spellStart"/>
      <w:r>
        <w:t>pododseku</w:t>
      </w:r>
      <w:proofErr w:type="spellEnd"/>
      <w:r>
        <w:t xml:space="preserve"> predložili príslušným orgánom </w:t>
      </w:r>
      <w:r>
        <w:rPr>
          <w:b/>
          <w:i/>
        </w:rPr>
        <w:t>akékoľvek iné doplňujúce informácie než</w:t>
      </w:r>
      <w:r>
        <w:t xml:space="preserve"> informácie, ktoré týmto príslušným orgánom umožnia do [OP: doplňt</w:t>
      </w:r>
      <w:r>
        <w:t>e dátum = 24 mesiacov od dátumu nadobudnutia účinnosti tejto smernice] posúdiť jednu z týchto možností:</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lastRenderedPageBreak/>
        <w:t>a)</w:t>
      </w:r>
      <w:r>
        <w:rPr>
          <w:rFonts w:eastAsiaTheme="minorHAnsi"/>
          <w:szCs w:val="22"/>
          <w:lang w:eastAsia="en-US"/>
        </w:rPr>
        <w:tab/>
        <w:t>či tieto platobné inštitúcie dodržiavajú</w:t>
      </w:r>
      <w:r>
        <w:rPr>
          <w:rFonts w:eastAsiaTheme="minorHAnsi"/>
          <w:b/>
          <w:i/>
          <w:szCs w:val="22"/>
          <w:lang w:eastAsia="en-US"/>
        </w:rPr>
        <w:t xml:space="preserve"> nové požiadavky podľa </w:t>
      </w:r>
      <w:r>
        <w:rPr>
          <w:rFonts w:eastAsiaTheme="minorHAnsi"/>
          <w:szCs w:val="22"/>
          <w:lang w:eastAsia="en-US"/>
        </w:rPr>
        <w:t>hlavy II a, ak to tak nie je, ktoré opatrenia treba prijať na zabezpečenie súladu;</w:t>
      </w:r>
    </w:p>
    <w:p w:rsidR="00F7624D" w:rsidRDefault="003C5F24">
      <w:pPr>
        <w:widowControl/>
        <w:spacing w:before="120" w:after="120"/>
        <w:ind w:left="1417" w:hanging="567"/>
        <w:jc w:val="both"/>
        <w:rPr>
          <w:rFonts w:eastAsiaTheme="minorHAnsi"/>
          <w:noProof/>
          <w:szCs w:val="24"/>
          <w:lang w:eastAsia="en-US"/>
        </w:rPr>
      </w:pPr>
      <w:r>
        <w:rPr>
          <w:rFonts w:eastAsiaTheme="minorHAnsi"/>
          <w:szCs w:val="22"/>
          <w:lang w:eastAsia="en-US"/>
        </w:rPr>
        <w:t>b)</w:t>
      </w:r>
      <w:r>
        <w:rPr>
          <w:rFonts w:eastAsiaTheme="minorHAnsi"/>
          <w:szCs w:val="22"/>
          <w:lang w:eastAsia="en-US"/>
        </w:rPr>
        <w:tab/>
      </w:r>
      <w:r>
        <w:rPr>
          <w:rFonts w:eastAsiaTheme="minorHAnsi"/>
          <w:szCs w:val="22"/>
          <w:lang w:eastAsia="en-US"/>
        </w:rPr>
        <w:t>či by malo byť povolenie odňaté.</w:t>
      </w:r>
    </w:p>
    <w:p w:rsidR="00F7624D" w:rsidRDefault="003C5F24">
      <w:pPr>
        <w:tabs>
          <w:tab w:val="left" w:pos="567"/>
        </w:tabs>
        <w:ind w:left="850"/>
        <w:jc w:val="both"/>
        <w:rPr>
          <w:noProof/>
          <w:szCs w:val="24"/>
        </w:rPr>
      </w:pPr>
      <w:r>
        <w:t xml:space="preserve">Platobným inštitúciám uvedeným v prvom </w:t>
      </w:r>
      <w:proofErr w:type="spellStart"/>
      <w:r>
        <w:t>pododseku</w:t>
      </w:r>
      <w:proofErr w:type="spellEnd"/>
      <w:r>
        <w:t>, ktoré po overení príslušnými orgánmi dodržiavajú hlavu II,</w:t>
      </w:r>
      <w:r>
        <w:rPr>
          <w:b/>
          <w:i/>
        </w:rPr>
        <w:t xml:space="preserve"> zostáva </w:t>
      </w:r>
      <w:r>
        <w:t>povolenie na vykonávanie činnosti platobnej inštitúcie podľa článku 13 tejto smernice a zapíšu sa do regis</w:t>
      </w:r>
      <w:r>
        <w:t xml:space="preserve">trov uvedených v článkoch 17 a 18. Ak uvedené platobné inštitúcie nesplnia požiadavky stanovené v hlave II do [OP: doplňte dátum = 24 mesiacov od dátumu nadobudnutia účinnosti tejto smernice], poskytovanie platobných služieb sa im </w:t>
      </w:r>
      <w:r>
        <w:rPr>
          <w:b/>
          <w:i/>
        </w:rPr>
        <w:t>pozastaví dovtedy, kým re</w:t>
      </w:r>
      <w:r>
        <w:rPr>
          <w:b/>
          <w:i/>
        </w:rPr>
        <w:t>levantnému príslušnému orgánu neposkytnú požadované doplňujúce informácie, ktorými sa zabezpečí ich súlad s hlavou II, a kým tento príslušný orgán neoverí správnosť týchto informácií a riadne neudelí poskytovateľovi platobných služieb povolenie</w:t>
      </w:r>
      <w:r>
        <w:t>.</w:t>
      </w:r>
    </w:p>
    <w:p w:rsidR="00F7624D" w:rsidRDefault="003C5F24">
      <w:pPr>
        <w:widowControl/>
        <w:spacing w:before="120" w:after="120"/>
        <w:ind w:left="850" w:hanging="850"/>
        <w:jc w:val="both"/>
        <w:rPr>
          <w:rFonts w:eastAsiaTheme="minorHAnsi"/>
          <w:noProof/>
          <w:szCs w:val="24"/>
          <w:lang w:eastAsia="en-US"/>
        </w:rPr>
      </w:pPr>
      <w:r>
        <w:rPr>
          <w:rFonts w:eastAsiaTheme="minorHAnsi"/>
          <w:szCs w:val="22"/>
          <w:lang w:eastAsia="en-US"/>
        </w:rPr>
        <w:t>2.</w:t>
      </w:r>
      <w:r>
        <w:rPr>
          <w:rFonts w:eastAsiaTheme="minorHAnsi"/>
          <w:szCs w:val="22"/>
          <w:lang w:eastAsia="en-US"/>
        </w:rPr>
        <w:tab/>
        <w:t>Členské</w:t>
      </w:r>
      <w:r>
        <w:rPr>
          <w:rFonts w:eastAsiaTheme="minorHAnsi"/>
          <w:szCs w:val="22"/>
          <w:lang w:eastAsia="en-US"/>
        </w:rPr>
        <w:t xml:space="preserve"> štáty ▌pre platobné inštitúcie, ako sa uvádza v odseku 1, </w:t>
      </w:r>
      <w:r>
        <w:rPr>
          <w:rFonts w:eastAsiaTheme="minorHAnsi"/>
          <w:b/>
          <w:i/>
          <w:szCs w:val="22"/>
          <w:lang w:eastAsia="en-US"/>
        </w:rPr>
        <w:t>stanovia</w:t>
      </w:r>
      <w:r>
        <w:rPr>
          <w:rFonts w:eastAsiaTheme="minorHAnsi"/>
          <w:szCs w:val="22"/>
          <w:lang w:eastAsia="en-US"/>
        </w:rPr>
        <w:t>, aby sa im udeľovalo povolenie automaticky a aby sa zapísali do registra uvedeného v článku 17, ak majú príslušné orgány dôkazy, že tieto platobné inštitúcie už spĺňajú požiadavky článkov </w:t>
      </w:r>
      <w:r>
        <w:rPr>
          <w:rFonts w:eastAsiaTheme="minorHAnsi"/>
          <w:szCs w:val="22"/>
          <w:lang w:eastAsia="en-US"/>
        </w:rPr>
        <w:t xml:space="preserve">3 a 13. Príslušné orgány informujú dotknuté platobné inštitúcie o </w:t>
      </w:r>
      <w:r>
        <w:rPr>
          <w:rFonts w:eastAsiaTheme="minorHAnsi"/>
          <w:b/>
          <w:i/>
          <w:szCs w:val="22"/>
          <w:lang w:eastAsia="en-US"/>
        </w:rPr>
        <w:t>akejkoľvek prekážke</w:t>
      </w:r>
      <w:r>
        <w:rPr>
          <w:rFonts w:eastAsiaTheme="minorHAnsi"/>
          <w:szCs w:val="22"/>
          <w:lang w:eastAsia="en-US"/>
        </w:rPr>
        <w:t xml:space="preserve"> povolenia </w:t>
      </w:r>
      <w:r>
        <w:rPr>
          <w:rFonts w:eastAsiaTheme="minorHAnsi"/>
          <w:b/>
          <w:i/>
          <w:szCs w:val="22"/>
          <w:lang w:eastAsia="en-US"/>
        </w:rPr>
        <w:t>a bez zbytočného odkladu pristúpia k odstráneniu tejto prekážky</w:t>
      </w:r>
      <w:r>
        <w:rPr>
          <w:rFonts w:eastAsiaTheme="minorHAnsi"/>
          <w:szCs w:val="22"/>
          <w:lang w:eastAsia="en-US"/>
        </w:rPr>
        <w:t>.</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szCs w:val="22"/>
          <w:lang w:eastAsia="en-US"/>
        </w:rPr>
        <w:tab/>
        <w:t>Členské štáty umožnia fyzickým alebo právnickým osobám, na ktoré sa vzťahovala výnimka podľa</w:t>
      </w:r>
      <w:r>
        <w:rPr>
          <w:rFonts w:eastAsiaTheme="minorHAnsi"/>
          <w:szCs w:val="22"/>
          <w:lang w:eastAsia="en-US"/>
        </w:rPr>
        <w:t xml:space="preserve"> článku 32 smernice (EÚ) 2015/2366 do [OP: doplňte dátum = 18 mesiacov od dátumu nadobudnutia účinnosti tejto smernice] a ktoré poskytovali platobné služby, ako sa uvádza v prílohe I k uvedenej smernici, aby:</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a)</w:t>
      </w:r>
      <w:r>
        <w:rPr>
          <w:rFonts w:eastAsiaTheme="minorHAnsi"/>
          <w:szCs w:val="22"/>
          <w:lang w:eastAsia="en-US"/>
        </w:rPr>
        <w:tab/>
        <w:t>pokračovali v poskytovaní týchto služieb v r</w:t>
      </w:r>
      <w:r>
        <w:rPr>
          <w:rFonts w:eastAsiaTheme="minorHAnsi"/>
          <w:szCs w:val="22"/>
          <w:lang w:eastAsia="en-US"/>
        </w:rPr>
        <w:t>ámci dotknutého členského štátu do [OP: doplňte dátum = 24 mesiacov od dátumu nadobudnutia účinnosti tejto smernice];</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b)</w:t>
      </w:r>
      <w:r>
        <w:rPr>
          <w:rFonts w:eastAsiaTheme="minorHAnsi"/>
          <w:szCs w:val="22"/>
          <w:lang w:eastAsia="en-US"/>
        </w:rPr>
        <w:tab/>
        <w:t>získali výnimku podľa článku 34 tejto smernice alebo</w:t>
      </w:r>
    </w:p>
    <w:p w:rsidR="00F7624D" w:rsidRDefault="003C5F24">
      <w:pPr>
        <w:widowControl/>
        <w:spacing w:before="120" w:after="120"/>
        <w:ind w:left="1417" w:hanging="567"/>
        <w:jc w:val="both"/>
        <w:rPr>
          <w:rFonts w:eastAsiaTheme="minorHAnsi"/>
          <w:noProof/>
          <w:szCs w:val="22"/>
          <w:lang w:eastAsia="en-US"/>
        </w:rPr>
      </w:pPr>
      <w:r>
        <w:rPr>
          <w:rFonts w:eastAsiaTheme="minorHAnsi"/>
          <w:szCs w:val="22"/>
          <w:lang w:eastAsia="en-US"/>
        </w:rPr>
        <w:t>c)</w:t>
      </w:r>
      <w:r>
        <w:rPr>
          <w:rFonts w:eastAsiaTheme="minorHAnsi"/>
          <w:szCs w:val="22"/>
          <w:lang w:eastAsia="en-US"/>
        </w:rPr>
        <w:tab/>
        <w:t>splnili ostatné ustanovenia stanovené alebo uvedené v hlave II tejto smernice.</w:t>
      </w:r>
    </w:p>
    <w:p w:rsidR="00F7624D" w:rsidRDefault="003C5F24">
      <w:pPr>
        <w:tabs>
          <w:tab w:val="left" w:pos="567"/>
        </w:tabs>
        <w:ind w:left="850"/>
        <w:jc w:val="both"/>
        <w:rPr>
          <w:noProof/>
          <w:szCs w:val="24"/>
        </w:rPr>
      </w:pPr>
      <w:r>
        <w:t xml:space="preserve">Každej osobe, ako sa uvádza v prvom </w:t>
      </w:r>
      <w:proofErr w:type="spellStart"/>
      <w:r>
        <w:t>pododseku</w:t>
      </w:r>
      <w:proofErr w:type="spellEnd"/>
      <w:r>
        <w:t>, ktorej do [</w:t>
      </w:r>
      <w:proofErr w:type="spellStart"/>
      <w:r>
        <w:t>OP</w:t>
      </w:r>
      <w:proofErr w:type="spellEnd"/>
      <w:r>
        <w:t xml:space="preserve">: doplňte dátum = 18 mesiacov od dátumu nadobudnutia účinnosti tejto smernice] nebolo udelené povolenie alebo ktorá nebola vyňatá podľa tejto smernice, </w:t>
      </w:r>
      <w:r>
        <w:rPr>
          <w:b/>
          <w:i/>
        </w:rPr>
        <w:t>sa pozastaví</w:t>
      </w:r>
      <w:r>
        <w:t xml:space="preserve"> poskytovanie platobných služieb</w:t>
      </w:r>
      <w:r>
        <w:t xml:space="preserve"> </w:t>
      </w:r>
      <w:r>
        <w:rPr>
          <w:b/>
          <w:i/>
        </w:rPr>
        <w:t>dovtedy, kým táto osoba relevantnému príslušnému orgánu neposkytne požadované doplňujúce informácie a kým tento príslušný orgán neoverí správnosť týchto informácií a riadne neudelí poskytovateľovi platobných služieb povolenie</w:t>
      </w:r>
      <w:r>
        <w:t>.</w:t>
      </w:r>
    </w:p>
    <w:p w:rsidR="00F7624D" w:rsidRDefault="003C5F24">
      <w:pPr>
        <w:widowControl/>
        <w:spacing w:before="120" w:after="120"/>
        <w:ind w:left="850" w:hanging="850"/>
        <w:jc w:val="both"/>
        <w:rPr>
          <w:rFonts w:eastAsiaTheme="minorHAnsi"/>
          <w:b/>
          <w:i/>
          <w:noProof/>
          <w:szCs w:val="22"/>
          <w:lang w:eastAsia="en-US"/>
        </w:rPr>
      </w:pPr>
      <w:r>
        <w:rPr>
          <w:rFonts w:eastAsiaTheme="minorHAnsi"/>
          <w:szCs w:val="22"/>
          <w:lang w:eastAsia="en-US"/>
        </w:rPr>
        <w:t>4.</w:t>
      </w:r>
      <w:r>
        <w:rPr>
          <w:rFonts w:eastAsiaTheme="minorHAnsi"/>
          <w:szCs w:val="22"/>
          <w:lang w:eastAsia="en-US"/>
        </w:rPr>
        <w:tab/>
        <w:t>Členské štáty môžu udeliť</w:t>
      </w:r>
      <w:r>
        <w:rPr>
          <w:rFonts w:eastAsiaTheme="minorHAnsi"/>
          <w:szCs w:val="22"/>
          <w:lang w:eastAsia="en-US"/>
        </w:rPr>
        <w:t xml:space="preserve"> fyzickým a právnickým osobám, na ktoré sa vzťahovala výnimka podľa článku 32 smernice (EÚ) 2015/2366, výnimku podľa článku 34 tejto smernice a zapísať tieto osoby do registrov uvedených v článkoch 17 a 18 tejto smernice, ak majú príslušné orgány dôkazy, ž</w:t>
      </w:r>
      <w:r>
        <w:rPr>
          <w:rFonts w:eastAsiaTheme="minorHAnsi"/>
          <w:szCs w:val="22"/>
          <w:lang w:eastAsia="en-US"/>
        </w:rPr>
        <w:t xml:space="preserve">e sú splnené požiadavky stanovené v článku 34 tejto smernice. Príslušné orgány o tom informujú dotknuté platobné inštitúcie. </w:t>
      </w:r>
      <w:r>
        <w:rPr>
          <w:rFonts w:eastAsiaTheme="minorHAnsi"/>
          <w:b/>
          <w:i/>
          <w:szCs w:val="22"/>
          <w:lang w:eastAsia="en-US"/>
        </w:rPr>
        <w:t xml:space="preserve">Ak príslušné orgány neprijmú rozhodnutie do ... [24 mesiacov od dátumu nadobudnutia účinnosti tejto smernice], platobné inštitúcie </w:t>
      </w:r>
      <w:r>
        <w:rPr>
          <w:rFonts w:eastAsiaTheme="minorHAnsi"/>
          <w:b/>
          <w:i/>
          <w:szCs w:val="22"/>
          <w:lang w:eastAsia="en-US"/>
        </w:rPr>
        <w:t>môžu naďalej poskytovať a vykonávať platobné služby, na ktoré im bolo udelené povolenie, až do prijatia takéhoto rozhodnutia</w:t>
      </w:r>
      <w:r>
        <w:rPr>
          <w:rFonts w:eastAsiaTheme="minorHAnsi"/>
          <w:szCs w:val="22"/>
          <w:lang w:eastAsia="en-US"/>
        </w:rPr>
        <w:t>.</w:t>
      </w:r>
    </w:p>
    <w:p w:rsidR="00F7624D" w:rsidRDefault="003C5F24">
      <w:pPr>
        <w:keepNext/>
        <w:widowControl/>
        <w:spacing w:before="360" w:after="120"/>
        <w:jc w:val="center"/>
        <w:rPr>
          <w:rFonts w:eastAsiaTheme="minorHAnsi"/>
          <w:i/>
          <w:noProof/>
          <w:szCs w:val="22"/>
          <w:lang w:eastAsia="en-US"/>
        </w:rPr>
      </w:pPr>
      <w:bookmarkStart w:id="42" w:name="_Hlk137932828"/>
      <w:bookmarkEnd w:id="41"/>
      <w:r>
        <w:rPr>
          <w:rFonts w:eastAsiaTheme="minorHAnsi"/>
          <w:i/>
          <w:szCs w:val="22"/>
          <w:lang w:eastAsia="en-US"/>
        </w:rPr>
        <w:lastRenderedPageBreak/>
        <w:t>Článok 45</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Prechodné ustanovenie – inštitúcie elektronického peňažníctva, ktorým bolo udelené povolenie podľa smernice 2009/110/ES</w:t>
      </w:r>
    </w:p>
    <w:bookmarkEnd w:id="42"/>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szCs w:val="22"/>
          <w:lang w:eastAsia="en-US"/>
        </w:rPr>
        <w:tab/>
        <w:t>Členské štáty umožnia inštitúciám elektronického peňažníctva, ktoré boli vymedzené v článku 2 bode 1 smernice 2009/110/ES a ktoré pred [OP: doplňte dátum = 18 mesiacov od dátumu nadobudnutia účinnosti tejto smernice] začali vykonávať činnosti v súlade s</w:t>
      </w:r>
      <w:r>
        <w:rPr>
          <w:rFonts w:eastAsiaTheme="minorHAnsi"/>
          <w:szCs w:val="22"/>
          <w:lang w:eastAsia="en-US"/>
        </w:rPr>
        <w:t> vnútroštátnym právom, ktorým sa transponuje smernica 2009/110/ES, ako inštitúcie elektronického peňažníctva v členskom štáte, v ktorom sa nachádza ich ústredie v súlade s vnútroštátnym právom, ktorým sa transponuje smernica 2009/110/ES, aby pokračovali v </w:t>
      </w:r>
      <w:r>
        <w:rPr>
          <w:rFonts w:eastAsiaTheme="minorHAnsi"/>
          <w:szCs w:val="22"/>
          <w:lang w:eastAsia="en-US"/>
        </w:rPr>
        <w:t xml:space="preserve">týchto činnostiach v danom členskom štáte alebo v inom členskom štáte bez toho, aby museli žiadať o udelenie </w:t>
      </w:r>
      <w:r>
        <w:rPr>
          <w:rFonts w:eastAsiaTheme="minorHAnsi"/>
          <w:b/>
          <w:i/>
          <w:szCs w:val="22"/>
          <w:lang w:eastAsia="en-US"/>
        </w:rPr>
        <w:t>nového</w:t>
      </w:r>
      <w:r>
        <w:rPr>
          <w:rFonts w:eastAsiaTheme="minorHAnsi"/>
          <w:szCs w:val="22"/>
          <w:lang w:eastAsia="en-US"/>
        </w:rPr>
        <w:t xml:space="preserve"> povolenia v súlade s článkom 3 tejto smernice alebo splniť iné ustanovenia stanovené alebo uvedené v hlave II tejto smernice </w:t>
      </w:r>
      <w:r>
        <w:rPr>
          <w:rFonts w:eastAsiaTheme="minorHAnsi"/>
          <w:b/>
          <w:i/>
          <w:szCs w:val="22"/>
          <w:lang w:eastAsia="en-US"/>
        </w:rPr>
        <w:t>do ... [24 mesi</w:t>
      </w:r>
      <w:r>
        <w:rPr>
          <w:rFonts w:eastAsiaTheme="minorHAnsi"/>
          <w:b/>
          <w:i/>
          <w:szCs w:val="22"/>
          <w:lang w:eastAsia="en-US"/>
        </w:rPr>
        <w:t>acov od dátumu nadobudnutia účinnosti tejto smernice]</w:t>
      </w:r>
      <w:r>
        <w:rPr>
          <w:rFonts w:eastAsiaTheme="minorHAnsi"/>
          <w:szCs w:val="22"/>
          <w:lang w:eastAsia="en-US"/>
        </w:rPr>
        <w:t>.</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szCs w:val="22"/>
          <w:lang w:eastAsia="en-US"/>
        </w:rPr>
        <w:tab/>
        <w:t xml:space="preserve">Členské štáty </w:t>
      </w:r>
      <w:r>
        <w:rPr>
          <w:rFonts w:eastAsiaTheme="minorHAnsi"/>
          <w:b/>
          <w:i/>
          <w:szCs w:val="22"/>
          <w:lang w:eastAsia="en-US"/>
        </w:rPr>
        <w:t>nevyžadujú</w:t>
      </w:r>
      <w:r>
        <w:rPr>
          <w:rFonts w:eastAsiaTheme="minorHAnsi"/>
          <w:szCs w:val="22"/>
          <w:lang w:eastAsia="en-US"/>
        </w:rPr>
        <w:t xml:space="preserve">, aby inštitúcie elektronického peňažníctva uvedené v odseku 1 predložili príslušným orgánom </w:t>
      </w:r>
      <w:r>
        <w:rPr>
          <w:rFonts w:eastAsiaTheme="minorHAnsi"/>
          <w:b/>
          <w:i/>
          <w:szCs w:val="22"/>
          <w:lang w:eastAsia="en-US"/>
        </w:rPr>
        <w:t>akékoľvek iné informácie než</w:t>
      </w:r>
      <w:r>
        <w:rPr>
          <w:rFonts w:eastAsiaTheme="minorHAnsi"/>
          <w:szCs w:val="22"/>
          <w:lang w:eastAsia="en-US"/>
        </w:rPr>
        <w:t xml:space="preserve"> informácie, ktoré týmto príslušným orgánom </w:t>
      </w:r>
      <w:r>
        <w:rPr>
          <w:rFonts w:eastAsiaTheme="minorHAnsi"/>
          <w:b/>
          <w:i/>
          <w:szCs w:val="22"/>
          <w:lang w:eastAsia="en-US"/>
        </w:rPr>
        <w:t>umožňujú</w:t>
      </w:r>
      <w:r>
        <w:rPr>
          <w:rFonts w:eastAsiaTheme="minorHAnsi"/>
          <w:szCs w:val="22"/>
          <w:lang w:eastAsia="en-US"/>
        </w:rPr>
        <w:t>,</w:t>
      </w:r>
      <w:r>
        <w:rPr>
          <w:rFonts w:eastAsiaTheme="minorHAnsi"/>
          <w:szCs w:val="22"/>
          <w:lang w:eastAsia="en-US"/>
        </w:rPr>
        <w:t xml:space="preserve"> aby do [OP: doplňte dátum = 24 mesiacov od dátumu nadobudnutia účinnosti tejto smernice] posúdili, či tieto inštitúcie elektronického peňažníctva spĺňajú požiadavky tejto smernice. Ak z takéhoto posúdenia vyplýva, že tieto inštitúcie elektronického peňažn</w:t>
      </w:r>
      <w:r>
        <w:rPr>
          <w:rFonts w:eastAsiaTheme="minorHAnsi"/>
          <w:szCs w:val="22"/>
          <w:lang w:eastAsia="en-US"/>
        </w:rPr>
        <w:t>íctva nespĺňajú uvedené požiadavky, príslušné orgány rozhodnú, ktoré opatrenia treba prijať na zabezpečenie takéhoto súladu, alebo povolenie odoberú.</w:t>
      </w:r>
    </w:p>
    <w:p w:rsidR="00F7624D" w:rsidRDefault="003C5F24">
      <w:pPr>
        <w:tabs>
          <w:tab w:val="left" w:pos="567"/>
        </w:tabs>
        <w:ind w:left="850"/>
        <w:jc w:val="both"/>
        <w:rPr>
          <w:noProof/>
          <w:szCs w:val="24"/>
        </w:rPr>
      </w:pPr>
      <w:r>
        <w:t xml:space="preserve">Inštitúciám elektronického peňažníctva, ako sa uvádza v prvom </w:t>
      </w:r>
      <w:proofErr w:type="spellStart"/>
      <w:r>
        <w:t>pododseku</w:t>
      </w:r>
      <w:proofErr w:type="spellEnd"/>
      <w:r>
        <w:t>, ktoré po overení príslušnými orgá</w:t>
      </w:r>
      <w:r>
        <w:t>nmi spĺňajú požiadavky hlavy II, sa udelí povolenie na vykonávanie činnosti platobnej inštitúcie podľa článku 13 tejto smernice a zapíšu sa do registrov uvedených v článkoch 17 a 18. Ak uvedené inštitúcie elektronického peňažníctva nesplnia požiadavky stan</w:t>
      </w:r>
      <w:r>
        <w:t xml:space="preserve">ovené v hlave II do [OP: doplňte dátum = 24 mesiacov od dátumu nadobudnutia účinnosti tejto smernice], poskytovanie služieb elektronických peňazí sa im </w:t>
      </w:r>
      <w:r>
        <w:rPr>
          <w:b/>
          <w:i/>
        </w:rPr>
        <w:t>pozastaví dovtedy, kým relevantnému príslušnému orgánu neposkytnú požadované doplňujúce informácie a kým</w:t>
      </w:r>
      <w:r>
        <w:rPr>
          <w:b/>
          <w:i/>
        </w:rPr>
        <w:t xml:space="preserve"> tento príslušný orgán neoverí správnosť týchto informácií a riadne neudelí inštitúcii elektronického peňažníctva povolenie</w:t>
      </w:r>
      <w:r>
        <w:t xml:space="preserve">. </w:t>
      </w:r>
    </w:p>
    <w:p w:rsidR="00F7624D" w:rsidRDefault="003C5F24">
      <w:pPr>
        <w:widowControl/>
        <w:ind w:left="851" w:hanging="851"/>
        <w:jc w:val="both"/>
        <w:rPr>
          <w:noProof/>
        </w:rPr>
      </w:pPr>
      <w:r>
        <w:t>3.</w:t>
      </w:r>
      <w:r>
        <w:tab/>
        <w:t xml:space="preserve">Členské štáty ▌inštitúciám elektronického peňažníctva, ako sa uvádza v odseku 1, </w:t>
      </w:r>
      <w:r>
        <w:rPr>
          <w:b/>
          <w:i/>
        </w:rPr>
        <w:t>umožnia</w:t>
      </w:r>
      <w:r>
        <w:t>, aby im bolo automaticky udelené povol</w:t>
      </w:r>
      <w:r>
        <w:t>enie na vykonávanie činnosti platobnej inštitúcie a aby boli zapísané do registra uvedeného v článku 17, ak majú príslušné orgány dôkazy, že dotknuté inštitúcie elektronického peňažníctva spĺňajú požiadavky tejto smernice. Príslušné orgány ▌informujú dotkn</w:t>
      </w:r>
      <w:r>
        <w:t xml:space="preserve">uté elektronického peňažníctva </w:t>
      </w:r>
      <w:r>
        <w:rPr>
          <w:b/>
          <w:i/>
        </w:rPr>
        <w:t>o akejkoľvek prekážke</w:t>
      </w:r>
      <w:r>
        <w:t xml:space="preserve"> povolenia </w:t>
      </w:r>
      <w:r>
        <w:rPr>
          <w:b/>
          <w:i/>
        </w:rPr>
        <w:t>a bez zbytočného odkladu pristúpia k odstráneniu tejto prekážky</w:t>
      </w:r>
      <w:r>
        <w:t xml:space="preserve">. </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4.</w:t>
      </w:r>
      <w:r>
        <w:rPr>
          <w:rFonts w:eastAsiaTheme="minorHAnsi"/>
          <w:szCs w:val="22"/>
          <w:lang w:eastAsia="en-US"/>
        </w:rPr>
        <w:tab/>
        <w:t xml:space="preserve">Členské štáty umožnia </w:t>
      </w:r>
      <w:r>
        <w:rPr>
          <w:rFonts w:eastAsiaTheme="minorHAnsi"/>
          <w:b/>
          <w:i/>
          <w:szCs w:val="22"/>
          <w:lang w:eastAsia="en-US"/>
        </w:rPr>
        <w:t>týmto</w:t>
      </w:r>
      <w:r>
        <w:rPr>
          <w:rFonts w:eastAsiaTheme="minorHAnsi"/>
          <w:szCs w:val="22"/>
          <w:lang w:eastAsia="en-US"/>
        </w:rPr>
        <w:t xml:space="preserve"> právnickým osobám, ktoré pred [OP: doplňte dátum = 18 mesiacov od dátumu nadobudnutia účinnosti </w:t>
      </w:r>
      <w:r>
        <w:rPr>
          <w:rFonts w:eastAsiaTheme="minorHAnsi"/>
          <w:szCs w:val="22"/>
          <w:lang w:eastAsia="en-US"/>
        </w:rPr>
        <w:t>tejto smernice] začali vykonávať činnosti v súlade s vnútroštátnym právom, ktorým sa transponuje článok 9 smernice 2009/110/ES, aby pokračovali v týchto činnostiach v rámci dotknutého členského štátu v súlade s uvedenou smernicou do [OP: doplňte dátum = 24</w:t>
      </w:r>
      <w:r>
        <w:rPr>
          <w:rFonts w:eastAsiaTheme="minorHAnsi"/>
          <w:szCs w:val="22"/>
          <w:lang w:eastAsia="en-US"/>
        </w:rPr>
        <w:t xml:space="preserve"> mesiacov od dátumu nadobudnutia účinnosti tejto smernice] bez toho, aby museli žiadať o udelenie </w:t>
      </w:r>
      <w:r>
        <w:rPr>
          <w:rFonts w:eastAsiaTheme="minorHAnsi"/>
          <w:b/>
          <w:i/>
          <w:szCs w:val="22"/>
          <w:lang w:eastAsia="en-US"/>
        </w:rPr>
        <w:t>nového</w:t>
      </w:r>
      <w:r>
        <w:rPr>
          <w:rFonts w:eastAsiaTheme="minorHAnsi"/>
          <w:szCs w:val="22"/>
          <w:lang w:eastAsia="en-US"/>
        </w:rPr>
        <w:t xml:space="preserve"> povolenia v súlade s článkom 3 tejto smernice alebo splniť iné ustanovenia stanovené alebo uvedené v hlave II tejto smernice. </w:t>
      </w:r>
      <w:r>
        <w:rPr>
          <w:rFonts w:eastAsiaTheme="minorHAnsi"/>
          <w:b/>
          <w:i/>
          <w:szCs w:val="22"/>
          <w:lang w:eastAsia="en-US"/>
        </w:rPr>
        <w:t xml:space="preserve">Ak príslušné orgány </w:t>
      </w:r>
      <w:r>
        <w:rPr>
          <w:rFonts w:eastAsiaTheme="minorHAnsi"/>
          <w:b/>
          <w:i/>
          <w:szCs w:val="22"/>
          <w:lang w:eastAsia="en-US"/>
        </w:rPr>
        <w:lastRenderedPageBreak/>
        <w:t>nepri</w:t>
      </w:r>
      <w:r>
        <w:rPr>
          <w:rFonts w:eastAsiaTheme="minorHAnsi"/>
          <w:b/>
          <w:i/>
          <w:szCs w:val="22"/>
          <w:lang w:eastAsia="en-US"/>
        </w:rPr>
        <w:t>jmú rozhodnutie do ... [24 mesiacov od dátumu nadobudnutia účinnosti tejto smernice], tieto právnické osoby môžu naďalej poskytovať a vykonávať služby elektronických peňazí a platobné služby, na ktoré im bolo udelené povolenie</w:t>
      </w:r>
      <w:r>
        <w:rPr>
          <w:rFonts w:eastAsiaTheme="minorHAnsi"/>
          <w:szCs w:val="22"/>
          <w:lang w:eastAsia="en-US"/>
        </w:rPr>
        <w:t>.</w:t>
      </w:r>
    </w:p>
    <w:p w:rsidR="00F7624D" w:rsidRDefault="00F7624D">
      <w:pPr>
        <w:widowControl/>
        <w:spacing w:before="120" w:after="120"/>
        <w:ind w:left="850"/>
        <w:jc w:val="both"/>
        <w:rPr>
          <w:rFonts w:eastAsiaTheme="minorHAnsi"/>
          <w:szCs w:val="22"/>
          <w:lang w:eastAsia="en-US"/>
        </w:rPr>
      </w:pPr>
    </w:p>
    <w:p w:rsidR="00F7624D" w:rsidRDefault="003C5F24">
      <w:pPr>
        <w:keepNext/>
        <w:widowControl/>
        <w:spacing w:before="360" w:after="120"/>
        <w:jc w:val="center"/>
        <w:rPr>
          <w:rFonts w:eastAsiaTheme="minorHAnsi"/>
          <w:b/>
          <w:i/>
          <w:szCs w:val="22"/>
          <w:lang w:eastAsia="en-US"/>
        </w:rPr>
      </w:pPr>
      <w:r>
        <w:rPr>
          <w:rFonts w:eastAsiaTheme="minorHAnsi"/>
          <w:b/>
          <w:i/>
          <w:szCs w:val="22"/>
          <w:lang w:eastAsia="en-US"/>
        </w:rPr>
        <w:t>Článok 45a</w:t>
      </w:r>
    </w:p>
    <w:p w:rsidR="00F7624D" w:rsidRDefault="003C5F24">
      <w:pPr>
        <w:keepNext/>
        <w:widowControl/>
        <w:spacing w:before="120" w:after="120"/>
        <w:jc w:val="center"/>
        <w:rPr>
          <w:rFonts w:eastAsiaTheme="minorHAnsi"/>
          <w:b/>
          <w:i/>
          <w:szCs w:val="22"/>
          <w:lang w:eastAsia="en-US"/>
        </w:rPr>
      </w:pPr>
      <w:r>
        <w:rPr>
          <w:rFonts w:eastAsiaTheme="minorHAnsi"/>
          <w:b/>
          <w:i/>
          <w:szCs w:val="22"/>
          <w:lang w:eastAsia="en-US"/>
        </w:rPr>
        <w:t>Predĺžená lehota</w:t>
      </w:r>
    </w:p>
    <w:p w:rsidR="00F7624D" w:rsidRDefault="003C5F24">
      <w:pPr>
        <w:ind w:left="851"/>
        <w:jc w:val="both"/>
      </w:pPr>
      <w:r>
        <w:rPr>
          <w:b/>
          <w:i/>
        </w:rPr>
        <w:t>Príslušné orgány môžu výnimočne rozhodnúť o predĺžení lehoty predtým ako sa konkrétnym platobným inštitúciám a inštitúciám elektronického peňažníctva zakáže poskytovať služby, ak tieto inštitúcie poskytli informácie požadované v článkoch 44 a 45 a prísluš</w:t>
      </w:r>
      <w:r>
        <w:rPr>
          <w:b/>
          <w:i/>
        </w:rPr>
        <w:t>ný orgán ich nebol schopný spracovať v platnej lehote.</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46</w:t>
      </w:r>
    </w:p>
    <w:p w:rsidR="00F7624D" w:rsidRDefault="003C5F24">
      <w:pPr>
        <w:keepNext/>
        <w:widowControl/>
        <w:spacing w:before="360" w:after="120"/>
        <w:jc w:val="center"/>
        <w:rPr>
          <w:rFonts w:eastAsiaTheme="minorHAnsi"/>
          <w:b/>
          <w:noProof/>
          <w:szCs w:val="22"/>
          <w:lang w:eastAsia="en-US"/>
        </w:rPr>
      </w:pPr>
      <w:r>
        <w:rPr>
          <w:rFonts w:eastAsiaTheme="minorHAnsi"/>
          <w:szCs w:val="22"/>
          <w:lang w:eastAsia="en-US"/>
        </w:rPr>
        <w:t>▌</w:t>
      </w:r>
    </w:p>
    <w:p w:rsidR="00F7624D" w:rsidRDefault="003C5F24">
      <w:pPr>
        <w:keepNext/>
        <w:widowControl/>
        <w:spacing w:before="360" w:after="120"/>
        <w:jc w:val="center"/>
        <w:rPr>
          <w:rFonts w:eastAsiaTheme="minorHAnsi"/>
          <w:i/>
          <w:iCs/>
          <w:noProof/>
          <w:szCs w:val="22"/>
          <w:lang w:eastAsia="en-US"/>
        </w:rPr>
      </w:pPr>
      <w:r>
        <w:rPr>
          <w:rFonts w:eastAsiaTheme="minorHAnsi"/>
          <w:i/>
          <w:szCs w:val="22"/>
          <w:lang w:eastAsia="en-US"/>
        </w:rPr>
        <w:t>Článok 47</w:t>
      </w:r>
      <w:r>
        <w:rPr>
          <w:rFonts w:eastAsiaTheme="minorHAnsi"/>
          <w:i/>
          <w:szCs w:val="22"/>
          <w:lang w:eastAsia="en-US"/>
        </w:rPr>
        <w:br/>
      </w:r>
      <w:r>
        <w:rPr>
          <w:rFonts w:eastAsiaTheme="minorHAnsi"/>
          <w:b/>
          <w:i/>
          <w:szCs w:val="22"/>
          <w:lang w:eastAsia="en-US"/>
        </w:rPr>
        <w:t>Zmena smernice (EÚ) 2020/1828</w:t>
      </w:r>
    </w:p>
    <w:p w:rsidR="00F7624D" w:rsidRDefault="003C5F24">
      <w:pPr>
        <w:rPr>
          <w:noProof/>
        </w:rPr>
      </w:pPr>
      <w:r>
        <w:t xml:space="preserve">V prílohe I k smernici (EÚ) 2020/1828 sa dopĺňa tento bod: </w:t>
      </w:r>
    </w:p>
    <w:p w:rsidR="00F7624D" w:rsidRDefault="003C5F24">
      <w:pPr>
        <w:jc w:val="both"/>
        <w:rPr>
          <w:noProof/>
        </w:rPr>
      </w:pPr>
      <w:r>
        <w:t>„68. Nariadenie Európskeho parlamentu a Rady (EÚ) 20../…. o rámci pre prístup k finančným</w:t>
      </w:r>
      <w:r>
        <w:t xml:space="preserve"> údajom a o zmene nariadenia (EÚ) č. 1093/2010, (EÚ) č. 1094/2010, (EÚ) č. 1095/2010 a (EÚ) 2022/2554 (Ú. v. EÚ L […], [……….], [s. ..]).“</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48</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Zrušenie</w:t>
      </w:r>
    </w:p>
    <w:p w:rsidR="00F7624D" w:rsidRDefault="003C5F24">
      <w:pPr>
        <w:widowControl/>
        <w:autoSpaceDE w:val="0"/>
        <w:autoSpaceDN w:val="0"/>
        <w:adjustRightInd w:val="0"/>
        <w:jc w:val="both"/>
        <w:rPr>
          <w:color w:val="000000"/>
          <w:sz w:val="23"/>
          <w:szCs w:val="23"/>
        </w:rPr>
      </w:pPr>
      <w:r>
        <w:rPr>
          <w:color w:val="000000"/>
          <w:sz w:val="23"/>
          <w:szCs w:val="24"/>
        </w:rPr>
        <w:t>Smernica (EÚ) 2015/2366 sa zrušuje s účinnosťou od [OP: doplňte dátum = 18 mesiacov od dátumu nadob</w:t>
      </w:r>
      <w:r>
        <w:rPr>
          <w:color w:val="000000"/>
          <w:sz w:val="23"/>
          <w:szCs w:val="24"/>
        </w:rPr>
        <w:t xml:space="preserve">udnutia účinnosti tejto smernice]. </w:t>
      </w:r>
    </w:p>
    <w:p w:rsidR="00F7624D" w:rsidRDefault="003C5F24">
      <w:pPr>
        <w:widowControl/>
        <w:autoSpaceDE w:val="0"/>
        <w:autoSpaceDN w:val="0"/>
        <w:adjustRightInd w:val="0"/>
        <w:jc w:val="both"/>
        <w:rPr>
          <w:color w:val="000000"/>
          <w:sz w:val="23"/>
          <w:szCs w:val="23"/>
        </w:rPr>
      </w:pPr>
      <w:r>
        <w:rPr>
          <w:color w:val="000000"/>
          <w:sz w:val="23"/>
          <w:szCs w:val="24"/>
        </w:rPr>
        <w:t xml:space="preserve">Smernica 2009/110/ES sa zrušuje s účinnosťou od [OP: doplňte dátum = 18 mesiacov od dátumu nadobudnutia účinnosti tejto smernice]. </w:t>
      </w:r>
    </w:p>
    <w:p w:rsidR="00F7624D" w:rsidRDefault="003C5F24">
      <w:pPr>
        <w:jc w:val="both"/>
        <w:rPr>
          <w:noProof/>
        </w:rPr>
      </w:pPr>
      <w:r>
        <w:rPr>
          <w:sz w:val="23"/>
        </w:rPr>
        <w:t>Všetky odkazy na smernicu (EÚ) 2015/2366 a smernicu 2009/110/ES v právnych aktoch, ktoré</w:t>
      </w:r>
      <w:r>
        <w:rPr>
          <w:sz w:val="23"/>
        </w:rPr>
        <w:t xml:space="preserve"> sú v platnosti v čase nadobudnutia účinnosti tejto smernice, sa považujú za odkazy na túto smernicu alebo nariadenie XXX [nariadenie o platobných službách] a vykladajú sa v súlade s tabuľkou zhody uvedenou v prílohe III k tejto smernici.</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49</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Transpo</w:t>
      </w:r>
      <w:r>
        <w:rPr>
          <w:rFonts w:eastAsiaTheme="minorHAnsi"/>
          <w:b/>
          <w:i/>
          <w:szCs w:val="22"/>
          <w:lang w:eastAsia="en-US"/>
        </w:rPr>
        <w:t>zícia</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1.</w:t>
      </w:r>
      <w:r>
        <w:rPr>
          <w:rFonts w:eastAsiaTheme="minorHAnsi"/>
          <w:b/>
          <w:i/>
          <w:szCs w:val="22"/>
          <w:lang w:eastAsia="en-US"/>
        </w:rPr>
        <w:tab/>
      </w:r>
      <w:r>
        <w:rPr>
          <w:rFonts w:eastAsiaTheme="minorHAnsi"/>
          <w:szCs w:val="22"/>
          <w:lang w:eastAsia="en-US"/>
        </w:rPr>
        <w:t>Členské štáty najneskôr do [OP: doplňte dátum = 18 mesiacov od dátumu nadobudnutia účinnosti tejto smernice] ▌prijmú a uverejnia zákony, iné právne predpisy a správne opatrenia potrebné na dosiahnutie súladu s touto smernicou.</w:t>
      </w:r>
      <w:r>
        <w:rPr>
          <w:rFonts w:eastAsiaTheme="minorHAnsi"/>
          <w:sz w:val="23"/>
          <w:szCs w:val="22"/>
          <w:lang w:eastAsia="en-US"/>
        </w:rPr>
        <w:t xml:space="preserve"> Komisii bezodkladne </w:t>
      </w:r>
      <w:r>
        <w:rPr>
          <w:rFonts w:eastAsiaTheme="minorHAnsi"/>
          <w:sz w:val="23"/>
          <w:szCs w:val="22"/>
          <w:lang w:eastAsia="en-US"/>
        </w:rPr>
        <w:t>oznámia znenie týchto ustanovení.</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2.</w:t>
      </w:r>
      <w:r>
        <w:rPr>
          <w:rFonts w:eastAsiaTheme="minorHAnsi"/>
          <w:b/>
          <w:i/>
          <w:szCs w:val="22"/>
          <w:lang w:eastAsia="en-US"/>
        </w:rPr>
        <w:tab/>
      </w:r>
      <w:r>
        <w:rPr>
          <w:rFonts w:eastAsiaTheme="minorHAnsi"/>
          <w:szCs w:val="22"/>
          <w:lang w:eastAsia="en-US"/>
        </w:rPr>
        <w:t>Tieto opatrenia sa uplatňujú od [OP: doplňte dátum = 18 mesiacov od dátumu nadobudnutia účinnosti tejto smernice] ▌.</w:t>
      </w:r>
    </w:p>
    <w:p w:rsidR="00F7624D" w:rsidRDefault="003C5F24">
      <w:pPr>
        <w:tabs>
          <w:tab w:val="left" w:pos="567"/>
        </w:tabs>
        <w:ind w:left="850"/>
        <w:jc w:val="both"/>
        <w:rPr>
          <w:noProof/>
        </w:rPr>
      </w:pPr>
      <w:r>
        <w:rPr>
          <w:sz w:val="23"/>
        </w:rPr>
        <w:t xml:space="preserve">Členské štáty uvedú priamo v prijatých opatreniach alebo pri ich úradnom uverejnení </w:t>
      </w:r>
      <w:r>
        <w:rPr>
          <w:sz w:val="23"/>
        </w:rPr>
        <w:lastRenderedPageBreak/>
        <w:t>odkaz na túto smer</w:t>
      </w:r>
      <w:r>
        <w:rPr>
          <w:sz w:val="23"/>
        </w:rPr>
        <w:t>nicu. Podrobnosti o odkaze upravia členské štáty.</w:t>
      </w:r>
    </w:p>
    <w:p w:rsidR="00F7624D" w:rsidRDefault="003C5F24">
      <w:pPr>
        <w:widowControl/>
        <w:spacing w:before="120" w:after="120"/>
        <w:ind w:left="850" w:hanging="850"/>
        <w:jc w:val="both"/>
        <w:rPr>
          <w:rFonts w:eastAsiaTheme="minorHAnsi"/>
          <w:noProof/>
          <w:szCs w:val="22"/>
          <w:lang w:eastAsia="en-US"/>
        </w:rPr>
      </w:pPr>
      <w:r>
        <w:rPr>
          <w:rFonts w:eastAsiaTheme="minorHAnsi"/>
          <w:szCs w:val="22"/>
          <w:lang w:eastAsia="en-US"/>
        </w:rPr>
        <w:t>3.</w:t>
      </w:r>
      <w:r>
        <w:rPr>
          <w:rFonts w:eastAsiaTheme="minorHAnsi"/>
          <w:b/>
          <w:i/>
          <w:szCs w:val="22"/>
          <w:lang w:eastAsia="en-US"/>
        </w:rPr>
        <w:tab/>
      </w:r>
      <w:r>
        <w:rPr>
          <w:rFonts w:eastAsiaTheme="minorHAnsi"/>
          <w:sz w:val="23"/>
          <w:szCs w:val="22"/>
          <w:lang w:eastAsia="en-US"/>
        </w:rPr>
        <w:t>Členské štáty oznámia Komisii znenie hlavných opatrení vnútroštátneho práva, ktoré prijmú v oblasti pôsobnosti tejto smernice.</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50</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Nadobudnutie účinnosti</w:t>
      </w:r>
    </w:p>
    <w:p w:rsidR="00F7624D" w:rsidRDefault="003C5F24">
      <w:pPr>
        <w:widowControl/>
        <w:spacing w:before="480" w:after="120"/>
        <w:jc w:val="both"/>
        <w:rPr>
          <w:rFonts w:eastAsiaTheme="minorHAnsi"/>
          <w:noProof/>
          <w:szCs w:val="22"/>
          <w:lang w:eastAsia="en-US"/>
        </w:rPr>
      </w:pPr>
      <w:r>
        <w:rPr>
          <w:rFonts w:eastAsiaTheme="minorHAnsi"/>
          <w:szCs w:val="22"/>
          <w:lang w:eastAsia="en-US"/>
        </w:rPr>
        <w:t xml:space="preserve">Táto smernica nadobúda účinnosť dvadsiatym dňom po jej uverejnení v </w:t>
      </w:r>
      <w:r>
        <w:rPr>
          <w:rFonts w:eastAsiaTheme="minorHAnsi"/>
          <w:i/>
          <w:iCs/>
          <w:szCs w:val="22"/>
          <w:lang w:eastAsia="en-US"/>
        </w:rPr>
        <w:t>Úradnom vestníku Európskej únie</w:t>
      </w:r>
      <w:r>
        <w:rPr>
          <w:rFonts w:eastAsiaTheme="minorHAnsi"/>
          <w:szCs w:val="22"/>
          <w:lang w:eastAsia="en-US"/>
        </w:rPr>
        <w:t>.</w:t>
      </w:r>
    </w:p>
    <w:p w:rsidR="00F7624D" w:rsidRDefault="003C5F24">
      <w:pPr>
        <w:keepNext/>
        <w:widowControl/>
        <w:spacing w:before="360" w:after="120"/>
        <w:jc w:val="center"/>
        <w:rPr>
          <w:rFonts w:eastAsiaTheme="minorHAnsi"/>
          <w:i/>
          <w:noProof/>
          <w:szCs w:val="22"/>
          <w:lang w:eastAsia="en-US"/>
        </w:rPr>
      </w:pPr>
      <w:r>
        <w:rPr>
          <w:rFonts w:eastAsiaTheme="minorHAnsi"/>
          <w:i/>
          <w:szCs w:val="22"/>
          <w:lang w:eastAsia="en-US"/>
        </w:rPr>
        <w:t>Článok 51</w:t>
      </w:r>
    </w:p>
    <w:p w:rsidR="00F7624D" w:rsidRDefault="003C5F24">
      <w:pPr>
        <w:keepNext/>
        <w:widowControl/>
        <w:spacing w:before="360" w:after="120"/>
        <w:jc w:val="center"/>
        <w:rPr>
          <w:rFonts w:eastAsiaTheme="minorHAnsi"/>
          <w:b/>
          <w:i/>
          <w:noProof/>
          <w:szCs w:val="22"/>
          <w:lang w:eastAsia="en-US"/>
        </w:rPr>
      </w:pPr>
      <w:r>
        <w:rPr>
          <w:rFonts w:eastAsiaTheme="minorHAnsi"/>
          <w:b/>
          <w:i/>
          <w:szCs w:val="22"/>
          <w:lang w:eastAsia="en-US"/>
        </w:rPr>
        <w:t>Adresáti</w:t>
      </w:r>
    </w:p>
    <w:p w:rsidR="00F7624D" w:rsidRDefault="003C5F24">
      <w:pPr>
        <w:rPr>
          <w:noProof/>
        </w:rPr>
      </w:pPr>
      <w:r>
        <w:t xml:space="preserve">Táto smernica je určená členským štátom. </w:t>
      </w:r>
    </w:p>
    <w:p w:rsidR="00F7624D" w:rsidRDefault="003C5F24">
      <w:pPr>
        <w:keepNext/>
        <w:widowControl/>
        <w:spacing w:before="120"/>
        <w:jc w:val="both"/>
        <w:rPr>
          <w:rFonts w:eastAsiaTheme="minorHAnsi"/>
          <w:noProof/>
          <w:szCs w:val="22"/>
          <w:lang w:eastAsia="en-US"/>
        </w:rPr>
      </w:pPr>
      <w:r>
        <w:rPr>
          <w:rFonts w:eastAsiaTheme="minorHAnsi"/>
          <w:szCs w:val="22"/>
          <w:lang w:eastAsia="en-US"/>
        </w:rPr>
        <w:t>V ...</w:t>
      </w:r>
    </w:p>
    <w:p w:rsidR="00F7624D" w:rsidRDefault="003C5F24">
      <w:pPr>
        <w:keepNext/>
        <w:widowControl/>
        <w:tabs>
          <w:tab w:val="left" w:pos="4252"/>
        </w:tabs>
        <w:spacing w:before="720"/>
        <w:jc w:val="both"/>
        <w:rPr>
          <w:rFonts w:eastAsiaTheme="minorHAnsi"/>
          <w:i/>
          <w:noProof/>
          <w:szCs w:val="22"/>
          <w:lang w:eastAsia="en-US"/>
        </w:rPr>
      </w:pPr>
      <w:r>
        <w:rPr>
          <w:rFonts w:eastAsiaTheme="minorHAnsi"/>
          <w:i/>
          <w:szCs w:val="22"/>
          <w:lang w:eastAsia="en-US"/>
        </w:rPr>
        <w:t>Za Európsky parlament</w:t>
      </w:r>
      <w:r>
        <w:rPr>
          <w:rFonts w:eastAsiaTheme="minorHAnsi"/>
          <w:i/>
          <w:szCs w:val="22"/>
          <w:lang w:eastAsia="en-US"/>
        </w:rPr>
        <w:tab/>
        <w:t>Za Radu</w:t>
      </w:r>
    </w:p>
    <w:p w:rsidR="00F7624D" w:rsidRDefault="003C5F24">
      <w:pPr>
        <w:widowControl/>
        <w:tabs>
          <w:tab w:val="left" w:pos="4252"/>
        </w:tabs>
        <w:rPr>
          <w:rFonts w:eastAsiaTheme="minorHAnsi"/>
          <w:i/>
          <w:noProof/>
          <w:szCs w:val="22"/>
          <w:lang w:eastAsia="en-US"/>
        </w:rPr>
      </w:pPr>
      <w:r>
        <w:rPr>
          <w:rFonts w:eastAsiaTheme="minorHAnsi"/>
          <w:i/>
          <w:szCs w:val="22"/>
          <w:lang w:eastAsia="en-US"/>
        </w:rPr>
        <w:t>predsedníčka</w:t>
      </w:r>
      <w:r>
        <w:rPr>
          <w:rFonts w:eastAsiaTheme="minorHAnsi"/>
          <w:i/>
          <w:szCs w:val="22"/>
          <w:lang w:eastAsia="en-US"/>
        </w:rPr>
        <w:tab/>
        <w:t>predseda/predsedníčka</w:t>
      </w:r>
    </w:p>
    <w:p w:rsidR="00F7624D" w:rsidRDefault="00F7624D">
      <w:pPr>
        <w:rPr>
          <w:lang w:eastAsia="en-US"/>
        </w:rPr>
      </w:pPr>
    </w:p>
    <w:p w:rsidR="00F7624D" w:rsidRDefault="003C5F24">
      <w:pPr>
        <w:widowControl/>
      </w:pPr>
      <w:r>
        <w:br w:type="page"/>
      </w:r>
    </w:p>
    <w:p w:rsidR="00F7624D" w:rsidRDefault="003C5F24">
      <w:pPr>
        <w:pStyle w:val="Annexetitre"/>
        <w:rPr>
          <w:noProof/>
        </w:rPr>
      </w:pPr>
      <w:r>
        <w:lastRenderedPageBreak/>
        <w:t>PRÍLOHA I</w:t>
      </w:r>
    </w:p>
    <w:p w:rsidR="00F7624D" w:rsidRDefault="003C5F24">
      <w:pPr>
        <w:jc w:val="center"/>
        <w:rPr>
          <w:b/>
          <w:noProof/>
        </w:rPr>
      </w:pPr>
      <w:r>
        <w:rPr>
          <w:b/>
        </w:rPr>
        <w:t xml:space="preserve">PLATOBNÉ </w:t>
      </w:r>
      <w:r>
        <w:rPr>
          <w:b/>
        </w:rPr>
        <w:t>SLUŽBY</w:t>
      </w:r>
    </w:p>
    <w:p w:rsidR="00F7624D" w:rsidRDefault="003C5F24">
      <w:pPr>
        <w:jc w:val="center"/>
        <w:rPr>
          <w:b/>
          <w:noProof/>
        </w:rPr>
      </w:pPr>
      <w:r>
        <w:rPr>
          <w:b/>
        </w:rPr>
        <w:t>(podľa článku 2 bodu 3)</w:t>
      </w:r>
    </w:p>
    <w:p w:rsidR="00F7624D" w:rsidRDefault="003C5F24">
      <w:pPr>
        <w:pStyle w:val="NumPar1"/>
        <w:numPr>
          <w:ilvl w:val="0"/>
          <w:numId w:val="0"/>
        </w:numPr>
        <w:tabs>
          <w:tab w:val="left" w:pos="850"/>
        </w:tabs>
        <w:ind w:left="850" w:hanging="850"/>
        <w:rPr>
          <w:noProof/>
        </w:rPr>
      </w:pPr>
      <w:r>
        <w:t>1.</w:t>
      </w:r>
      <w:r>
        <w:tab/>
        <w:t>Služby umožňujúce vklad hotovosti na platobný účet a/alebo výber hotovosti z platobného účtu.</w:t>
      </w:r>
    </w:p>
    <w:p w:rsidR="00F7624D" w:rsidRDefault="003C5F24">
      <w:pPr>
        <w:pStyle w:val="NumPar1"/>
        <w:numPr>
          <w:ilvl w:val="0"/>
          <w:numId w:val="0"/>
        </w:numPr>
        <w:tabs>
          <w:tab w:val="left" w:pos="850"/>
        </w:tabs>
        <w:ind w:left="850" w:hanging="850"/>
        <w:rPr>
          <w:noProof/>
        </w:rPr>
      </w:pPr>
      <w:r>
        <w:t>2.</w:t>
      </w:r>
      <w:r>
        <w:tab/>
        <w:t>Vykonávanie platobných transakcií vrátane prevodov finančných prostriedkov z platobného účtu a na platobný účet vrátane prípa</w:t>
      </w:r>
      <w:r>
        <w:t>dov, keď sú finančné prostriedky kryté úverovým rámcom u poskytovateľa platobných služieb používateľa alebo u iného poskytovateľa platobných služieb.</w:t>
      </w:r>
    </w:p>
    <w:p w:rsidR="00F7624D" w:rsidRDefault="003C5F24">
      <w:pPr>
        <w:pStyle w:val="NumPar1"/>
        <w:numPr>
          <w:ilvl w:val="0"/>
          <w:numId w:val="0"/>
        </w:numPr>
        <w:tabs>
          <w:tab w:val="left" w:pos="850"/>
        </w:tabs>
        <w:ind w:left="850" w:hanging="850"/>
        <w:rPr>
          <w:noProof/>
        </w:rPr>
      </w:pPr>
      <w:r>
        <w:t>3.</w:t>
      </w:r>
      <w:r>
        <w:tab/>
        <w:t>Vydávanie platobných nástrojov.</w:t>
      </w:r>
    </w:p>
    <w:p w:rsidR="00F7624D" w:rsidRDefault="003C5F24">
      <w:pPr>
        <w:pStyle w:val="NumPar1"/>
        <w:numPr>
          <w:ilvl w:val="0"/>
          <w:numId w:val="0"/>
        </w:numPr>
        <w:tabs>
          <w:tab w:val="left" w:pos="850"/>
        </w:tabs>
        <w:ind w:left="850" w:hanging="850"/>
        <w:rPr>
          <w:noProof/>
        </w:rPr>
      </w:pPr>
      <w:r>
        <w:t>4.</w:t>
      </w:r>
      <w:r>
        <w:tab/>
        <w:t>Prijímanie platobných transakcií.</w:t>
      </w:r>
    </w:p>
    <w:p w:rsidR="00F7624D" w:rsidRDefault="003C5F24">
      <w:pPr>
        <w:pStyle w:val="NumPar1"/>
        <w:numPr>
          <w:ilvl w:val="0"/>
          <w:numId w:val="0"/>
        </w:numPr>
        <w:tabs>
          <w:tab w:val="left" w:pos="850"/>
        </w:tabs>
        <w:ind w:left="850" w:hanging="850"/>
        <w:rPr>
          <w:noProof/>
        </w:rPr>
      </w:pPr>
      <w:r>
        <w:t>5.</w:t>
      </w:r>
      <w:r>
        <w:tab/>
        <w:t>Poukazovanie peňazí.</w:t>
      </w:r>
    </w:p>
    <w:p w:rsidR="00F7624D" w:rsidRDefault="003C5F24">
      <w:pPr>
        <w:pStyle w:val="NumPar1"/>
        <w:numPr>
          <w:ilvl w:val="0"/>
          <w:numId w:val="0"/>
        </w:numPr>
        <w:tabs>
          <w:tab w:val="left" w:pos="850"/>
        </w:tabs>
        <w:ind w:left="850" w:hanging="850"/>
        <w:rPr>
          <w:noProof/>
        </w:rPr>
      </w:pPr>
      <w:r>
        <w:t>6.</w:t>
      </w:r>
      <w:r>
        <w:tab/>
        <w:t>Platobn</w:t>
      </w:r>
      <w:r>
        <w:t>é iniciačné služby.</w:t>
      </w:r>
    </w:p>
    <w:p w:rsidR="00F7624D" w:rsidRDefault="003C5F24">
      <w:pPr>
        <w:pStyle w:val="NumPar1"/>
        <w:numPr>
          <w:ilvl w:val="0"/>
          <w:numId w:val="0"/>
        </w:numPr>
        <w:tabs>
          <w:tab w:val="left" w:pos="850"/>
        </w:tabs>
        <w:ind w:left="850" w:hanging="850"/>
        <w:rPr>
          <w:noProof/>
        </w:rPr>
      </w:pPr>
      <w:r>
        <w:t>7.</w:t>
      </w:r>
      <w:r>
        <w:tab/>
        <w:t>Služby informovania o účte.</w:t>
      </w:r>
    </w:p>
    <w:p w:rsidR="00F7624D" w:rsidRDefault="003C5F24">
      <w:pPr>
        <w:spacing w:after="200" w:line="276" w:lineRule="auto"/>
        <w:rPr>
          <w:noProof/>
        </w:rPr>
      </w:pPr>
      <w:r>
        <w:br w:type="page"/>
      </w:r>
    </w:p>
    <w:p w:rsidR="00F7624D" w:rsidRDefault="00F7624D">
      <w:pPr>
        <w:rPr>
          <w:noProof/>
        </w:rPr>
      </w:pPr>
    </w:p>
    <w:p w:rsidR="00F7624D" w:rsidRDefault="003C5F24">
      <w:pPr>
        <w:pStyle w:val="Annexetitre"/>
        <w:rPr>
          <w:noProof/>
        </w:rPr>
      </w:pPr>
      <w:r>
        <w:t>PRÍLOHA II</w:t>
      </w:r>
    </w:p>
    <w:p w:rsidR="00F7624D" w:rsidRDefault="003C5F24">
      <w:pPr>
        <w:jc w:val="center"/>
        <w:rPr>
          <w:b/>
          <w:noProof/>
        </w:rPr>
      </w:pPr>
      <w:r>
        <w:rPr>
          <w:b/>
        </w:rPr>
        <w:t>SLUŽBY ELEKTRONICKÝCH PEŇAZÍ</w:t>
      </w:r>
    </w:p>
    <w:p w:rsidR="00F7624D" w:rsidRDefault="003C5F24">
      <w:pPr>
        <w:jc w:val="center"/>
        <w:rPr>
          <w:b/>
          <w:noProof/>
        </w:rPr>
      </w:pPr>
      <w:r>
        <w:rPr>
          <w:b/>
        </w:rPr>
        <w:t>(podľa článku 2 bodu 37)</w:t>
      </w:r>
    </w:p>
    <w:p w:rsidR="00F7624D" w:rsidRDefault="00F7624D">
      <w:pPr>
        <w:jc w:val="center"/>
        <w:rPr>
          <w:b/>
          <w:noProof/>
        </w:rPr>
      </w:pPr>
    </w:p>
    <w:p w:rsidR="00F7624D" w:rsidRDefault="003C5F24">
      <w:pPr>
        <w:rPr>
          <w:noProof/>
        </w:rPr>
      </w:pPr>
      <w:r>
        <w:t xml:space="preserve">Vydávanie elektronických peňazí, vedenie platobných účtov, na ktorých sa uchovávajú jednotky elektronických peňazí, a prevod jednotiek </w:t>
      </w:r>
      <w:r>
        <w:t>elektronických peňazí.</w:t>
      </w:r>
    </w:p>
    <w:p w:rsidR="00F7624D" w:rsidRDefault="00F7624D">
      <w:pPr>
        <w:rPr>
          <w:noProof/>
        </w:rPr>
      </w:pPr>
    </w:p>
    <w:p w:rsidR="00F7624D" w:rsidRDefault="003C5F24">
      <w:pPr>
        <w:spacing w:after="200" w:line="276" w:lineRule="auto"/>
        <w:rPr>
          <w:noProof/>
        </w:rPr>
      </w:pPr>
      <w:r>
        <w:br w:type="page"/>
      </w:r>
    </w:p>
    <w:p w:rsidR="00F7624D" w:rsidRDefault="003C5F24">
      <w:pPr>
        <w:pStyle w:val="Annexetitre"/>
        <w:rPr>
          <w:noProof/>
        </w:rPr>
      </w:pPr>
      <w:r>
        <w:lastRenderedPageBreak/>
        <w:t>PRÍLOHA III</w:t>
      </w:r>
    </w:p>
    <w:p w:rsidR="00F7624D" w:rsidRDefault="003C5F24">
      <w:pPr>
        <w:jc w:val="center"/>
        <w:rPr>
          <w:i/>
          <w:noProof/>
        </w:rPr>
      </w:pPr>
      <w:r>
        <w:rPr>
          <w:i/>
        </w:rPr>
        <w:t>TABUĽKA ZHODY</w:t>
      </w:r>
    </w:p>
    <w:tbl>
      <w:tblPr>
        <w:tblStyle w:val="TableGrid"/>
        <w:tblW w:w="9351" w:type="dxa"/>
        <w:tblLook w:val="04A0" w:firstRow="1" w:lastRow="0" w:firstColumn="1" w:lastColumn="0" w:noHBand="0" w:noVBand="1"/>
      </w:tblPr>
      <w:tblGrid>
        <w:gridCol w:w="2750"/>
        <w:gridCol w:w="2519"/>
        <w:gridCol w:w="1814"/>
        <w:gridCol w:w="2268"/>
      </w:tblGrid>
      <w:tr w:rsidR="00F7624D">
        <w:tc>
          <w:tcPr>
            <w:tcW w:w="2750" w:type="dxa"/>
          </w:tcPr>
          <w:p w:rsidR="00F7624D" w:rsidRDefault="003C5F24">
            <w:pPr>
              <w:spacing w:line="360" w:lineRule="auto"/>
              <w:jc w:val="center"/>
              <w:rPr>
                <w:b/>
                <w:bCs/>
                <w:noProof/>
              </w:rPr>
            </w:pPr>
            <w:r>
              <w:rPr>
                <w:b/>
              </w:rPr>
              <w:t xml:space="preserve">SMERNICA (EÚ) </w:t>
            </w:r>
            <w:hyperlink r:id="rId15" w:history="1">
              <w:r>
                <w:rPr>
                  <w:rStyle w:val="Hyperlink"/>
                  <w:b/>
                </w:rPr>
                <w:t>2015/2366</w:t>
              </w:r>
            </w:hyperlink>
          </w:p>
        </w:tc>
        <w:tc>
          <w:tcPr>
            <w:tcW w:w="2519" w:type="dxa"/>
          </w:tcPr>
          <w:p w:rsidR="00F7624D" w:rsidRDefault="003C5F24">
            <w:pPr>
              <w:spacing w:line="360" w:lineRule="auto"/>
              <w:jc w:val="center"/>
              <w:rPr>
                <w:b/>
                <w:bCs/>
                <w:noProof/>
              </w:rPr>
            </w:pPr>
            <w:r>
              <w:rPr>
                <w:b/>
              </w:rPr>
              <w:t xml:space="preserve">SMERNICA </w:t>
            </w:r>
            <w:bookmarkStart w:id="43" w:name="_Hlk132303946"/>
            <w:r>
              <w:rPr>
                <w:b/>
              </w:rPr>
              <w:fldChar w:fldCharType="begin"/>
            </w:r>
            <w:r>
              <w:rPr>
                <w:b/>
              </w:rPr>
              <w:instrText xml:space="preserve"> HYPERLINK "https://eur-lex.europa.eu/legal-content/SK/TXT/PDF/</w:instrText>
            </w:r>
            <w:r>
              <w:rPr>
                <w:b/>
              </w:rPr>
              <w:instrText xml:space="preserve">?uri=CELEX:02009L0110-20180113&amp;from=SK" </w:instrText>
            </w:r>
            <w:r>
              <w:rPr>
                <w:b/>
              </w:rPr>
              <w:fldChar w:fldCharType="separate"/>
            </w:r>
            <w:r>
              <w:rPr>
                <w:rStyle w:val="Hyperlink"/>
                <w:b/>
              </w:rPr>
              <w:t>2009/110/ES</w:t>
            </w:r>
            <w:bookmarkEnd w:id="43"/>
            <w:r>
              <w:rPr>
                <w:b/>
              </w:rPr>
              <w:fldChar w:fldCharType="end"/>
            </w:r>
          </w:p>
        </w:tc>
        <w:tc>
          <w:tcPr>
            <w:tcW w:w="1814" w:type="dxa"/>
          </w:tcPr>
          <w:p w:rsidR="00F7624D" w:rsidRDefault="003C5F24">
            <w:pPr>
              <w:spacing w:line="360" w:lineRule="auto"/>
              <w:jc w:val="center"/>
              <w:rPr>
                <w:b/>
                <w:bCs/>
                <w:noProof/>
              </w:rPr>
            </w:pPr>
            <w:r>
              <w:rPr>
                <w:b/>
              </w:rPr>
              <w:t>SMERNICA XXX (tretia smernica o platobných službách</w:t>
            </w:r>
          </w:p>
        </w:tc>
        <w:tc>
          <w:tcPr>
            <w:tcW w:w="2268" w:type="dxa"/>
          </w:tcPr>
          <w:p w:rsidR="00F7624D" w:rsidRDefault="003C5F24">
            <w:pPr>
              <w:spacing w:line="360" w:lineRule="auto"/>
              <w:jc w:val="center"/>
              <w:rPr>
                <w:b/>
                <w:bCs/>
                <w:noProof/>
              </w:rPr>
            </w:pPr>
            <w:r>
              <w:rPr>
                <w:b/>
              </w:rPr>
              <w:t>NARIADENIE XXX (nariadenie o platobných službách)</w:t>
            </w:r>
          </w:p>
        </w:tc>
      </w:tr>
      <w:tr w:rsidR="00F7624D">
        <w:tc>
          <w:tcPr>
            <w:tcW w:w="2750" w:type="dxa"/>
          </w:tcPr>
          <w:p w:rsidR="00F7624D" w:rsidRDefault="003C5F24">
            <w:pPr>
              <w:spacing w:line="360" w:lineRule="auto"/>
              <w:rPr>
                <w:noProof/>
              </w:rPr>
            </w:pPr>
            <w:r>
              <w:t>článok 1 ods. 1</w:t>
            </w:r>
          </w:p>
        </w:tc>
        <w:tc>
          <w:tcPr>
            <w:tcW w:w="2519" w:type="dxa"/>
          </w:tcPr>
          <w:p w:rsidR="00F7624D" w:rsidRDefault="003C5F24">
            <w:pPr>
              <w:spacing w:line="360" w:lineRule="auto"/>
              <w:rPr>
                <w:noProof/>
              </w:rPr>
            </w:pPr>
            <w:r>
              <w:t>článok 1 ods. 1</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 ods. 1</w:t>
            </w:r>
          </w:p>
        </w:tc>
      </w:tr>
      <w:tr w:rsidR="00F7624D">
        <w:tc>
          <w:tcPr>
            <w:tcW w:w="2750" w:type="dxa"/>
          </w:tcPr>
          <w:p w:rsidR="00F7624D" w:rsidRDefault="003C5F24">
            <w:pPr>
              <w:spacing w:line="360" w:lineRule="auto"/>
              <w:rPr>
                <w:noProof/>
              </w:rPr>
            </w:pPr>
            <w:r>
              <w:t>písmeno a)</w:t>
            </w:r>
          </w:p>
        </w:tc>
        <w:tc>
          <w:tcPr>
            <w:tcW w:w="2519" w:type="dxa"/>
          </w:tcPr>
          <w:p w:rsidR="00F7624D" w:rsidRDefault="003C5F24">
            <w:pPr>
              <w:spacing w:line="360" w:lineRule="auto"/>
              <w:rPr>
                <w:noProof/>
              </w:rPr>
            </w:pPr>
            <w:r>
              <w:t>písmeno a)</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a)</w:t>
            </w:r>
          </w:p>
        </w:tc>
      </w:tr>
      <w:tr w:rsidR="00F7624D">
        <w:tc>
          <w:tcPr>
            <w:tcW w:w="2750" w:type="dxa"/>
          </w:tcPr>
          <w:p w:rsidR="00F7624D" w:rsidRDefault="003C5F24">
            <w:pPr>
              <w:spacing w:line="360" w:lineRule="auto"/>
              <w:rPr>
                <w:noProof/>
              </w:rPr>
            </w:pPr>
            <w:r>
              <w:t>písmeno b)</w:t>
            </w:r>
          </w:p>
        </w:tc>
        <w:tc>
          <w:tcPr>
            <w:tcW w:w="2519" w:type="dxa"/>
          </w:tcPr>
          <w:p w:rsidR="00F7624D" w:rsidRDefault="003C5F24">
            <w:pPr>
              <w:spacing w:line="360" w:lineRule="auto"/>
              <w:rPr>
                <w:noProof/>
              </w:rPr>
            </w:pPr>
            <w:r>
              <w:t>písmeno b)</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písmeno c)</w:t>
            </w:r>
          </w:p>
        </w:tc>
        <w:tc>
          <w:tcPr>
            <w:tcW w:w="2519" w:type="dxa"/>
          </w:tcPr>
          <w:p w:rsidR="00F7624D" w:rsidRDefault="003C5F24">
            <w:pPr>
              <w:spacing w:line="360" w:lineRule="auto"/>
              <w:rPr>
                <w:noProof/>
              </w:rPr>
            </w:pPr>
            <w:r>
              <w:t>písmeno c)</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b)</w:t>
            </w:r>
          </w:p>
        </w:tc>
      </w:tr>
      <w:tr w:rsidR="00F7624D">
        <w:tc>
          <w:tcPr>
            <w:tcW w:w="2750" w:type="dxa"/>
          </w:tcPr>
          <w:p w:rsidR="00F7624D" w:rsidRDefault="003C5F24">
            <w:pPr>
              <w:spacing w:line="360" w:lineRule="auto"/>
              <w:rPr>
                <w:noProof/>
              </w:rPr>
            </w:pPr>
            <w:r>
              <w:t>písmeno d)</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c)</w:t>
            </w:r>
          </w:p>
        </w:tc>
      </w:tr>
      <w:tr w:rsidR="00F7624D">
        <w:tc>
          <w:tcPr>
            <w:tcW w:w="2750" w:type="dxa"/>
          </w:tcPr>
          <w:p w:rsidR="00F7624D" w:rsidRDefault="003C5F24">
            <w:pPr>
              <w:spacing w:line="360" w:lineRule="auto"/>
              <w:rPr>
                <w:noProof/>
              </w:rPr>
            </w:pPr>
            <w:r>
              <w:t>písmeno e)</w:t>
            </w:r>
          </w:p>
        </w:tc>
        <w:tc>
          <w:tcPr>
            <w:tcW w:w="2519" w:type="dxa"/>
          </w:tcPr>
          <w:p w:rsidR="00F7624D" w:rsidRDefault="003C5F24">
            <w:pPr>
              <w:spacing w:line="360" w:lineRule="auto"/>
              <w:rPr>
                <w:noProof/>
              </w:rPr>
            </w:pPr>
            <w:r>
              <w:t>písmeno d)</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d)</w:t>
            </w:r>
          </w:p>
        </w:tc>
      </w:tr>
      <w:tr w:rsidR="00F7624D">
        <w:tc>
          <w:tcPr>
            <w:tcW w:w="2750" w:type="dxa"/>
          </w:tcPr>
          <w:p w:rsidR="00F7624D" w:rsidRDefault="003C5F24">
            <w:pPr>
              <w:spacing w:line="360" w:lineRule="auto"/>
              <w:rPr>
                <w:noProof/>
              </w:rPr>
            </w:pPr>
            <w:r>
              <w:t>písmeno f)</w:t>
            </w:r>
          </w:p>
        </w:tc>
        <w:tc>
          <w:tcPr>
            <w:tcW w:w="2519" w:type="dxa"/>
          </w:tcPr>
          <w:p w:rsidR="00F7624D" w:rsidRDefault="003C5F24">
            <w:pPr>
              <w:spacing w:line="360" w:lineRule="auto"/>
              <w:rPr>
                <w:noProof/>
              </w:rPr>
            </w:pPr>
            <w:r>
              <w:t>písmeno e)</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e)</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 ods. 2</w:t>
            </w:r>
          </w:p>
        </w:tc>
        <w:tc>
          <w:tcPr>
            <w:tcW w:w="1814" w:type="dxa"/>
          </w:tcPr>
          <w:p w:rsidR="00F7624D" w:rsidRDefault="003C5F24">
            <w:pPr>
              <w:spacing w:line="360" w:lineRule="auto"/>
              <w:rPr>
                <w:noProof/>
              </w:rPr>
            </w:pPr>
            <w:r>
              <w:t>článok 1 ods. 1</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 ods. 3</w:t>
            </w:r>
          </w:p>
        </w:tc>
        <w:tc>
          <w:tcPr>
            <w:tcW w:w="1814" w:type="dxa"/>
          </w:tcPr>
          <w:p w:rsidR="00F7624D" w:rsidRDefault="003C5F24">
            <w:pPr>
              <w:spacing w:line="360" w:lineRule="auto"/>
              <w:rPr>
                <w:noProof/>
              </w:rPr>
            </w:pPr>
            <w:r>
              <w:t>článok 1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 ods. 1</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 ods. 2</w:t>
            </w:r>
          </w:p>
        </w:tc>
      </w:tr>
      <w:tr w:rsidR="00F7624D">
        <w:tc>
          <w:tcPr>
            <w:tcW w:w="2750" w:type="dxa"/>
          </w:tcPr>
          <w:p w:rsidR="00F7624D" w:rsidRDefault="003C5F24">
            <w:pPr>
              <w:spacing w:line="360" w:lineRule="auto"/>
              <w:rPr>
                <w:noProof/>
              </w:rPr>
            </w:pPr>
            <w:r>
              <w:t>článok 2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 ods. 1</w:t>
            </w:r>
          </w:p>
        </w:tc>
      </w:tr>
      <w:tr w:rsidR="00F7624D">
        <w:tc>
          <w:tcPr>
            <w:tcW w:w="2750" w:type="dxa"/>
          </w:tcPr>
          <w:p w:rsidR="00F7624D" w:rsidRDefault="003C5F24">
            <w:pPr>
              <w:spacing w:line="360" w:lineRule="auto"/>
              <w:rPr>
                <w:noProof/>
              </w:rPr>
            </w:pPr>
            <w:r>
              <w:t>článok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 ods. 2</w:t>
            </w:r>
          </w:p>
        </w:tc>
      </w:tr>
      <w:tr w:rsidR="00F7624D">
        <w:tc>
          <w:tcPr>
            <w:tcW w:w="2750" w:type="dxa"/>
          </w:tcPr>
          <w:p w:rsidR="00F7624D" w:rsidRDefault="003C5F24">
            <w:pPr>
              <w:spacing w:line="360" w:lineRule="auto"/>
              <w:rPr>
                <w:noProof/>
              </w:rPr>
            </w:pPr>
            <w:r>
              <w:t>písmeno a)</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a)</w:t>
            </w: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b)</w:t>
            </w:r>
          </w:p>
        </w:tc>
      </w:tr>
      <w:tr w:rsidR="00F7624D">
        <w:tc>
          <w:tcPr>
            <w:tcW w:w="2750" w:type="dxa"/>
          </w:tcPr>
          <w:p w:rsidR="00F7624D" w:rsidRDefault="003C5F24">
            <w:pPr>
              <w:spacing w:line="360" w:lineRule="auto"/>
              <w:rPr>
                <w:noProof/>
              </w:rPr>
            </w:pPr>
            <w:r>
              <w:t>písmeno c)</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písmeno d)</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c)</w:t>
            </w:r>
          </w:p>
        </w:tc>
      </w:tr>
      <w:tr w:rsidR="00F7624D">
        <w:tc>
          <w:tcPr>
            <w:tcW w:w="2750" w:type="dxa"/>
          </w:tcPr>
          <w:p w:rsidR="00F7624D" w:rsidRDefault="003C5F24">
            <w:pPr>
              <w:spacing w:line="360" w:lineRule="auto"/>
              <w:rPr>
                <w:noProof/>
              </w:rPr>
            </w:pPr>
            <w:r>
              <w:t>písmeno e)</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d)</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e)</w:t>
            </w:r>
          </w:p>
        </w:tc>
      </w:tr>
      <w:tr w:rsidR="00F7624D">
        <w:tc>
          <w:tcPr>
            <w:tcW w:w="2750" w:type="dxa"/>
          </w:tcPr>
          <w:p w:rsidR="00F7624D" w:rsidRDefault="003C5F24">
            <w:pPr>
              <w:spacing w:line="360" w:lineRule="auto"/>
              <w:rPr>
                <w:noProof/>
              </w:rPr>
            </w:pPr>
            <w:r>
              <w:t>písmeno f)</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písmeno g)</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f)</w:t>
            </w:r>
          </w:p>
        </w:tc>
      </w:tr>
      <w:tr w:rsidR="00F7624D">
        <w:tc>
          <w:tcPr>
            <w:tcW w:w="2750" w:type="dxa"/>
          </w:tcPr>
          <w:p w:rsidR="00F7624D" w:rsidRDefault="003C5F24">
            <w:pPr>
              <w:spacing w:line="360" w:lineRule="auto"/>
              <w:rPr>
                <w:noProof/>
              </w:rPr>
            </w:pPr>
            <w:r>
              <w:t>písmeno h)</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g)</w:t>
            </w:r>
          </w:p>
        </w:tc>
      </w:tr>
      <w:tr w:rsidR="00F7624D">
        <w:tc>
          <w:tcPr>
            <w:tcW w:w="2750" w:type="dxa"/>
          </w:tcPr>
          <w:p w:rsidR="00F7624D" w:rsidRDefault="003C5F24">
            <w:pPr>
              <w:spacing w:line="360" w:lineRule="auto"/>
              <w:rPr>
                <w:noProof/>
              </w:rPr>
            </w:pPr>
            <w:r>
              <w:t>písmeno i)</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h)</w:t>
            </w:r>
          </w:p>
        </w:tc>
      </w:tr>
      <w:tr w:rsidR="00F7624D">
        <w:tc>
          <w:tcPr>
            <w:tcW w:w="2750" w:type="dxa"/>
          </w:tcPr>
          <w:p w:rsidR="00F7624D" w:rsidRDefault="003C5F24">
            <w:pPr>
              <w:spacing w:line="360" w:lineRule="auto"/>
              <w:rPr>
                <w:noProof/>
              </w:rPr>
            </w:pPr>
            <w:r>
              <w:t>písmeno j)</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i)</w:t>
            </w:r>
          </w:p>
        </w:tc>
      </w:tr>
      <w:tr w:rsidR="00F7624D">
        <w:tc>
          <w:tcPr>
            <w:tcW w:w="2750" w:type="dxa"/>
          </w:tcPr>
          <w:p w:rsidR="00F7624D" w:rsidRDefault="003C5F24">
            <w:pPr>
              <w:spacing w:line="360" w:lineRule="auto"/>
              <w:rPr>
                <w:noProof/>
              </w:rPr>
            </w:pPr>
            <w:r>
              <w:t>písmeno k)</w:t>
            </w:r>
          </w:p>
        </w:tc>
        <w:tc>
          <w:tcPr>
            <w:tcW w:w="2519" w:type="dxa"/>
          </w:tcPr>
          <w:p w:rsidR="00F7624D" w:rsidRDefault="003C5F24">
            <w:pPr>
              <w:spacing w:line="360" w:lineRule="auto"/>
              <w:rPr>
                <w:noProof/>
              </w:rPr>
            </w:pPr>
            <w:r>
              <w:t>článok 1 ods. 4</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j)</w:t>
            </w:r>
          </w:p>
        </w:tc>
      </w:tr>
      <w:tr w:rsidR="00F7624D">
        <w:tc>
          <w:tcPr>
            <w:tcW w:w="2750" w:type="dxa"/>
          </w:tcPr>
          <w:p w:rsidR="00F7624D" w:rsidRDefault="003C5F24">
            <w:pPr>
              <w:spacing w:line="360" w:lineRule="auto"/>
              <w:rPr>
                <w:noProof/>
              </w:rPr>
            </w:pPr>
            <w:r>
              <w:t>písmeno l)</w:t>
            </w:r>
          </w:p>
        </w:tc>
        <w:tc>
          <w:tcPr>
            <w:tcW w:w="2519" w:type="dxa"/>
          </w:tcPr>
          <w:p w:rsidR="00F7624D" w:rsidRDefault="003C5F24">
            <w:pPr>
              <w:spacing w:line="360" w:lineRule="auto"/>
              <w:rPr>
                <w:noProof/>
              </w:rPr>
            </w:pPr>
            <w:r>
              <w:t>článok 1 ods. 5</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k)</w:t>
            </w:r>
          </w:p>
        </w:tc>
      </w:tr>
      <w:tr w:rsidR="00F7624D">
        <w:tc>
          <w:tcPr>
            <w:tcW w:w="2750" w:type="dxa"/>
          </w:tcPr>
          <w:p w:rsidR="00F7624D" w:rsidRDefault="003C5F24">
            <w:pPr>
              <w:spacing w:line="360" w:lineRule="auto"/>
              <w:rPr>
                <w:noProof/>
              </w:rPr>
            </w:pPr>
            <w:r>
              <w:lastRenderedPageBreak/>
              <w:t>písmeno m)</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l)</w:t>
            </w:r>
          </w:p>
        </w:tc>
      </w:tr>
      <w:tr w:rsidR="00F7624D">
        <w:tc>
          <w:tcPr>
            <w:tcW w:w="2750" w:type="dxa"/>
          </w:tcPr>
          <w:p w:rsidR="00F7624D" w:rsidRDefault="003C5F24">
            <w:pPr>
              <w:spacing w:line="360" w:lineRule="auto"/>
              <w:rPr>
                <w:noProof/>
              </w:rPr>
            </w:pPr>
            <w:r>
              <w:t>písmeno n)</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m)</w:t>
            </w:r>
          </w:p>
        </w:tc>
      </w:tr>
      <w:tr w:rsidR="00F7624D">
        <w:tc>
          <w:tcPr>
            <w:tcW w:w="2750" w:type="dxa"/>
          </w:tcPr>
          <w:p w:rsidR="00F7624D" w:rsidRDefault="003C5F24">
            <w:pPr>
              <w:spacing w:line="360" w:lineRule="auto"/>
              <w:rPr>
                <w:noProof/>
              </w:rPr>
            </w:pPr>
            <w:r>
              <w:t>písmeno o)</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2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 ods. 3</w:t>
            </w:r>
          </w:p>
        </w:tc>
      </w:tr>
      <w:tr w:rsidR="00F7624D">
        <w:tc>
          <w:tcPr>
            <w:tcW w:w="2750" w:type="dxa"/>
          </w:tcPr>
          <w:p w:rsidR="00F7624D" w:rsidRDefault="003C5F24">
            <w:pPr>
              <w:spacing w:line="360" w:lineRule="auto"/>
              <w:rPr>
                <w:noProof/>
              </w:rPr>
            </w:pPr>
            <w:r>
              <w:t>článok 2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 ods. 4</w:t>
            </w:r>
          </w:p>
        </w:tc>
      </w:tr>
      <w:tr w:rsidR="00F7624D">
        <w:tc>
          <w:tcPr>
            <w:tcW w:w="2750" w:type="dxa"/>
          </w:tcPr>
          <w:p w:rsidR="00F7624D" w:rsidRDefault="003C5F24">
            <w:pPr>
              <w:spacing w:line="360" w:lineRule="auto"/>
              <w:rPr>
                <w:noProof/>
              </w:rPr>
            </w:pPr>
            <w:r>
              <w:t>článok 2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 ods. 5</w:t>
            </w:r>
          </w:p>
        </w:tc>
      </w:tr>
      <w:tr w:rsidR="00F7624D">
        <w:tc>
          <w:tcPr>
            <w:tcW w:w="2750" w:type="dxa"/>
          </w:tcPr>
          <w:p w:rsidR="00F7624D" w:rsidRDefault="003C5F24">
            <w:pPr>
              <w:spacing w:line="360" w:lineRule="auto"/>
              <w:rPr>
                <w:noProof/>
              </w:rPr>
            </w:pPr>
            <w:r>
              <w:t>článok 2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 ods. 6</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 ods. 7</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 ods. 8</w:t>
            </w:r>
          </w:p>
        </w:tc>
      </w:tr>
      <w:tr w:rsidR="00F7624D">
        <w:tc>
          <w:tcPr>
            <w:tcW w:w="2750" w:type="dxa"/>
          </w:tcPr>
          <w:p w:rsidR="00F7624D" w:rsidRDefault="003C5F24">
            <w:pPr>
              <w:spacing w:line="360" w:lineRule="auto"/>
              <w:rPr>
                <w:noProof/>
              </w:rPr>
            </w:pPr>
            <w:r>
              <w:t>článok 4:</w:t>
            </w:r>
          </w:p>
        </w:tc>
        <w:tc>
          <w:tcPr>
            <w:tcW w:w="2519" w:type="dxa"/>
          </w:tcPr>
          <w:p w:rsidR="00F7624D" w:rsidRDefault="003C5F24">
            <w:pPr>
              <w:spacing w:line="360" w:lineRule="auto"/>
              <w:rPr>
                <w:noProof/>
              </w:rPr>
            </w:pPr>
            <w:r>
              <w:t>článok 2:</w:t>
            </w:r>
          </w:p>
        </w:tc>
        <w:tc>
          <w:tcPr>
            <w:tcW w:w="1814" w:type="dxa"/>
          </w:tcPr>
          <w:p w:rsidR="00F7624D" w:rsidRDefault="003C5F24">
            <w:pPr>
              <w:spacing w:line="360" w:lineRule="auto"/>
              <w:rPr>
                <w:noProof/>
              </w:rPr>
            </w:pPr>
            <w:r>
              <w:t>článok 2:</w:t>
            </w:r>
          </w:p>
        </w:tc>
        <w:tc>
          <w:tcPr>
            <w:tcW w:w="2268" w:type="dxa"/>
          </w:tcPr>
          <w:p w:rsidR="00F7624D" w:rsidRDefault="003C5F24">
            <w:pPr>
              <w:spacing w:line="360" w:lineRule="auto"/>
              <w:rPr>
                <w:noProof/>
              </w:rPr>
            </w:pPr>
            <w:r>
              <w:t>článok 3:</w:t>
            </w:r>
          </w:p>
        </w:tc>
      </w:tr>
      <w:tr w:rsidR="00F7624D">
        <w:tc>
          <w:tcPr>
            <w:tcW w:w="2750" w:type="dxa"/>
          </w:tcPr>
          <w:p w:rsidR="00F7624D" w:rsidRDefault="003C5F24">
            <w:pPr>
              <w:spacing w:line="360" w:lineRule="auto"/>
              <w:rPr>
                <w:noProof/>
              </w:rPr>
            </w:pPr>
            <w:r>
              <w:t>body 1 až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body 1 až 3</w:t>
            </w:r>
          </w:p>
        </w:tc>
        <w:tc>
          <w:tcPr>
            <w:tcW w:w="2268" w:type="dxa"/>
          </w:tcPr>
          <w:p w:rsidR="00F7624D" w:rsidRDefault="003C5F24">
            <w:pPr>
              <w:spacing w:line="360" w:lineRule="auto"/>
              <w:rPr>
                <w:noProof/>
              </w:rPr>
            </w:pPr>
            <w:r>
              <w:t>body 1 až 3</w:t>
            </w:r>
          </w:p>
        </w:tc>
      </w:tr>
      <w:tr w:rsidR="00F7624D">
        <w:tc>
          <w:tcPr>
            <w:tcW w:w="2750" w:type="dxa"/>
          </w:tcPr>
          <w:p w:rsidR="00F7624D" w:rsidRDefault="003C5F24">
            <w:pPr>
              <w:spacing w:line="360" w:lineRule="auto"/>
              <w:rPr>
                <w:noProof/>
              </w:rPr>
            </w:pPr>
            <w:r>
              <w:t>bod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4</w:t>
            </w:r>
          </w:p>
        </w:tc>
        <w:tc>
          <w:tcPr>
            <w:tcW w:w="2268" w:type="dxa"/>
          </w:tcPr>
          <w:p w:rsidR="00F7624D" w:rsidRDefault="003C5F24">
            <w:pPr>
              <w:spacing w:line="360" w:lineRule="auto"/>
              <w:rPr>
                <w:noProof/>
              </w:rPr>
            </w:pPr>
            <w:r>
              <w:t>bod 4</w:t>
            </w:r>
          </w:p>
        </w:tc>
      </w:tr>
      <w:tr w:rsidR="00F7624D">
        <w:tc>
          <w:tcPr>
            <w:tcW w:w="2750" w:type="dxa"/>
          </w:tcPr>
          <w:p w:rsidR="00F7624D" w:rsidRDefault="003C5F24">
            <w:pPr>
              <w:spacing w:line="360" w:lineRule="auto"/>
              <w:rPr>
                <w:noProof/>
              </w:rPr>
            </w:pPr>
            <w:r>
              <w:t>bod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5</w:t>
            </w:r>
          </w:p>
        </w:tc>
        <w:tc>
          <w:tcPr>
            <w:tcW w:w="2268" w:type="dxa"/>
          </w:tcPr>
          <w:p w:rsidR="00F7624D" w:rsidRDefault="003C5F24">
            <w:pPr>
              <w:spacing w:line="360" w:lineRule="auto"/>
              <w:rPr>
                <w:noProof/>
              </w:rPr>
            </w:pPr>
            <w:r>
              <w:t>bod 5</w:t>
            </w:r>
          </w:p>
        </w:tc>
      </w:tr>
      <w:tr w:rsidR="00F7624D">
        <w:tc>
          <w:tcPr>
            <w:tcW w:w="2750" w:type="dxa"/>
          </w:tcPr>
          <w:p w:rsidR="00F7624D" w:rsidRDefault="003C5F24">
            <w:pPr>
              <w:spacing w:line="360" w:lineRule="auto"/>
              <w:rPr>
                <w:noProof/>
              </w:rPr>
            </w:pPr>
            <w:r>
              <w:t>bod 6</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body 6 a 7</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6</w:t>
            </w:r>
          </w:p>
        </w:tc>
        <w:tc>
          <w:tcPr>
            <w:tcW w:w="2268" w:type="dxa"/>
          </w:tcPr>
          <w:p w:rsidR="00F7624D" w:rsidRDefault="003C5F24">
            <w:pPr>
              <w:spacing w:line="360" w:lineRule="auto"/>
              <w:rPr>
                <w:noProof/>
              </w:rPr>
            </w:pPr>
            <w:r>
              <w:t>bod 8</w:t>
            </w:r>
          </w:p>
        </w:tc>
      </w:tr>
      <w:tr w:rsidR="00F7624D">
        <w:tc>
          <w:tcPr>
            <w:tcW w:w="2750" w:type="dxa"/>
          </w:tcPr>
          <w:p w:rsidR="00F7624D" w:rsidRDefault="003C5F24">
            <w:pPr>
              <w:spacing w:line="360" w:lineRule="auto"/>
              <w:rPr>
                <w:noProof/>
              </w:rPr>
            </w:pPr>
            <w:r>
              <w:t>bod 7</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7</w:t>
            </w:r>
          </w:p>
        </w:tc>
        <w:tc>
          <w:tcPr>
            <w:tcW w:w="2268" w:type="dxa"/>
          </w:tcPr>
          <w:p w:rsidR="00F7624D" w:rsidRDefault="003C5F24">
            <w:pPr>
              <w:spacing w:line="360" w:lineRule="auto"/>
              <w:rPr>
                <w:noProof/>
              </w:rPr>
            </w:pPr>
            <w:r>
              <w:t>bod 9</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8</w:t>
            </w:r>
          </w:p>
        </w:tc>
        <w:tc>
          <w:tcPr>
            <w:tcW w:w="2268" w:type="dxa"/>
          </w:tcPr>
          <w:p w:rsidR="00F7624D" w:rsidRDefault="003C5F24">
            <w:pPr>
              <w:spacing w:line="360" w:lineRule="auto"/>
              <w:rPr>
                <w:noProof/>
              </w:rPr>
            </w:pPr>
            <w:r>
              <w:t>bod 10</w:t>
            </w:r>
          </w:p>
        </w:tc>
      </w:tr>
      <w:tr w:rsidR="00F7624D">
        <w:tc>
          <w:tcPr>
            <w:tcW w:w="2750" w:type="dxa"/>
          </w:tcPr>
          <w:p w:rsidR="00F7624D" w:rsidRDefault="003C5F24">
            <w:pPr>
              <w:spacing w:line="360" w:lineRule="auto"/>
              <w:rPr>
                <w:noProof/>
              </w:rPr>
            </w:pPr>
            <w:r>
              <w:t>body 8 až 13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body 9 až 14</w:t>
            </w:r>
          </w:p>
        </w:tc>
        <w:tc>
          <w:tcPr>
            <w:tcW w:w="2268" w:type="dxa"/>
          </w:tcPr>
          <w:p w:rsidR="00F7624D" w:rsidRDefault="003C5F24">
            <w:pPr>
              <w:spacing w:line="360" w:lineRule="auto"/>
              <w:rPr>
                <w:noProof/>
              </w:rPr>
            </w:pPr>
            <w:r>
              <w:t>body 11 až 16</w:t>
            </w:r>
          </w:p>
        </w:tc>
      </w:tr>
      <w:tr w:rsidR="00F7624D">
        <w:tc>
          <w:tcPr>
            <w:tcW w:w="2750" w:type="dxa"/>
          </w:tcPr>
          <w:p w:rsidR="00F7624D" w:rsidRDefault="003C5F24">
            <w:pPr>
              <w:spacing w:line="360" w:lineRule="auto"/>
              <w:rPr>
                <w:noProof/>
              </w:rPr>
            </w:pPr>
            <w:r>
              <w:t>-</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bod 17</w:t>
            </w:r>
          </w:p>
        </w:tc>
      </w:tr>
      <w:tr w:rsidR="00F7624D">
        <w:tc>
          <w:tcPr>
            <w:tcW w:w="2750" w:type="dxa"/>
          </w:tcPr>
          <w:p w:rsidR="00F7624D" w:rsidRDefault="003C5F24">
            <w:pPr>
              <w:spacing w:line="360" w:lineRule="auto"/>
              <w:rPr>
                <w:noProof/>
              </w:rPr>
            </w:pPr>
            <w:r>
              <w:t>bod 14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15</w:t>
            </w:r>
          </w:p>
        </w:tc>
        <w:tc>
          <w:tcPr>
            <w:tcW w:w="2268" w:type="dxa"/>
          </w:tcPr>
          <w:p w:rsidR="00F7624D" w:rsidRDefault="003C5F24">
            <w:pPr>
              <w:spacing w:line="360" w:lineRule="auto"/>
              <w:rPr>
                <w:noProof/>
              </w:rPr>
            </w:pPr>
            <w:r>
              <w:t>bod 18</w:t>
            </w:r>
          </w:p>
        </w:tc>
      </w:tr>
      <w:tr w:rsidR="00F7624D">
        <w:tc>
          <w:tcPr>
            <w:tcW w:w="2750" w:type="dxa"/>
          </w:tcPr>
          <w:p w:rsidR="00F7624D" w:rsidRDefault="003C5F24">
            <w:pPr>
              <w:spacing w:line="360" w:lineRule="auto"/>
              <w:rPr>
                <w:noProof/>
              </w:rPr>
            </w:pPr>
            <w:r>
              <w:t>body 15 a 16</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body 17 a 18</w:t>
            </w:r>
          </w:p>
        </w:tc>
        <w:tc>
          <w:tcPr>
            <w:tcW w:w="2268" w:type="dxa"/>
          </w:tcPr>
          <w:p w:rsidR="00F7624D" w:rsidRDefault="003C5F24">
            <w:pPr>
              <w:spacing w:line="360" w:lineRule="auto"/>
              <w:rPr>
                <w:noProof/>
              </w:rPr>
            </w:pPr>
            <w:r>
              <w:t>body 20 a 21</w:t>
            </w:r>
          </w:p>
        </w:tc>
      </w:tr>
      <w:tr w:rsidR="00F7624D">
        <w:tc>
          <w:tcPr>
            <w:tcW w:w="2750" w:type="dxa"/>
          </w:tcPr>
          <w:p w:rsidR="00F7624D" w:rsidRDefault="003C5F24">
            <w:pPr>
              <w:spacing w:line="360" w:lineRule="auto"/>
              <w:rPr>
                <w:noProof/>
              </w:rPr>
            </w:pPr>
            <w:r>
              <w:t>bod 17</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16</w:t>
            </w:r>
          </w:p>
        </w:tc>
        <w:tc>
          <w:tcPr>
            <w:tcW w:w="2268" w:type="dxa"/>
          </w:tcPr>
          <w:p w:rsidR="00F7624D" w:rsidRDefault="003C5F24">
            <w:pPr>
              <w:spacing w:line="360" w:lineRule="auto"/>
              <w:rPr>
                <w:noProof/>
              </w:rPr>
            </w:pPr>
            <w:r>
              <w:t>bod 19</w:t>
            </w:r>
          </w:p>
        </w:tc>
      </w:tr>
      <w:tr w:rsidR="00F7624D">
        <w:tc>
          <w:tcPr>
            <w:tcW w:w="2750" w:type="dxa"/>
          </w:tcPr>
          <w:p w:rsidR="00F7624D" w:rsidRDefault="003C5F24">
            <w:pPr>
              <w:spacing w:line="360" w:lineRule="auto"/>
              <w:rPr>
                <w:noProof/>
              </w:rPr>
            </w:pPr>
            <w:r>
              <w:t>body 18 a 19</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body 19 a 20</w:t>
            </w:r>
          </w:p>
        </w:tc>
        <w:tc>
          <w:tcPr>
            <w:tcW w:w="2268" w:type="dxa"/>
          </w:tcPr>
          <w:p w:rsidR="00F7624D" w:rsidRDefault="003C5F24">
            <w:pPr>
              <w:spacing w:line="360" w:lineRule="auto"/>
              <w:rPr>
                <w:noProof/>
              </w:rPr>
            </w:pPr>
            <w:r>
              <w:t>body 22 a 23</w:t>
            </w:r>
          </w:p>
        </w:tc>
      </w:tr>
      <w:tr w:rsidR="00F7624D">
        <w:tc>
          <w:tcPr>
            <w:tcW w:w="2750" w:type="dxa"/>
          </w:tcPr>
          <w:p w:rsidR="00F7624D" w:rsidRDefault="003C5F24">
            <w:pPr>
              <w:spacing w:line="360" w:lineRule="auto"/>
              <w:rPr>
                <w:noProof/>
              </w:rPr>
            </w:pPr>
            <w:r>
              <w:t>bod 20</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21</w:t>
            </w:r>
          </w:p>
        </w:tc>
        <w:tc>
          <w:tcPr>
            <w:tcW w:w="2268" w:type="dxa"/>
          </w:tcPr>
          <w:p w:rsidR="00F7624D" w:rsidRDefault="003C5F24">
            <w:pPr>
              <w:spacing w:line="360" w:lineRule="auto"/>
              <w:rPr>
                <w:noProof/>
              </w:rPr>
            </w:pPr>
            <w:r>
              <w:t>bod 24</w:t>
            </w:r>
          </w:p>
        </w:tc>
      </w:tr>
      <w:tr w:rsidR="00F7624D">
        <w:tc>
          <w:tcPr>
            <w:tcW w:w="2750" w:type="dxa"/>
          </w:tcPr>
          <w:p w:rsidR="00F7624D" w:rsidRDefault="003C5F24">
            <w:pPr>
              <w:spacing w:line="360" w:lineRule="auto"/>
              <w:rPr>
                <w:noProof/>
              </w:rPr>
            </w:pPr>
            <w:r>
              <w:t>bod 21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bod 25</w:t>
            </w:r>
          </w:p>
        </w:tc>
      </w:tr>
      <w:tr w:rsidR="00F7624D">
        <w:tc>
          <w:tcPr>
            <w:tcW w:w="2750" w:type="dxa"/>
          </w:tcPr>
          <w:p w:rsidR="00F7624D" w:rsidRDefault="003C5F24">
            <w:pPr>
              <w:spacing w:line="360" w:lineRule="auto"/>
              <w:rPr>
                <w:noProof/>
              </w:rPr>
            </w:pPr>
            <w:r>
              <w:t>bod 22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22</w:t>
            </w:r>
          </w:p>
        </w:tc>
        <w:tc>
          <w:tcPr>
            <w:tcW w:w="2268" w:type="dxa"/>
          </w:tcPr>
          <w:p w:rsidR="00F7624D" w:rsidRDefault="003C5F24">
            <w:pPr>
              <w:spacing w:line="360" w:lineRule="auto"/>
              <w:rPr>
                <w:noProof/>
              </w:rPr>
            </w:pPr>
            <w:r>
              <w:t>bod 26</w:t>
            </w:r>
          </w:p>
        </w:tc>
      </w:tr>
      <w:tr w:rsidR="00F7624D">
        <w:tc>
          <w:tcPr>
            <w:tcW w:w="2750" w:type="dxa"/>
          </w:tcPr>
          <w:p w:rsidR="00F7624D" w:rsidRDefault="003C5F24">
            <w:pPr>
              <w:spacing w:line="360" w:lineRule="auto"/>
              <w:rPr>
                <w:noProof/>
              </w:rPr>
            </w:pPr>
            <w:r>
              <w:t>body 23 a 24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body 27 a 28</w:t>
            </w:r>
          </w:p>
        </w:tc>
      </w:tr>
      <w:tr w:rsidR="00F7624D">
        <w:tc>
          <w:tcPr>
            <w:tcW w:w="2750" w:type="dxa"/>
          </w:tcPr>
          <w:p w:rsidR="00F7624D" w:rsidRDefault="003C5F24">
            <w:pPr>
              <w:spacing w:line="360" w:lineRule="auto"/>
              <w:rPr>
                <w:noProof/>
              </w:rPr>
            </w:pPr>
            <w:r>
              <w:t>-</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bod 29</w:t>
            </w:r>
          </w:p>
        </w:tc>
      </w:tr>
      <w:tr w:rsidR="00F7624D">
        <w:tc>
          <w:tcPr>
            <w:tcW w:w="2750" w:type="dxa"/>
          </w:tcPr>
          <w:p w:rsidR="00F7624D" w:rsidRDefault="003C5F24">
            <w:pPr>
              <w:spacing w:line="360" w:lineRule="auto"/>
              <w:rPr>
                <w:noProof/>
              </w:rPr>
            </w:pPr>
            <w:r>
              <w:t>bod 25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23</w:t>
            </w:r>
          </w:p>
        </w:tc>
        <w:tc>
          <w:tcPr>
            <w:tcW w:w="2268" w:type="dxa"/>
          </w:tcPr>
          <w:p w:rsidR="00F7624D" w:rsidRDefault="003C5F24">
            <w:pPr>
              <w:spacing w:line="360" w:lineRule="auto"/>
              <w:rPr>
                <w:noProof/>
              </w:rPr>
            </w:pPr>
            <w:r>
              <w:t>bod 30</w:t>
            </w:r>
          </w:p>
        </w:tc>
      </w:tr>
      <w:tr w:rsidR="00F7624D">
        <w:tc>
          <w:tcPr>
            <w:tcW w:w="2750" w:type="dxa"/>
          </w:tcPr>
          <w:p w:rsidR="00F7624D" w:rsidRDefault="003C5F24">
            <w:pPr>
              <w:spacing w:line="360" w:lineRule="auto"/>
              <w:rPr>
                <w:noProof/>
              </w:rPr>
            </w:pPr>
            <w:r>
              <w:t>body 26 až 30</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body 31 až 35</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24</w:t>
            </w:r>
          </w:p>
        </w:tc>
        <w:tc>
          <w:tcPr>
            <w:tcW w:w="2268" w:type="dxa"/>
          </w:tcPr>
          <w:p w:rsidR="00F7624D" w:rsidRDefault="003C5F24">
            <w:pPr>
              <w:spacing w:line="360" w:lineRule="auto"/>
              <w:rPr>
                <w:noProof/>
              </w:rPr>
            </w:pPr>
            <w:r>
              <w:t>bod 36</w:t>
            </w:r>
          </w:p>
        </w:tc>
      </w:tr>
      <w:tr w:rsidR="00F7624D">
        <w:tc>
          <w:tcPr>
            <w:tcW w:w="2750" w:type="dxa"/>
          </w:tcPr>
          <w:p w:rsidR="00F7624D" w:rsidRDefault="003C5F24">
            <w:pPr>
              <w:spacing w:line="360" w:lineRule="auto"/>
              <w:rPr>
                <w:noProof/>
              </w:rPr>
            </w:pPr>
            <w:r>
              <w:t>bod 31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bod 37</w:t>
            </w:r>
          </w:p>
        </w:tc>
      </w:tr>
      <w:tr w:rsidR="00F7624D">
        <w:tc>
          <w:tcPr>
            <w:tcW w:w="2750" w:type="dxa"/>
          </w:tcPr>
          <w:p w:rsidR="00F7624D" w:rsidRDefault="003C5F24">
            <w:pPr>
              <w:spacing w:line="360" w:lineRule="auto"/>
              <w:rPr>
                <w:noProof/>
              </w:rPr>
            </w:pPr>
            <w:r>
              <w:t>bod 32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25</w:t>
            </w:r>
          </w:p>
        </w:tc>
        <w:tc>
          <w:tcPr>
            <w:tcW w:w="2268" w:type="dxa"/>
          </w:tcPr>
          <w:p w:rsidR="00F7624D" w:rsidRDefault="003C5F24">
            <w:pPr>
              <w:spacing w:line="360" w:lineRule="auto"/>
              <w:rPr>
                <w:noProof/>
              </w:rPr>
            </w:pPr>
            <w:r>
              <w:t>bod 38</w:t>
            </w:r>
          </w:p>
        </w:tc>
      </w:tr>
      <w:tr w:rsidR="00F7624D">
        <w:tc>
          <w:tcPr>
            <w:tcW w:w="2750" w:type="dxa"/>
          </w:tcPr>
          <w:p w:rsidR="00F7624D" w:rsidRDefault="003C5F24">
            <w:pPr>
              <w:spacing w:line="360" w:lineRule="auto"/>
              <w:rPr>
                <w:noProof/>
              </w:rPr>
            </w:pPr>
            <w:r>
              <w:t>body 33 až 36</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body</w:t>
            </w:r>
            <w:r>
              <w:t xml:space="preserve"> 39 až 42</w:t>
            </w:r>
          </w:p>
        </w:tc>
      </w:tr>
      <w:tr w:rsidR="00F7624D">
        <w:tc>
          <w:tcPr>
            <w:tcW w:w="2750" w:type="dxa"/>
          </w:tcPr>
          <w:p w:rsidR="00F7624D" w:rsidRDefault="003C5F24">
            <w:pPr>
              <w:spacing w:line="360" w:lineRule="auto"/>
              <w:rPr>
                <w:noProof/>
              </w:rPr>
            </w:pPr>
            <w:r>
              <w:t>bod 37</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26</w:t>
            </w:r>
          </w:p>
        </w:tc>
        <w:tc>
          <w:tcPr>
            <w:tcW w:w="2268" w:type="dxa"/>
          </w:tcPr>
          <w:p w:rsidR="00F7624D" w:rsidRDefault="003C5F24">
            <w:pPr>
              <w:spacing w:line="360" w:lineRule="auto"/>
              <w:rPr>
                <w:noProof/>
              </w:rPr>
            </w:pPr>
            <w:r>
              <w:t>bod 43</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27</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body 38 až 40</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body 28 až 30</w:t>
            </w:r>
          </w:p>
        </w:tc>
        <w:tc>
          <w:tcPr>
            <w:tcW w:w="2268" w:type="dxa"/>
          </w:tcPr>
          <w:p w:rsidR="00F7624D" w:rsidRDefault="003C5F24">
            <w:pPr>
              <w:spacing w:line="360" w:lineRule="auto"/>
              <w:rPr>
                <w:noProof/>
              </w:rPr>
            </w:pPr>
            <w:r>
              <w:t>body 44 až 46</w:t>
            </w:r>
          </w:p>
        </w:tc>
      </w:tr>
      <w:tr w:rsidR="00F7624D">
        <w:tc>
          <w:tcPr>
            <w:tcW w:w="2750" w:type="dxa"/>
          </w:tcPr>
          <w:p w:rsidR="00F7624D" w:rsidRDefault="003C5F24">
            <w:pPr>
              <w:spacing w:line="360" w:lineRule="auto"/>
              <w:rPr>
                <w:noProof/>
              </w:rPr>
            </w:pPr>
            <w:r>
              <w:t>body 41 a 42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bod 43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bod 47</w:t>
            </w:r>
          </w:p>
        </w:tc>
      </w:tr>
      <w:tr w:rsidR="00F7624D">
        <w:tc>
          <w:tcPr>
            <w:tcW w:w="2750" w:type="dxa"/>
          </w:tcPr>
          <w:p w:rsidR="00F7624D" w:rsidRDefault="003C5F24">
            <w:pPr>
              <w:spacing w:line="360" w:lineRule="auto"/>
              <w:rPr>
                <w:noProof/>
              </w:rPr>
            </w:pPr>
            <w:r>
              <w:t>body 44 a 45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body 31 a 32</w:t>
            </w:r>
          </w:p>
        </w:tc>
        <w:tc>
          <w:tcPr>
            <w:tcW w:w="2268" w:type="dxa"/>
          </w:tcPr>
          <w:p w:rsidR="00F7624D" w:rsidRDefault="003C5F24">
            <w:pPr>
              <w:spacing w:line="360" w:lineRule="auto"/>
              <w:rPr>
                <w:noProof/>
              </w:rPr>
            </w:pPr>
            <w:r>
              <w:t>body 48 a 49</w:t>
            </w:r>
          </w:p>
        </w:tc>
      </w:tr>
      <w:tr w:rsidR="00F7624D">
        <w:tc>
          <w:tcPr>
            <w:tcW w:w="2750" w:type="dxa"/>
          </w:tcPr>
          <w:p w:rsidR="00F7624D" w:rsidRDefault="003C5F24">
            <w:pPr>
              <w:spacing w:line="360" w:lineRule="auto"/>
              <w:rPr>
                <w:noProof/>
              </w:rPr>
            </w:pPr>
            <w:r>
              <w:t>bod 46</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 33</w:t>
            </w: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bod 47</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bod 48</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bod 1</w:t>
            </w:r>
          </w:p>
        </w:tc>
        <w:tc>
          <w:tcPr>
            <w:tcW w:w="1814" w:type="dxa"/>
          </w:tcPr>
          <w:p w:rsidR="00F7624D" w:rsidRDefault="003C5F24">
            <w:pPr>
              <w:spacing w:line="360" w:lineRule="auto"/>
              <w:rPr>
                <w:noProof/>
              </w:rPr>
            </w:pPr>
            <w:r>
              <w:t>bod 39</w:t>
            </w:r>
          </w:p>
        </w:tc>
        <w:tc>
          <w:tcPr>
            <w:tcW w:w="2268" w:type="dxa"/>
          </w:tcPr>
          <w:p w:rsidR="00F7624D" w:rsidRDefault="003C5F24">
            <w:pPr>
              <w:spacing w:line="360" w:lineRule="auto"/>
              <w:rPr>
                <w:noProof/>
              </w:rPr>
            </w:pPr>
            <w:r>
              <w:t>bod 55</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bod 2</w:t>
            </w:r>
          </w:p>
        </w:tc>
        <w:tc>
          <w:tcPr>
            <w:tcW w:w="1814" w:type="dxa"/>
          </w:tcPr>
          <w:p w:rsidR="00F7624D" w:rsidRDefault="003C5F24">
            <w:pPr>
              <w:spacing w:line="360" w:lineRule="auto"/>
              <w:rPr>
                <w:noProof/>
              </w:rPr>
            </w:pPr>
            <w:r>
              <w:t>bod 34</w:t>
            </w:r>
          </w:p>
        </w:tc>
        <w:tc>
          <w:tcPr>
            <w:tcW w:w="2268" w:type="dxa"/>
          </w:tcPr>
          <w:p w:rsidR="00F7624D" w:rsidRDefault="003C5F24">
            <w:pPr>
              <w:spacing w:line="360" w:lineRule="auto"/>
              <w:rPr>
                <w:noProof/>
              </w:rPr>
            </w:pPr>
            <w:r>
              <w:t xml:space="preserve"> bod 50</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bod 3</w:t>
            </w:r>
          </w:p>
        </w:tc>
        <w:tc>
          <w:tcPr>
            <w:tcW w:w="1814" w:type="dxa"/>
          </w:tcPr>
          <w:p w:rsidR="00F7624D" w:rsidRDefault="003C5F24">
            <w:pPr>
              <w:spacing w:line="360" w:lineRule="auto"/>
              <w:rPr>
                <w:noProof/>
              </w:rPr>
            </w:pPr>
            <w:r>
              <w:t>-</w:t>
            </w:r>
          </w:p>
        </w:tc>
        <w:tc>
          <w:tcPr>
            <w:tcW w:w="2268" w:type="dxa"/>
          </w:tcPr>
          <w:p w:rsidR="00F7624D" w:rsidRDefault="003C5F24">
            <w:pPr>
              <w:spacing w:line="360" w:lineRule="auto"/>
              <w:rPr>
                <w:noProof/>
              </w:rPr>
            </w:pPr>
            <w:r>
              <w:t>-</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bod 4</w:t>
            </w:r>
          </w:p>
        </w:tc>
        <w:tc>
          <w:tcPr>
            <w:tcW w:w="1814" w:type="dxa"/>
          </w:tcPr>
          <w:p w:rsidR="00F7624D" w:rsidRDefault="003C5F24">
            <w:pPr>
              <w:spacing w:line="360" w:lineRule="auto"/>
              <w:rPr>
                <w:noProof/>
              </w:rPr>
            </w:pPr>
            <w:r>
              <w:t>bod 35</w:t>
            </w:r>
          </w:p>
        </w:tc>
        <w:tc>
          <w:tcPr>
            <w:tcW w:w="2268" w:type="dxa"/>
          </w:tcPr>
          <w:p w:rsidR="00F7624D" w:rsidRDefault="003C5F24">
            <w:pPr>
              <w:spacing w:line="360" w:lineRule="auto"/>
              <w:rPr>
                <w:noProof/>
              </w:rPr>
            </w:pPr>
            <w:r>
              <w:t>-</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body 36 až 38</w:t>
            </w:r>
          </w:p>
        </w:tc>
        <w:tc>
          <w:tcPr>
            <w:tcW w:w="2268" w:type="dxa"/>
          </w:tcPr>
          <w:p w:rsidR="00F7624D" w:rsidRDefault="003C5F24">
            <w:pPr>
              <w:spacing w:line="360" w:lineRule="auto"/>
              <w:rPr>
                <w:noProof/>
              </w:rPr>
            </w:pPr>
            <w:r>
              <w:t>body 52 až 54</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55</w:t>
            </w:r>
          </w:p>
        </w:tc>
      </w:tr>
      <w:tr w:rsidR="00F7624D">
        <w:tc>
          <w:tcPr>
            <w:tcW w:w="2750" w:type="dxa"/>
            <w:shd w:val="clear" w:color="auto" w:fill="auto"/>
          </w:tcPr>
          <w:p w:rsidR="00F7624D" w:rsidRDefault="00F7624D">
            <w:pPr>
              <w:spacing w:line="360" w:lineRule="auto"/>
              <w:rPr>
                <w:noProof/>
              </w:rPr>
            </w:pPr>
          </w:p>
        </w:tc>
        <w:tc>
          <w:tcPr>
            <w:tcW w:w="2519" w:type="dxa"/>
            <w:shd w:val="clear" w:color="auto" w:fill="auto"/>
          </w:tcPr>
          <w:p w:rsidR="00F7624D" w:rsidRDefault="00F7624D">
            <w:pPr>
              <w:spacing w:line="360" w:lineRule="auto"/>
              <w:rPr>
                <w:noProof/>
              </w:rPr>
            </w:pPr>
          </w:p>
        </w:tc>
        <w:tc>
          <w:tcPr>
            <w:tcW w:w="1814" w:type="dxa"/>
            <w:shd w:val="clear" w:color="auto" w:fill="auto"/>
          </w:tcPr>
          <w:p w:rsidR="00F7624D" w:rsidRDefault="003C5F24">
            <w:pPr>
              <w:spacing w:line="360" w:lineRule="auto"/>
              <w:rPr>
                <w:noProof/>
              </w:rPr>
            </w:pPr>
            <w:r>
              <w:t>článok 3 ods. 1, 2</w:t>
            </w:r>
          </w:p>
        </w:tc>
        <w:tc>
          <w:tcPr>
            <w:tcW w:w="2268" w:type="dxa"/>
            <w:shd w:val="clear" w:color="auto" w:fill="auto"/>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5 ods. 1</w:t>
            </w:r>
          </w:p>
        </w:tc>
        <w:tc>
          <w:tcPr>
            <w:tcW w:w="2519" w:type="dxa"/>
          </w:tcPr>
          <w:p w:rsidR="00F7624D" w:rsidRDefault="003C5F24">
            <w:pPr>
              <w:spacing w:line="360" w:lineRule="auto"/>
              <w:rPr>
                <w:noProof/>
              </w:rPr>
            </w:pPr>
            <w:r>
              <w:t>článok 3 ods. 1</w:t>
            </w:r>
          </w:p>
        </w:tc>
        <w:tc>
          <w:tcPr>
            <w:tcW w:w="1814" w:type="dxa"/>
          </w:tcPr>
          <w:p w:rsidR="00F7624D" w:rsidRDefault="003C5F24">
            <w:pPr>
              <w:spacing w:line="360" w:lineRule="auto"/>
              <w:rPr>
                <w:noProof/>
              </w:rPr>
            </w:pPr>
            <w:r>
              <w:t xml:space="preserve"> článok 3 ods. 3</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3 ods. 2</w:t>
            </w:r>
          </w:p>
        </w:tc>
        <w:tc>
          <w:tcPr>
            <w:tcW w:w="1814" w:type="dxa"/>
          </w:tcPr>
          <w:p w:rsidR="00F7624D" w:rsidRDefault="003C5F24">
            <w:pPr>
              <w:spacing w:line="360" w:lineRule="auto"/>
              <w:rPr>
                <w:noProof/>
              </w:rPr>
            </w:pPr>
            <w:r>
              <w:t>článok 9 ods. 5</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5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5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36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w:t>
            </w:r>
            <w:r>
              <w:t xml:space="preserve"> 5 ods. 4 a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5 ods. 6</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 ods. 5, 6</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5 ods. 7</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6 ods. 1</w:t>
            </w:r>
          </w:p>
        </w:tc>
        <w:tc>
          <w:tcPr>
            <w:tcW w:w="2519" w:type="dxa"/>
          </w:tcPr>
          <w:p w:rsidR="00F7624D" w:rsidRDefault="003C5F24">
            <w:pPr>
              <w:spacing w:line="360" w:lineRule="auto"/>
              <w:rPr>
                <w:noProof/>
              </w:rPr>
            </w:pPr>
            <w:r>
              <w:t>článok 3 ods. 3</w:t>
            </w:r>
          </w:p>
        </w:tc>
        <w:tc>
          <w:tcPr>
            <w:tcW w:w="1814" w:type="dxa"/>
          </w:tcPr>
          <w:p w:rsidR="00F7624D" w:rsidRDefault="003C5F24">
            <w:pPr>
              <w:spacing w:line="360" w:lineRule="auto"/>
              <w:rPr>
                <w:noProof/>
              </w:rPr>
            </w:pPr>
            <w:r>
              <w:t>článok 4 ods. 1</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3 ods. 4</w:t>
            </w:r>
          </w:p>
        </w:tc>
        <w:tc>
          <w:tcPr>
            <w:tcW w:w="1814" w:type="dxa"/>
          </w:tcPr>
          <w:p w:rsidR="00F7624D" w:rsidRDefault="003C5F24">
            <w:pPr>
              <w:spacing w:line="360" w:lineRule="auto"/>
              <w:rPr>
                <w:noProof/>
              </w:rPr>
            </w:pPr>
            <w:r>
              <w:t>článok 20 ods. 1, 2,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6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lastRenderedPageBreak/>
              <w:t>článok 6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6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7</w:t>
            </w:r>
          </w:p>
        </w:tc>
        <w:tc>
          <w:tcPr>
            <w:tcW w:w="2519" w:type="dxa"/>
          </w:tcPr>
          <w:p w:rsidR="00F7624D" w:rsidRDefault="003C5F24">
            <w:pPr>
              <w:spacing w:line="360" w:lineRule="auto"/>
              <w:rPr>
                <w:noProof/>
              </w:rPr>
            </w:pPr>
            <w:r>
              <w:t>článok 4</w:t>
            </w:r>
          </w:p>
        </w:tc>
        <w:tc>
          <w:tcPr>
            <w:tcW w:w="1814" w:type="dxa"/>
          </w:tcPr>
          <w:p w:rsidR="00F7624D" w:rsidRDefault="003C5F24">
            <w:pPr>
              <w:spacing w:line="360" w:lineRule="auto"/>
              <w:rPr>
                <w:noProof/>
              </w:rPr>
            </w:pPr>
            <w:r>
              <w:t>článok 5</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8 ods. 1</w:t>
            </w:r>
          </w:p>
        </w:tc>
        <w:tc>
          <w:tcPr>
            <w:tcW w:w="2519" w:type="dxa"/>
          </w:tcPr>
          <w:p w:rsidR="00F7624D" w:rsidRDefault="003C5F24">
            <w:pPr>
              <w:spacing w:line="360" w:lineRule="auto"/>
              <w:rPr>
                <w:noProof/>
              </w:rPr>
            </w:pPr>
            <w:r>
              <w:t>článok 5 ods. 1</w:t>
            </w:r>
          </w:p>
        </w:tc>
        <w:tc>
          <w:tcPr>
            <w:tcW w:w="1814" w:type="dxa"/>
          </w:tcPr>
          <w:p w:rsidR="00F7624D" w:rsidRDefault="003C5F24">
            <w:pPr>
              <w:spacing w:line="360" w:lineRule="auto"/>
              <w:rPr>
                <w:noProof/>
              </w:rPr>
            </w:pPr>
            <w:r>
              <w:t>článok 6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8 ods. 2</w:t>
            </w:r>
          </w:p>
        </w:tc>
        <w:tc>
          <w:tcPr>
            <w:tcW w:w="2519" w:type="dxa"/>
          </w:tcPr>
          <w:p w:rsidR="00F7624D" w:rsidRDefault="003C5F24">
            <w:pPr>
              <w:spacing w:line="360" w:lineRule="auto"/>
              <w:rPr>
                <w:noProof/>
              </w:rPr>
            </w:pPr>
            <w:r>
              <w:t>článok 5 ods. 6</w:t>
            </w:r>
          </w:p>
        </w:tc>
        <w:tc>
          <w:tcPr>
            <w:tcW w:w="1814" w:type="dxa"/>
          </w:tcPr>
          <w:p w:rsidR="00F7624D" w:rsidRDefault="003C5F24">
            <w:pPr>
              <w:spacing w:line="360" w:lineRule="auto"/>
              <w:rPr>
                <w:noProof/>
              </w:rPr>
            </w:pPr>
            <w:r>
              <w:t>článok 6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8 ods. 3</w:t>
            </w:r>
          </w:p>
        </w:tc>
        <w:tc>
          <w:tcPr>
            <w:tcW w:w="2519" w:type="dxa"/>
          </w:tcPr>
          <w:p w:rsidR="00F7624D" w:rsidRDefault="003C5F24">
            <w:pPr>
              <w:spacing w:line="360" w:lineRule="auto"/>
              <w:rPr>
                <w:noProof/>
              </w:rPr>
            </w:pPr>
            <w:r>
              <w:t>článok 5 ods. 7</w:t>
            </w:r>
          </w:p>
        </w:tc>
        <w:tc>
          <w:tcPr>
            <w:tcW w:w="1814" w:type="dxa"/>
          </w:tcPr>
          <w:p w:rsidR="00F7624D" w:rsidRDefault="003C5F24">
            <w:pPr>
              <w:spacing w:line="360" w:lineRule="auto"/>
              <w:rPr>
                <w:noProof/>
              </w:rPr>
            </w:pPr>
            <w:r>
              <w:t>článok 6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9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7 ods. 1, článok 7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9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7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7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9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7 ods. 5</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8 ods. 1</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5 ods. 2</w:t>
            </w:r>
          </w:p>
        </w:tc>
        <w:tc>
          <w:tcPr>
            <w:tcW w:w="1814" w:type="dxa"/>
          </w:tcPr>
          <w:p w:rsidR="00F7624D" w:rsidRDefault="003C5F24">
            <w:pPr>
              <w:spacing w:line="360" w:lineRule="auto"/>
              <w:rPr>
                <w:noProof/>
              </w:rPr>
            </w:pPr>
            <w:r>
              <w:t>článok 8 ods. 2, článok 8 ods. 4</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5 ods. 3</w:t>
            </w:r>
          </w:p>
        </w:tc>
        <w:tc>
          <w:tcPr>
            <w:tcW w:w="1814" w:type="dxa"/>
          </w:tcPr>
          <w:p w:rsidR="00F7624D" w:rsidRDefault="003C5F24">
            <w:pPr>
              <w:spacing w:line="360" w:lineRule="auto"/>
              <w:rPr>
                <w:noProof/>
              </w:rPr>
            </w:pPr>
            <w:r>
              <w:t>článok 8 ods. 3</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5 ods. 4</w:t>
            </w:r>
          </w:p>
        </w:tc>
        <w:tc>
          <w:tcPr>
            <w:tcW w:w="1814" w:type="dxa"/>
          </w:tcPr>
          <w:p w:rsidR="00F7624D" w:rsidRDefault="003C5F24">
            <w:pPr>
              <w:spacing w:line="360" w:lineRule="auto"/>
              <w:rPr>
                <w:noProof/>
              </w:rPr>
            </w:pPr>
            <w:r>
              <w:t>článok 8 ods. 5</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5 ods. 5</w:t>
            </w:r>
          </w:p>
        </w:tc>
        <w:tc>
          <w:tcPr>
            <w:tcW w:w="1814" w:type="dxa"/>
          </w:tcPr>
          <w:p w:rsidR="00F7624D" w:rsidRDefault="003C5F24">
            <w:pPr>
              <w:spacing w:line="360" w:lineRule="auto"/>
              <w:rPr>
                <w:noProof/>
              </w:rPr>
            </w:pPr>
            <w:r>
              <w:t>článok 8 ods. 6</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10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9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10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9 ods. 2</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7 ods. 1</w:t>
            </w:r>
          </w:p>
        </w:tc>
        <w:tc>
          <w:tcPr>
            <w:tcW w:w="1814" w:type="dxa"/>
          </w:tcPr>
          <w:p w:rsidR="00F7624D" w:rsidRDefault="003C5F24">
            <w:pPr>
              <w:spacing w:line="360" w:lineRule="auto"/>
              <w:rPr>
                <w:noProof/>
              </w:rPr>
            </w:pPr>
            <w:r>
              <w:t>článok 9 ods. 3</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7 ods. 2</w:t>
            </w:r>
          </w:p>
        </w:tc>
        <w:tc>
          <w:tcPr>
            <w:tcW w:w="1814" w:type="dxa"/>
          </w:tcPr>
          <w:p w:rsidR="00F7624D" w:rsidRDefault="003C5F24">
            <w:pPr>
              <w:spacing w:line="360" w:lineRule="auto"/>
              <w:rPr>
                <w:noProof/>
              </w:rPr>
            </w:pPr>
            <w:r>
              <w:t>článok 9 ods. 4</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7 ods. 3</w:t>
            </w:r>
          </w:p>
        </w:tc>
        <w:tc>
          <w:tcPr>
            <w:tcW w:w="1814" w:type="dxa"/>
          </w:tcPr>
          <w:p w:rsidR="00F7624D" w:rsidRDefault="00F7624D">
            <w:pPr>
              <w:spacing w:line="360" w:lineRule="auto"/>
              <w:rPr>
                <w:noProof/>
              </w:rPr>
            </w:pP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7 ods. 4</w:t>
            </w:r>
          </w:p>
        </w:tc>
        <w:tc>
          <w:tcPr>
            <w:tcW w:w="1814" w:type="dxa"/>
          </w:tcPr>
          <w:p w:rsidR="00F7624D" w:rsidRDefault="00F7624D">
            <w:pPr>
              <w:spacing w:line="360" w:lineRule="auto"/>
              <w:rPr>
                <w:noProof/>
              </w:rPr>
            </w:pP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13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13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13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13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 ods.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13 ods. 5</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 ods. 6</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13 ods. 6</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 ods. 7</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13 ods. 7</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 ods. 8</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13 ods. 8</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 xml:space="preserve">článok 11 </w:t>
            </w:r>
            <w:r>
              <w:t>ods. 9</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13 ods. 9</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lastRenderedPageBreak/>
              <w:t>článok 13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16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13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16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13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16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14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17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14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17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14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17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14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17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15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18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15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18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15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18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15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18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15 ods.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18 ods. 5</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 xml:space="preserve">článok 18 </w:t>
            </w:r>
            <w:r>
              <w:t>ods. 6</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16</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15</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17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11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17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11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17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11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17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11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18 ods. 1</w:t>
            </w:r>
          </w:p>
        </w:tc>
        <w:tc>
          <w:tcPr>
            <w:tcW w:w="2519" w:type="dxa"/>
          </w:tcPr>
          <w:p w:rsidR="00F7624D" w:rsidRDefault="003C5F24">
            <w:pPr>
              <w:spacing w:line="360" w:lineRule="auto"/>
              <w:rPr>
                <w:noProof/>
              </w:rPr>
            </w:pPr>
            <w:r>
              <w:t>článok 6 ods. 1 písm. a)</w:t>
            </w:r>
          </w:p>
        </w:tc>
        <w:tc>
          <w:tcPr>
            <w:tcW w:w="1814" w:type="dxa"/>
          </w:tcPr>
          <w:p w:rsidR="00F7624D" w:rsidRDefault="003C5F24">
            <w:pPr>
              <w:spacing w:line="360" w:lineRule="auto"/>
              <w:rPr>
                <w:noProof/>
              </w:rPr>
            </w:pPr>
            <w:r>
              <w:t>článok 10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písmeno a)</w:t>
            </w:r>
          </w:p>
        </w:tc>
        <w:tc>
          <w:tcPr>
            <w:tcW w:w="2519" w:type="dxa"/>
          </w:tcPr>
          <w:p w:rsidR="00F7624D" w:rsidRDefault="003C5F24">
            <w:pPr>
              <w:spacing w:line="360" w:lineRule="auto"/>
              <w:rPr>
                <w:noProof/>
              </w:rPr>
            </w:pPr>
            <w:r>
              <w:t>písmeno c)</w:t>
            </w:r>
          </w:p>
        </w:tc>
        <w:tc>
          <w:tcPr>
            <w:tcW w:w="1814" w:type="dxa"/>
          </w:tcPr>
          <w:p w:rsidR="00F7624D" w:rsidRDefault="003C5F24">
            <w:pPr>
              <w:spacing w:line="360" w:lineRule="auto"/>
              <w:rPr>
                <w:noProof/>
              </w:rPr>
            </w:pPr>
            <w:r>
              <w:t>písmeno a)</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písmeno b)</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písmeno c)</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písmeno c)</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18 ods. 2</w:t>
            </w:r>
          </w:p>
        </w:tc>
        <w:tc>
          <w:tcPr>
            <w:tcW w:w="2519" w:type="dxa"/>
          </w:tcPr>
          <w:p w:rsidR="00F7624D" w:rsidRDefault="003C5F24">
            <w:pPr>
              <w:spacing w:line="360" w:lineRule="auto"/>
              <w:rPr>
                <w:noProof/>
              </w:rPr>
            </w:pPr>
            <w:r>
              <w:t>článok 6 ods. 4</w:t>
            </w:r>
          </w:p>
        </w:tc>
        <w:tc>
          <w:tcPr>
            <w:tcW w:w="1814" w:type="dxa"/>
          </w:tcPr>
          <w:p w:rsidR="00F7624D" w:rsidRDefault="003C5F24">
            <w:pPr>
              <w:spacing w:line="360" w:lineRule="auto"/>
              <w:rPr>
                <w:noProof/>
              </w:rPr>
            </w:pPr>
            <w:r>
              <w:t>článok 10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18 ods. 3</w:t>
            </w:r>
          </w:p>
        </w:tc>
        <w:tc>
          <w:tcPr>
            <w:tcW w:w="2519" w:type="dxa"/>
          </w:tcPr>
          <w:p w:rsidR="00F7624D" w:rsidRDefault="003C5F24">
            <w:pPr>
              <w:spacing w:line="360" w:lineRule="auto"/>
              <w:rPr>
                <w:noProof/>
              </w:rPr>
            </w:pPr>
            <w:r>
              <w:t>článok 6 ods. 4</w:t>
            </w:r>
          </w:p>
        </w:tc>
        <w:tc>
          <w:tcPr>
            <w:tcW w:w="1814" w:type="dxa"/>
          </w:tcPr>
          <w:p w:rsidR="00F7624D" w:rsidRDefault="003C5F24">
            <w:pPr>
              <w:spacing w:line="360" w:lineRule="auto"/>
              <w:rPr>
                <w:noProof/>
              </w:rPr>
            </w:pPr>
            <w:r>
              <w:t>článok 10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18 ods. 4</w:t>
            </w:r>
          </w:p>
        </w:tc>
        <w:tc>
          <w:tcPr>
            <w:tcW w:w="2519" w:type="dxa"/>
          </w:tcPr>
          <w:p w:rsidR="00F7624D" w:rsidRDefault="003C5F24">
            <w:pPr>
              <w:spacing w:line="360" w:lineRule="auto"/>
              <w:rPr>
                <w:noProof/>
              </w:rPr>
            </w:pPr>
            <w:r>
              <w:t>článok 6 ods. 1 písm. b)</w:t>
            </w:r>
          </w:p>
        </w:tc>
        <w:tc>
          <w:tcPr>
            <w:tcW w:w="1814" w:type="dxa"/>
          </w:tcPr>
          <w:p w:rsidR="00F7624D" w:rsidRDefault="003C5F24">
            <w:pPr>
              <w:spacing w:line="360" w:lineRule="auto"/>
              <w:rPr>
                <w:noProof/>
              </w:rPr>
            </w:pPr>
            <w:r>
              <w:t>článok 10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18 ods. 5</w:t>
            </w:r>
          </w:p>
        </w:tc>
        <w:tc>
          <w:tcPr>
            <w:tcW w:w="2519" w:type="dxa"/>
          </w:tcPr>
          <w:p w:rsidR="00F7624D" w:rsidRDefault="003C5F24">
            <w:pPr>
              <w:spacing w:line="360" w:lineRule="auto"/>
              <w:rPr>
                <w:noProof/>
              </w:rPr>
            </w:pPr>
            <w:r>
              <w:t>článok 6 ods. 2 článok 6 ods. 4</w:t>
            </w:r>
          </w:p>
        </w:tc>
        <w:tc>
          <w:tcPr>
            <w:tcW w:w="1814" w:type="dxa"/>
          </w:tcPr>
          <w:p w:rsidR="00F7624D" w:rsidRDefault="003C5F24">
            <w:pPr>
              <w:spacing w:line="360" w:lineRule="auto"/>
              <w:rPr>
                <w:noProof/>
              </w:rPr>
            </w:pPr>
            <w:r>
              <w:t>článok 10 ods. 5</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6 ods. 3</w:t>
            </w:r>
          </w:p>
        </w:tc>
        <w:tc>
          <w:tcPr>
            <w:tcW w:w="1814" w:type="dxa"/>
          </w:tcPr>
          <w:p w:rsidR="00F7624D" w:rsidRDefault="003C5F24">
            <w:pPr>
              <w:spacing w:line="360" w:lineRule="auto"/>
              <w:rPr>
                <w:noProof/>
              </w:rPr>
            </w:pPr>
            <w:r>
              <w:t>článok 10 ods. 6</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18 ods. 6</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10 ods. 7</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19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19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19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19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19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19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19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19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lastRenderedPageBreak/>
              <w:t>článok 19 ods.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19 ods. 5</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19 ods. 6</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22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19 ods. 7</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19 ods. 6, článok 21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19 ods. 8</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19 ods. 7, článok 22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20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23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20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23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12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22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24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22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24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22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24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22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24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22 ods.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24 ods. 5</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23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25</w:t>
            </w:r>
            <w:r>
              <w:t xml:space="preserve">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písmeno a)</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písmeno a)</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písmeno b)</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písmeno c)</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písmeno c)</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písmeno d)</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25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23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25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23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25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24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26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24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26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24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26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25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27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25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27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26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28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26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28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27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29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 xml:space="preserve">článok 27 ods. </w:t>
            </w:r>
            <w:r>
              <w:t>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29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lastRenderedPageBreak/>
              <w:t>článok 28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30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28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30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28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30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28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30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28 ods.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30 ods. 5</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29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31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 xml:space="preserve">článok 29 </w:t>
            </w:r>
            <w:r>
              <w:t>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31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29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31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29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31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29 ods.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31 ods. 5</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29 ods. 6</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31 ods. 6</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30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32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30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32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30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32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30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32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31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33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31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33 ods. 2</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8 ods. 1, 2, 3</w:t>
            </w:r>
          </w:p>
        </w:tc>
        <w:tc>
          <w:tcPr>
            <w:tcW w:w="1814" w:type="dxa"/>
          </w:tcPr>
          <w:p w:rsidR="00F7624D" w:rsidRDefault="00F7624D">
            <w:pPr>
              <w:spacing w:line="360" w:lineRule="auto"/>
              <w:rPr>
                <w:noProof/>
              </w:rPr>
            </w:pP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32 ods. 1</w:t>
            </w:r>
          </w:p>
        </w:tc>
        <w:tc>
          <w:tcPr>
            <w:tcW w:w="2519" w:type="dxa"/>
          </w:tcPr>
          <w:p w:rsidR="00F7624D" w:rsidRDefault="003C5F24">
            <w:pPr>
              <w:spacing w:line="360" w:lineRule="auto"/>
              <w:rPr>
                <w:noProof/>
              </w:rPr>
            </w:pPr>
            <w:r>
              <w:t>článok 9 ods. 1</w:t>
            </w:r>
          </w:p>
        </w:tc>
        <w:tc>
          <w:tcPr>
            <w:tcW w:w="1814" w:type="dxa"/>
          </w:tcPr>
          <w:p w:rsidR="00F7624D" w:rsidRDefault="003C5F24">
            <w:pPr>
              <w:spacing w:line="360" w:lineRule="auto"/>
              <w:rPr>
                <w:noProof/>
              </w:rPr>
            </w:pPr>
            <w:r>
              <w:t>článok 34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písmeno a)</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písmeno a)</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písmeno a)</w:t>
            </w:r>
          </w:p>
        </w:tc>
        <w:tc>
          <w:tcPr>
            <w:tcW w:w="1814" w:type="dxa"/>
          </w:tcPr>
          <w:p w:rsidR="00F7624D" w:rsidRDefault="003C5F24">
            <w:pPr>
              <w:spacing w:line="360" w:lineRule="auto"/>
              <w:rPr>
                <w:noProof/>
              </w:rPr>
            </w:pPr>
            <w:r>
              <w:t>písmeno b)</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písmeno b)</w:t>
            </w:r>
          </w:p>
        </w:tc>
        <w:tc>
          <w:tcPr>
            <w:tcW w:w="2519" w:type="dxa"/>
          </w:tcPr>
          <w:p w:rsidR="00F7624D" w:rsidRDefault="003C5F24">
            <w:pPr>
              <w:spacing w:line="360" w:lineRule="auto"/>
              <w:rPr>
                <w:noProof/>
              </w:rPr>
            </w:pPr>
            <w:r>
              <w:t>písmeno b)</w:t>
            </w:r>
          </w:p>
        </w:tc>
        <w:tc>
          <w:tcPr>
            <w:tcW w:w="1814" w:type="dxa"/>
          </w:tcPr>
          <w:p w:rsidR="00F7624D" w:rsidRDefault="003C5F24">
            <w:pPr>
              <w:spacing w:line="360" w:lineRule="auto"/>
              <w:rPr>
                <w:noProof/>
              </w:rPr>
            </w:pPr>
            <w:r>
              <w:t>písmeno c)</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32 ods. 2</w:t>
            </w:r>
          </w:p>
        </w:tc>
        <w:tc>
          <w:tcPr>
            <w:tcW w:w="2519" w:type="dxa"/>
          </w:tcPr>
          <w:p w:rsidR="00F7624D" w:rsidRDefault="003C5F24">
            <w:pPr>
              <w:spacing w:line="360" w:lineRule="auto"/>
              <w:rPr>
                <w:noProof/>
              </w:rPr>
            </w:pPr>
            <w:r>
              <w:t>článok 9 ods. 2</w:t>
            </w:r>
          </w:p>
        </w:tc>
        <w:tc>
          <w:tcPr>
            <w:tcW w:w="1814" w:type="dxa"/>
          </w:tcPr>
          <w:p w:rsidR="00F7624D" w:rsidRDefault="003C5F24">
            <w:pPr>
              <w:spacing w:line="360" w:lineRule="auto"/>
              <w:rPr>
                <w:noProof/>
              </w:rPr>
            </w:pPr>
            <w:r>
              <w:t>článok 34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32 ods. 3</w:t>
            </w:r>
          </w:p>
        </w:tc>
        <w:tc>
          <w:tcPr>
            <w:tcW w:w="2519" w:type="dxa"/>
          </w:tcPr>
          <w:p w:rsidR="00F7624D" w:rsidRDefault="003C5F24">
            <w:pPr>
              <w:spacing w:line="360" w:lineRule="auto"/>
              <w:rPr>
                <w:noProof/>
              </w:rPr>
            </w:pPr>
            <w:r>
              <w:t>článok 9 ods. 3</w:t>
            </w:r>
          </w:p>
        </w:tc>
        <w:tc>
          <w:tcPr>
            <w:tcW w:w="1814" w:type="dxa"/>
          </w:tcPr>
          <w:p w:rsidR="00F7624D" w:rsidRDefault="003C5F24">
            <w:pPr>
              <w:spacing w:line="360" w:lineRule="auto"/>
              <w:rPr>
                <w:noProof/>
              </w:rPr>
            </w:pPr>
            <w:r>
              <w:t>článok 34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32 ods. 4</w:t>
            </w:r>
          </w:p>
        </w:tc>
        <w:tc>
          <w:tcPr>
            <w:tcW w:w="2519" w:type="dxa"/>
          </w:tcPr>
          <w:p w:rsidR="00F7624D" w:rsidRDefault="003C5F24">
            <w:pPr>
              <w:spacing w:line="360" w:lineRule="auto"/>
              <w:rPr>
                <w:noProof/>
              </w:rPr>
            </w:pPr>
            <w:r>
              <w:t>článok 9 ods. 4</w:t>
            </w:r>
          </w:p>
        </w:tc>
        <w:tc>
          <w:tcPr>
            <w:tcW w:w="1814" w:type="dxa"/>
          </w:tcPr>
          <w:p w:rsidR="00F7624D" w:rsidRDefault="003C5F24">
            <w:pPr>
              <w:spacing w:line="360" w:lineRule="auto"/>
              <w:rPr>
                <w:noProof/>
              </w:rPr>
            </w:pPr>
            <w:r>
              <w:t>článok 34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32 ods. 5</w:t>
            </w:r>
          </w:p>
        </w:tc>
        <w:tc>
          <w:tcPr>
            <w:tcW w:w="2519" w:type="dxa"/>
          </w:tcPr>
          <w:p w:rsidR="00F7624D" w:rsidRDefault="003C5F24">
            <w:pPr>
              <w:spacing w:line="360" w:lineRule="auto"/>
              <w:rPr>
                <w:noProof/>
              </w:rPr>
            </w:pPr>
            <w:r>
              <w:t xml:space="preserve">článok 9 ods. 5, článok </w:t>
            </w:r>
            <w:r>
              <w:t>9 ods. 6, článok 9 ods. 7</w:t>
            </w:r>
          </w:p>
        </w:tc>
        <w:tc>
          <w:tcPr>
            <w:tcW w:w="1814" w:type="dxa"/>
          </w:tcPr>
          <w:p w:rsidR="00F7624D" w:rsidRDefault="003C5F24">
            <w:pPr>
              <w:spacing w:line="360" w:lineRule="auto"/>
              <w:rPr>
                <w:noProof/>
              </w:rPr>
            </w:pPr>
            <w:r>
              <w:t>článok 34 ods. 5</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32 ods. 6</w:t>
            </w:r>
          </w:p>
        </w:tc>
        <w:tc>
          <w:tcPr>
            <w:tcW w:w="2519" w:type="dxa"/>
          </w:tcPr>
          <w:p w:rsidR="00F7624D" w:rsidRDefault="003C5F24">
            <w:pPr>
              <w:spacing w:line="360" w:lineRule="auto"/>
              <w:rPr>
                <w:noProof/>
              </w:rPr>
            </w:pPr>
            <w:r>
              <w:t>článok 9 ods. 8</w:t>
            </w:r>
          </w:p>
        </w:tc>
        <w:tc>
          <w:tcPr>
            <w:tcW w:w="1814" w:type="dxa"/>
          </w:tcPr>
          <w:p w:rsidR="00F7624D" w:rsidRDefault="003C5F24">
            <w:pPr>
              <w:spacing w:line="360" w:lineRule="auto"/>
              <w:rPr>
                <w:noProof/>
              </w:rPr>
            </w:pPr>
            <w:r>
              <w:t>článok 34 ods. 6</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33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36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33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36 ods. 2</w:t>
            </w:r>
          </w:p>
        </w:tc>
        <w:tc>
          <w:tcPr>
            <w:tcW w:w="2268" w:type="dxa"/>
          </w:tcPr>
          <w:p w:rsidR="00F7624D" w:rsidRDefault="003C5F24">
            <w:pPr>
              <w:spacing w:line="360" w:lineRule="auto"/>
              <w:rPr>
                <w:noProof/>
              </w:rPr>
            </w:pPr>
            <w:r>
              <w:t>článok 47 ods. 2</w:t>
            </w:r>
          </w:p>
        </w:tc>
      </w:tr>
      <w:tr w:rsidR="00F7624D">
        <w:tc>
          <w:tcPr>
            <w:tcW w:w="2750" w:type="dxa"/>
          </w:tcPr>
          <w:p w:rsidR="00F7624D" w:rsidRDefault="003C5F24">
            <w:pPr>
              <w:spacing w:line="360" w:lineRule="auto"/>
              <w:rPr>
                <w:noProof/>
              </w:rPr>
            </w:pPr>
            <w:r>
              <w:t>článok 34</w:t>
            </w:r>
          </w:p>
        </w:tc>
        <w:tc>
          <w:tcPr>
            <w:tcW w:w="2519" w:type="dxa"/>
          </w:tcPr>
          <w:p w:rsidR="00F7624D" w:rsidRDefault="003C5F24">
            <w:pPr>
              <w:spacing w:line="360" w:lineRule="auto"/>
              <w:rPr>
                <w:noProof/>
              </w:rPr>
            </w:pPr>
            <w:r>
              <w:t>článok 9 ods. 9</w:t>
            </w:r>
          </w:p>
        </w:tc>
        <w:tc>
          <w:tcPr>
            <w:tcW w:w="1814" w:type="dxa"/>
          </w:tcPr>
          <w:p w:rsidR="00F7624D" w:rsidRDefault="003C5F24">
            <w:pPr>
              <w:spacing w:line="360" w:lineRule="auto"/>
              <w:rPr>
                <w:noProof/>
              </w:rPr>
            </w:pPr>
            <w:r>
              <w:t>článok 35</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37 ods. 1, 2, 3</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38 ods. 1, 2</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10</w:t>
            </w:r>
          </w:p>
        </w:tc>
        <w:tc>
          <w:tcPr>
            <w:tcW w:w="1814" w:type="dxa"/>
          </w:tcPr>
          <w:p w:rsidR="00F7624D" w:rsidRDefault="003C5F24">
            <w:pPr>
              <w:spacing w:line="360" w:lineRule="auto"/>
              <w:rPr>
                <w:noProof/>
              </w:rPr>
            </w:pPr>
            <w:r>
              <w:t>článok 45 ods. 2, 4</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11 ods. 1</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30 ods. 1</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11 ods. 2</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30 ods. 2</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11 ods. 3</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30 ods. 3</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11 ods. 4</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30 ods. 4</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11 ods. 5</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30 ods. 5</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 xml:space="preserve">článok 11 </w:t>
            </w:r>
            <w:r>
              <w:t>ods. 6</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30 ods. 6</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11 ods. 7</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30 ods. 7</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12</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30 ods. 8</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13</w:t>
            </w: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hlava IV kapitola 8</w:t>
            </w:r>
          </w:p>
        </w:tc>
      </w:tr>
      <w:tr w:rsidR="00F7624D">
        <w:tc>
          <w:tcPr>
            <w:tcW w:w="2750" w:type="dxa"/>
          </w:tcPr>
          <w:p w:rsidR="00F7624D" w:rsidRDefault="003C5F24">
            <w:pPr>
              <w:spacing w:line="360" w:lineRule="auto"/>
              <w:rPr>
                <w:noProof/>
              </w:rPr>
            </w:pPr>
            <w:r>
              <w:t>článok 35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31 ods. 1, článok 31 ods. 5</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31 ods. 2</w:t>
            </w:r>
          </w:p>
        </w:tc>
      </w:tr>
      <w:tr w:rsidR="00F7624D">
        <w:tc>
          <w:tcPr>
            <w:tcW w:w="2750" w:type="dxa"/>
          </w:tcPr>
          <w:p w:rsidR="00F7624D" w:rsidRDefault="003C5F24">
            <w:pPr>
              <w:spacing w:line="360" w:lineRule="auto"/>
              <w:rPr>
                <w:noProof/>
              </w:rPr>
            </w:pPr>
            <w:r>
              <w:t>článok 35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31 ods. 3, článok 31 ods. 4,</w:t>
            </w:r>
            <w:r>
              <w:t xml:space="preserve"> článok 31 ods. 6</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31 ods. 7</w:t>
            </w:r>
          </w:p>
        </w:tc>
      </w:tr>
      <w:tr w:rsidR="00F7624D">
        <w:tc>
          <w:tcPr>
            <w:tcW w:w="2750" w:type="dxa"/>
          </w:tcPr>
          <w:p w:rsidR="00F7624D" w:rsidRDefault="003C5F24">
            <w:pPr>
              <w:spacing w:line="360" w:lineRule="auto"/>
              <w:rPr>
                <w:noProof/>
              </w:rPr>
            </w:pPr>
            <w:r>
              <w:t>článok 36</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32 ods. 1, 2, 3, 4, 5, 6, 7</w:t>
            </w:r>
          </w:p>
        </w:tc>
      </w:tr>
      <w:tr w:rsidR="00F7624D">
        <w:tc>
          <w:tcPr>
            <w:tcW w:w="2750" w:type="dxa"/>
          </w:tcPr>
          <w:p w:rsidR="00F7624D" w:rsidRDefault="003C5F24">
            <w:pPr>
              <w:spacing w:line="360" w:lineRule="auto"/>
              <w:rPr>
                <w:noProof/>
              </w:rPr>
            </w:pPr>
            <w:r>
              <w:t>článok 37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37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39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37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39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37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39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37 ods.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39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38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 ods. 1</w:t>
            </w:r>
          </w:p>
        </w:tc>
      </w:tr>
      <w:tr w:rsidR="00F7624D">
        <w:tc>
          <w:tcPr>
            <w:tcW w:w="2750" w:type="dxa"/>
          </w:tcPr>
          <w:p w:rsidR="00F7624D" w:rsidRDefault="003C5F24">
            <w:pPr>
              <w:spacing w:line="360" w:lineRule="auto"/>
              <w:rPr>
                <w:noProof/>
              </w:rPr>
            </w:pPr>
            <w:r>
              <w:t>článok 38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 ods. 2</w:t>
            </w:r>
          </w:p>
        </w:tc>
      </w:tr>
      <w:tr w:rsidR="00F7624D">
        <w:tc>
          <w:tcPr>
            <w:tcW w:w="2750" w:type="dxa"/>
          </w:tcPr>
          <w:p w:rsidR="00F7624D" w:rsidRDefault="003C5F24">
            <w:pPr>
              <w:spacing w:line="360" w:lineRule="auto"/>
              <w:rPr>
                <w:noProof/>
              </w:rPr>
            </w:pPr>
            <w:r>
              <w:t>článok 38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39</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w:t>
            </w:r>
          </w:p>
        </w:tc>
      </w:tr>
      <w:tr w:rsidR="00F7624D">
        <w:tc>
          <w:tcPr>
            <w:tcW w:w="2750" w:type="dxa"/>
          </w:tcPr>
          <w:p w:rsidR="00F7624D" w:rsidRDefault="003C5F24">
            <w:pPr>
              <w:spacing w:line="360" w:lineRule="auto"/>
              <w:rPr>
                <w:noProof/>
              </w:rPr>
            </w:pPr>
            <w:r>
              <w:t>článok 40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 ods. 1</w:t>
            </w:r>
          </w:p>
        </w:tc>
      </w:tr>
      <w:tr w:rsidR="00F7624D">
        <w:tc>
          <w:tcPr>
            <w:tcW w:w="2750" w:type="dxa"/>
          </w:tcPr>
          <w:p w:rsidR="00F7624D" w:rsidRDefault="003C5F24">
            <w:pPr>
              <w:spacing w:line="360" w:lineRule="auto"/>
              <w:rPr>
                <w:noProof/>
              </w:rPr>
            </w:pPr>
            <w:r>
              <w:t>článok 40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 ods. 2</w:t>
            </w:r>
          </w:p>
        </w:tc>
      </w:tr>
      <w:tr w:rsidR="00F7624D">
        <w:tc>
          <w:tcPr>
            <w:tcW w:w="2750" w:type="dxa"/>
          </w:tcPr>
          <w:p w:rsidR="00F7624D" w:rsidRDefault="003C5F24">
            <w:pPr>
              <w:spacing w:line="360" w:lineRule="auto"/>
              <w:rPr>
                <w:noProof/>
              </w:rPr>
            </w:pPr>
            <w:r>
              <w:t>článok 40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 ods. 3</w:t>
            </w:r>
          </w:p>
        </w:tc>
      </w:tr>
      <w:tr w:rsidR="00F7624D">
        <w:tc>
          <w:tcPr>
            <w:tcW w:w="2750" w:type="dxa"/>
          </w:tcPr>
          <w:p w:rsidR="00F7624D" w:rsidRDefault="003C5F24">
            <w:pPr>
              <w:spacing w:line="360" w:lineRule="auto"/>
              <w:rPr>
                <w:noProof/>
              </w:rPr>
            </w:pPr>
            <w:r>
              <w:t>článok 41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w:t>
            </w:r>
          </w:p>
        </w:tc>
      </w:tr>
      <w:tr w:rsidR="00F7624D">
        <w:tc>
          <w:tcPr>
            <w:tcW w:w="2750" w:type="dxa"/>
          </w:tcPr>
          <w:p w:rsidR="00F7624D" w:rsidRDefault="003C5F24">
            <w:pPr>
              <w:spacing w:line="360" w:lineRule="auto"/>
              <w:rPr>
                <w:noProof/>
              </w:rPr>
            </w:pPr>
            <w:r>
              <w:t>článok 42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10</w:t>
            </w:r>
          </w:p>
        </w:tc>
      </w:tr>
      <w:tr w:rsidR="00F7624D">
        <w:tc>
          <w:tcPr>
            <w:tcW w:w="2750" w:type="dxa"/>
          </w:tcPr>
          <w:p w:rsidR="00F7624D" w:rsidRDefault="003C5F24">
            <w:pPr>
              <w:spacing w:line="360" w:lineRule="auto"/>
              <w:rPr>
                <w:noProof/>
              </w:rPr>
            </w:pPr>
            <w:r>
              <w:t>článok 42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43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11 ods. 1</w:t>
            </w:r>
          </w:p>
        </w:tc>
      </w:tr>
      <w:tr w:rsidR="00F7624D">
        <w:tc>
          <w:tcPr>
            <w:tcW w:w="2750" w:type="dxa"/>
          </w:tcPr>
          <w:p w:rsidR="00F7624D" w:rsidRDefault="003C5F24">
            <w:pPr>
              <w:spacing w:line="360" w:lineRule="auto"/>
              <w:rPr>
                <w:noProof/>
              </w:rPr>
            </w:pPr>
            <w:r>
              <w:t>článok 43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11 ods. 2</w:t>
            </w:r>
          </w:p>
        </w:tc>
      </w:tr>
      <w:tr w:rsidR="00F7624D">
        <w:tc>
          <w:tcPr>
            <w:tcW w:w="2750" w:type="dxa"/>
          </w:tcPr>
          <w:p w:rsidR="00F7624D" w:rsidRDefault="003C5F24">
            <w:pPr>
              <w:spacing w:line="360" w:lineRule="auto"/>
              <w:rPr>
                <w:noProof/>
              </w:rPr>
            </w:pPr>
            <w:r>
              <w:t>článok 44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12 ods. 1</w:t>
            </w:r>
          </w:p>
        </w:tc>
      </w:tr>
      <w:tr w:rsidR="00F7624D">
        <w:tc>
          <w:tcPr>
            <w:tcW w:w="2750" w:type="dxa"/>
          </w:tcPr>
          <w:p w:rsidR="00F7624D" w:rsidRDefault="003C5F24">
            <w:pPr>
              <w:spacing w:line="360" w:lineRule="auto"/>
              <w:rPr>
                <w:noProof/>
              </w:rPr>
            </w:pPr>
            <w:r>
              <w:t>článok 44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12 ods. 2</w:t>
            </w:r>
          </w:p>
        </w:tc>
      </w:tr>
      <w:tr w:rsidR="00F7624D">
        <w:tc>
          <w:tcPr>
            <w:tcW w:w="2750" w:type="dxa"/>
          </w:tcPr>
          <w:p w:rsidR="00F7624D" w:rsidRDefault="003C5F24">
            <w:pPr>
              <w:spacing w:line="360" w:lineRule="auto"/>
              <w:rPr>
                <w:noProof/>
              </w:rPr>
            </w:pPr>
            <w:r>
              <w:t>článok 44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12 ods. 3</w:t>
            </w:r>
          </w:p>
        </w:tc>
      </w:tr>
      <w:tr w:rsidR="00F7624D">
        <w:tc>
          <w:tcPr>
            <w:tcW w:w="2750" w:type="dxa"/>
          </w:tcPr>
          <w:p w:rsidR="00F7624D" w:rsidRDefault="003C5F24">
            <w:pPr>
              <w:spacing w:line="360" w:lineRule="auto"/>
              <w:rPr>
                <w:noProof/>
              </w:rPr>
            </w:pPr>
            <w:r>
              <w:t>článok 45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článok </w:t>
            </w:r>
            <w:r>
              <w:t>13</w:t>
            </w:r>
          </w:p>
        </w:tc>
      </w:tr>
      <w:tr w:rsidR="00F7624D">
        <w:tc>
          <w:tcPr>
            <w:tcW w:w="2750" w:type="dxa"/>
          </w:tcPr>
          <w:p w:rsidR="00F7624D" w:rsidRDefault="003C5F24">
            <w:pPr>
              <w:spacing w:line="360" w:lineRule="auto"/>
              <w:rPr>
                <w:noProof/>
              </w:rPr>
            </w:pPr>
            <w:r>
              <w:t>bod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1</w:t>
            </w:r>
          </w:p>
        </w:tc>
      </w:tr>
      <w:tr w:rsidR="00F7624D">
        <w:tc>
          <w:tcPr>
            <w:tcW w:w="2750" w:type="dxa"/>
          </w:tcPr>
          <w:p w:rsidR="00F7624D" w:rsidRDefault="003C5F24">
            <w:pPr>
              <w:spacing w:line="360" w:lineRule="auto"/>
              <w:rPr>
                <w:noProof/>
              </w:rPr>
            </w:pPr>
            <w:r>
              <w:t>písmeno a)</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a)</w:t>
            </w: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b)</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c)</w:t>
            </w:r>
          </w:p>
        </w:tc>
      </w:tr>
      <w:tr w:rsidR="00F7624D">
        <w:tc>
          <w:tcPr>
            <w:tcW w:w="2750" w:type="dxa"/>
          </w:tcPr>
          <w:p w:rsidR="00F7624D" w:rsidRDefault="003C5F24">
            <w:pPr>
              <w:spacing w:line="360" w:lineRule="auto"/>
              <w:rPr>
                <w:noProof/>
              </w:rPr>
            </w:pPr>
            <w:r>
              <w:t>písmeno c)</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d)</w:t>
            </w:r>
          </w:p>
        </w:tc>
      </w:tr>
      <w:tr w:rsidR="00F7624D">
        <w:tc>
          <w:tcPr>
            <w:tcW w:w="2750" w:type="dxa"/>
          </w:tcPr>
          <w:p w:rsidR="00F7624D" w:rsidRDefault="003C5F24">
            <w:pPr>
              <w:spacing w:line="360" w:lineRule="auto"/>
              <w:rPr>
                <w:noProof/>
              </w:rPr>
            </w:pPr>
            <w:r>
              <w:t>písmeno d)</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e)</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písmená f), g)</w:t>
            </w:r>
          </w:p>
        </w:tc>
      </w:tr>
      <w:tr w:rsidR="00F7624D">
        <w:tc>
          <w:tcPr>
            <w:tcW w:w="2750" w:type="dxa"/>
          </w:tcPr>
          <w:p w:rsidR="00F7624D" w:rsidRDefault="003C5F24">
            <w:pPr>
              <w:spacing w:line="360" w:lineRule="auto"/>
              <w:rPr>
                <w:noProof/>
              </w:rPr>
            </w:pPr>
            <w:r>
              <w:t>bod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2</w:t>
            </w:r>
          </w:p>
        </w:tc>
      </w:tr>
      <w:tr w:rsidR="00F7624D">
        <w:tc>
          <w:tcPr>
            <w:tcW w:w="2750" w:type="dxa"/>
          </w:tcPr>
          <w:p w:rsidR="00F7624D" w:rsidRDefault="003C5F24">
            <w:pPr>
              <w:spacing w:line="360" w:lineRule="auto"/>
              <w:rPr>
                <w:noProof/>
              </w:rPr>
            </w:pPr>
            <w:r>
              <w:t>písmeno a)</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a)</w:t>
            </w: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b)</w:t>
            </w:r>
          </w:p>
        </w:tc>
      </w:tr>
      <w:tr w:rsidR="00F7624D">
        <w:tc>
          <w:tcPr>
            <w:tcW w:w="2750" w:type="dxa"/>
          </w:tcPr>
          <w:p w:rsidR="00F7624D" w:rsidRDefault="003C5F24">
            <w:pPr>
              <w:spacing w:line="360" w:lineRule="auto"/>
              <w:rPr>
                <w:noProof/>
              </w:rPr>
            </w:pPr>
            <w:r>
              <w:t>článok 45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13 ods. 3</w:t>
            </w:r>
          </w:p>
        </w:tc>
      </w:tr>
      <w:tr w:rsidR="00F7624D">
        <w:tc>
          <w:tcPr>
            <w:tcW w:w="2750" w:type="dxa"/>
          </w:tcPr>
          <w:p w:rsidR="00F7624D" w:rsidRDefault="003C5F24">
            <w:pPr>
              <w:spacing w:line="360" w:lineRule="auto"/>
              <w:rPr>
                <w:noProof/>
              </w:rPr>
            </w:pPr>
            <w:r>
              <w:t>článok 46</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14</w:t>
            </w:r>
          </w:p>
        </w:tc>
      </w:tr>
      <w:tr w:rsidR="00F7624D">
        <w:tc>
          <w:tcPr>
            <w:tcW w:w="2750" w:type="dxa"/>
          </w:tcPr>
          <w:p w:rsidR="00F7624D" w:rsidRDefault="003C5F24">
            <w:pPr>
              <w:spacing w:line="360" w:lineRule="auto"/>
              <w:rPr>
                <w:noProof/>
              </w:rPr>
            </w:pPr>
            <w:r>
              <w:t>článok 47</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15</w:t>
            </w:r>
          </w:p>
        </w:tc>
      </w:tr>
      <w:tr w:rsidR="00F7624D">
        <w:tc>
          <w:tcPr>
            <w:tcW w:w="2750" w:type="dxa"/>
          </w:tcPr>
          <w:p w:rsidR="00F7624D" w:rsidRDefault="003C5F24">
            <w:pPr>
              <w:spacing w:line="360" w:lineRule="auto"/>
              <w:rPr>
                <w:noProof/>
              </w:rPr>
            </w:pPr>
            <w:r>
              <w:t>článok 48</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16</w:t>
            </w:r>
          </w:p>
        </w:tc>
      </w:tr>
      <w:tr w:rsidR="00F7624D">
        <w:tc>
          <w:tcPr>
            <w:tcW w:w="2750" w:type="dxa"/>
          </w:tcPr>
          <w:p w:rsidR="00F7624D" w:rsidRDefault="003C5F24">
            <w:pPr>
              <w:spacing w:line="360" w:lineRule="auto"/>
              <w:rPr>
                <w:noProof/>
              </w:rPr>
            </w:pPr>
            <w:r>
              <w:t>článok 49</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17</w:t>
            </w:r>
          </w:p>
        </w:tc>
      </w:tr>
      <w:tr w:rsidR="00F7624D">
        <w:tc>
          <w:tcPr>
            <w:tcW w:w="2750" w:type="dxa"/>
          </w:tcPr>
          <w:p w:rsidR="00F7624D" w:rsidRDefault="003C5F24">
            <w:pPr>
              <w:spacing w:line="360" w:lineRule="auto"/>
              <w:rPr>
                <w:noProof/>
              </w:rPr>
            </w:pPr>
            <w:r>
              <w:t>článok 50</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18</w:t>
            </w:r>
          </w:p>
        </w:tc>
      </w:tr>
      <w:tr w:rsidR="00F7624D">
        <w:tc>
          <w:tcPr>
            <w:tcW w:w="2750" w:type="dxa"/>
          </w:tcPr>
          <w:p w:rsidR="00F7624D" w:rsidRDefault="003C5F24">
            <w:pPr>
              <w:spacing w:line="360" w:lineRule="auto"/>
              <w:rPr>
                <w:noProof/>
              </w:rPr>
            </w:pPr>
            <w:r>
              <w:t>článok 51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19 ods. 1</w:t>
            </w:r>
          </w:p>
        </w:tc>
      </w:tr>
      <w:tr w:rsidR="00F7624D">
        <w:tc>
          <w:tcPr>
            <w:tcW w:w="2750" w:type="dxa"/>
          </w:tcPr>
          <w:p w:rsidR="00F7624D" w:rsidRDefault="003C5F24">
            <w:pPr>
              <w:spacing w:line="360" w:lineRule="auto"/>
              <w:rPr>
                <w:noProof/>
              </w:rPr>
            </w:pPr>
            <w:r>
              <w:t>článok 51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19 ods. 2</w:t>
            </w:r>
          </w:p>
        </w:tc>
      </w:tr>
      <w:tr w:rsidR="00F7624D">
        <w:tc>
          <w:tcPr>
            <w:tcW w:w="2750" w:type="dxa"/>
          </w:tcPr>
          <w:p w:rsidR="00F7624D" w:rsidRDefault="003C5F24">
            <w:pPr>
              <w:spacing w:line="360" w:lineRule="auto"/>
              <w:rPr>
                <w:noProof/>
              </w:rPr>
            </w:pPr>
            <w:r>
              <w:t>článok 51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19 ods. 3</w:t>
            </w:r>
          </w:p>
        </w:tc>
      </w:tr>
      <w:tr w:rsidR="00F7624D">
        <w:tc>
          <w:tcPr>
            <w:tcW w:w="2750" w:type="dxa"/>
          </w:tcPr>
          <w:p w:rsidR="00F7624D" w:rsidRDefault="003C5F24">
            <w:pPr>
              <w:spacing w:line="360" w:lineRule="auto"/>
              <w:rPr>
                <w:noProof/>
              </w:rPr>
            </w:pPr>
            <w:r>
              <w:t xml:space="preserve">článok 52 </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20</w:t>
            </w:r>
          </w:p>
        </w:tc>
      </w:tr>
      <w:tr w:rsidR="00F7624D">
        <w:tc>
          <w:tcPr>
            <w:tcW w:w="2750" w:type="dxa"/>
          </w:tcPr>
          <w:p w:rsidR="00F7624D" w:rsidRDefault="003C5F24">
            <w:pPr>
              <w:spacing w:line="360" w:lineRule="auto"/>
              <w:rPr>
                <w:noProof/>
              </w:rPr>
            </w:pPr>
            <w:r>
              <w:lastRenderedPageBreak/>
              <w:t>bod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 písmeno a)</w:t>
            </w:r>
          </w:p>
        </w:tc>
      </w:tr>
      <w:tr w:rsidR="00F7624D">
        <w:tc>
          <w:tcPr>
            <w:tcW w:w="2750" w:type="dxa"/>
          </w:tcPr>
          <w:p w:rsidR="00F7624D" w:rsidRDefault="003C5F24">
            <w:pPr>
              <w:spacing w:line="360" w:lineRule="auto"/>
              <w:rPr>
                <w:noProof/>
              </w:rPr>
            </w:pPr>
            <w:r>
              <w:t>písmeno a)</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w:t>
            </w: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ii)</w:t>
            </w:r>
          </w:p>
        </w:tc>
      </w:tr>
      <w:tr w:rsidR="00F7624D">
        <w:tc>
          <w:tcPr>
            <w:tcW w:w="2750" w:type="dxa"/>
          </w:tcPr>
          <w:p w:rsidR="00F7624D" w:rsidRDefault="003C5F24">
            <w:pPr>
              <w:spacing w:line="360" w:lineRule="auto"/>
              <w:rPr>
                <w:noProof/>
              </w:rPr>
            </w:pPr>
            <w:r>
              <w:t>bod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b)</w:t>
            </w:r>
          </w:p>
        </w:tc>
      </w:tr>
      <w:tr w:rsidR="00F7624D">
        <w:tc>
          <w:tcPr>
            <w:tcW w:w="2750" w:type="dxa"/>
          </w:tcPr>
          <w:p w:rsidR="00F7624D" w:rsidRDefault="003C5F24">
            <w:pPr>
              <w:spacing w:line="360" w:lineRule="auto"/>
              <w:rPr>
                <w:noProof/>
              </w:rPr>
            </w:pPr>
            <w:r>
              <w:t>písmeno a)</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w:t>
            </w: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ii)</w:t>
            </w:r>
          </w:p>
        </w:tc>
      </w:tr>
      <w:tr w:rsidR="00F7624D">
        <w:tc>
          <w:tcPr>
            <w:tcW w:w="2750" w:type="dxa"/>
          </w:tcPr>
          <w:p w:rsidR="00F7624D" w:rsidRDefault="003C5F24">
            <w:pPr>
              <w:spacing w:line="360" w:lineRule="auto"/>
              <w:rPr>
                <w:noProof/>
              </w:rPr>
            </w:pPr>
            <w:r>
              <w:t>písmeno c)</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iii)</w:t>
            </w:r>
          </w:p>
        </w:tc>
      </w:tr>
      <w:tr w:rsidR="00F7624D">
        <w:tc>
          <w:tcPr>
            <w:tcW w:w="2750" w:type="dxa"/>
          </w:tcPr>
          <w:p w:rsidR="00F7624D" w:rsidRDefault="003C5F24">
            <w:pPr>
              <w:spacing w:line="360" w:lineRule="auto"/>
              <w:rPr>
                <w:noProof/>
              </w:rPr>
            </w:pPr>
            <w:r>
              <w:t>písmeno d)</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iv)</w:t>
            </w:r>
          </w:p>
        </w:tc>
      </w:tr>
      <w:tr w:rsidR="00F7624D">
        <w:tc>
          <w:tcPr>
            <w:tcW w:w="2750" w:type="dxa"/>
          </w:tcPr>
          <w:p w:rsidR="00F7624D" w:rsidRDefault="003C5F24">
            <w:pPr>
              <w:spacing w:line="360" w:lineRule="auto"/>
              <w:rPr>
                <w:noProof/>
              </w:rPr>
            </w:pPr>
            <w:r>
              <w:t>písmeno e)</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v)</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vi)</w:t>
            </w:r>
          </w:p>
        </w:tc>
      </w:tr>
      <w:tr w:rsidR="00F7624D">
        <w:tc>
          <w:tcPr>
            <w:tcW w:w="2750" w:type="dxa"/>
          </w:tcPr>
          <w:p w:rsidR="00F7624D" w:rsidRDefault="003C5F24">
            <w:pPr>
              <w:spacing w:line="360" w:lineRule="auto"/>
              <w:rPr>
                <w:noProof/>
              </w:rPr>
            </w:pPr>
            <w:r>
              <w:t>písmeno f)</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vii)</w:t>
            </w:r>
          </w:p>
        </w:tc>
      </w:tr>
      <w:tr w:rsidR="00F7624D">
        <w:tc>
          <w:tcPr>
            <w:tcW w:w="2750" w:type="dxa"/>
          </w:tcPr>
          <w:p w:rsidR="00F7624D" w:rsidRDefault="003C5F24">
            <w:pPr>
              <w:spacing w:line="360" w:lineRule="auto"/>
              <w:rPr>
                <w:noProof/>
              </w:rPr>
            </w:pPr>
            <w:r>
              <w:t>písmeno g)</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viii)</w:t>
            </w:r>
          </w:p>
        </w:tc>
      </w:tr>
      <w:tr w:rsidR="00F7624D">
        <w:tc>
          <w:tcPr>
            <w:tcW w:w="2750" w:type="dxa"/>
          </w:tcPr>
          <w:p w:rsidR="00F7624D" w:rsidRDefault="003C5F24">
            <w:pPr>
              <w:spacing w:line="360" w:lineRule="auto"/>
              <w:rPr>
                <w:noProof/>
              </w:rPr>
            </w:pPr>
            <w:r>
              <w:t>bod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c)</w:t>
            </w:r>
          </w:p>
        </w:tc>
      </w:tr>
      <w:tr w:rsidR="00F7624D">
        <w:tc>
          <w:tcPr>
            <w:tcW w:w="2750" w:type="dxa"/>
          </w:tcPr>
          <w:p w:rsidR="00F7624D" w:rsidRDefault="003C5F24">
            <w:pPr>
              <w:spacing w:line="360" w:lineRule="auto"/>
              <w:rPr>
                <w:noProof/>
              </w:rPr>
            </w:pPr>
            <w:r>
              <w:t>písmeno a)</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bod ii) </w:t>
            </w:r>
            <w:proofErr w:type="spellStart"/>
            <w:r>
              <w:t>podbody</w:t>
            </w:r>
            <w:proofErr w:type="spellEnd"/>
            <w:r>
              <w:t xml:space="preserve"> 1, 2, 3, 4</w:t>
            </w: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iii)</w:t>
            </w:r>
          </w:p>
        </w:tc>
      </w:tr>
      <w:tr w:rsidR="00F7624D">
        <w:tc>
          <w:tcPr>
            <w:tcW w:w="2750" w:type="dxa"/>
          </w:tcPr>
          <w:p w:rsidR="00F7624D" w:rsidRDefault="003C5F24">
            <w:pPr>
              <w:spacing w:line="360" w:lineRule="auto"/>
              <w:rPr>
                <w:noProof/>
              </w:rPr>
            </w:pPr>
            <w:r>
              <w:t>písmeno c)</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iv)</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v)</w:t>
            </w:r>
          </w:p>
        </w:tc>
      </w:tr>
      <w:tr w:rsidR="00F7624D">
        <w:tc>
          <w:tcPr>
            <w:tcW w:w="2750" w:type="dxa"/>
          </w:tcPr>
          <w:p w:rsidR="00F7624D" w:rsidRDefault="003C5F24">
            <w:pPr>
              <w:spacing w:line="360" w:lineRule="auto"/>
              <w:rPr>
                <w:noProof/>
              </w:rPr>
            </w:pPr>
            <w:r>
              <w:t>bod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d)</w:t>
            </w:r>
          </w:p>
        </w:tc>
      </w:tr>
      <w:tr w:rsidR="00F7624D">
        <w:tc>
          <w:tcPr>
            <w:tcW w:w="2750" w:type="dxa"/>
          </w:tcPr>
          <w:p w:rsidR="00F7624D" w:rsidRDefault="003C5F24">
            <w:pPr>
              <w:spacing w:line="360" w:lineRule="auto"/>
              <w:rPr>
                <w:noProof/>
              </w:rPr>
            </w:pPr>
            <w:r>
              <w:t>písmeno a)</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w:t>
            </w: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ii)</w:t>
            </w:r>
          </w:p>
        </w:tc>
      </w:tr>
      <w:tr w:rsidR="00F7624D">
        <w:tc>
          <w:tcPr>
            <w:tcW w:w="2750" w:type="dxa"/>
          </w:tcPr>
          <w:p w:rsidR="00F7624D" w:rsidRDefault="003C5F24">
            <w:pPr>
              <w:spacing w:line="360" w:lineRule="auto"/>
              <w:rPr>
                <w:noProof/>
              </w:rPr>
            </w:pPr>
            <w:r>
              <w:t>písmeno c)</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iii)</w:t>
            </w:r>
          </w:p>
        </w:tc>
      </w:tr>
      <w:tr w:rsidR="00F7624D">
        <w:tc>
          <w:tcPr>
            <w:tcW w:w="2750" w:type="dxa"/>
          </w:tcPr>
          <w:p w:rsidR="00F7624D" w:rsidRDefault="003C5F24">
            <w:pPr>
              <w:spacing w:line="360" w:lineRule="auto"/>
              <w:rPr>
                <w:noProof/>
              </w:rPr>
            </w:pPr>
            <w:r>
              <w:t>písmeno d)</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iv)</w:t>
            </w:r>
          </w:p>
        </w:tc>
      </w:tr>
      <w:tr w:rsidR="00F7624D">
        <w:tc>
          <w:tcPr>
            <w:tcW w:w="2750" w:type="dxa"/>
          </w:tcPr>
          <w:p w:rsidR="00F7624D" w:rsidRDefault="003C5F24">
            <w:pPr>
              <w:spacing w:line="360" w:lineRule="auto"/>
              <w:rPr>
                <w:noProof/>
              </w:rPr>
            </w:pPr>
            <w:r>
              <w:t>bod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e)</w:t>
            </w:r>
          </w:p>
        </w:tc>
      </w:tr>
      <w:tr w:rsidR="00F7624D">
        <w:tc>
          <w:tcPr>
            <w:tcW w:w="2750" w:type="dxa"/>
          </w:tcPr>
          <w:p w:rsidR="00F7624D" w:rsidRDefault="003C5F24">
            <w:pPr>
              <w:spacing w:line="360" w:lineRule="auto"/>
              <w:rPr>
                <w:noProof/>
              </w:rPr>
            </w:pPr>
            <w:r>
              <w:t xml:space="preserve">písmeno </w:t>
            </w:r>
            <w:r>
              <w:t>a)</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w:t>
            </w: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ii)</w:t>
            </w:r>
          </w:p>
        </w:tc>
      </w:tr>
      <w:tr w:rsidR="00F7624D">
        <w:tc>
          <w:tcPr>
            <w:tcW w:w="2750" w:type="dxa"/>
          </w:tcPr>
          <w:p w:rsidR="00F7624D" w:rsidRDefault="003C5F24">
            <w:pPr>
              <w:spacing w:line="360" w:lineRule="auto"/>
              <w:rPr>
                <w:noProof/>
              </w:rPr>
            </w:pPr>
            <w:r>
              <w:t>písmeno c)</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iii)</w:t>
            </w:r>
          </w:p>
        </w:tc>
      </w:tr>
      <w:tr w:rsidR="00F7624D">
        <w:tc>
          <w:tcPr>
            <w:tcW w:w="2750" w:type="dxa"/>
          </w:tcPr>
          <w:p w:rsidR="00F7624D" w:rsidRDefault="003C5F24">
            <w:pPr>
              <w:spacing w:line="360" w:lineRule="auto"/>
              <w:rPr>
                <w:noProof/>
              </w:rPr>
            </w:pPr>
            <w:r>
              <w:t>písmeno d)</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iv)</w:t>
            </w:r>
          </w:p>
        </w:tc>
      </w:tr>
      <w:tr w:rsidR="00F7624D">
        <w:tc>
          <w:tcPr>
            <w:tcW w:w="2750" w:type="dxa"/>
          </w:tcPr>
          <w:p w:rsidR="00F7624D" w:rsidRDefault="003C5F24">
            <w:pPr>
              <w:spacing w:line="360" w:lineRule="auto"/>
              <w:rPr>
                <w:noProof/>
              </w:rPr>
            </w:pPr>
            <w:r>
              <w:t>písmeno e)</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v), bod vi)</w:t>
            </w:r>
          </w:p>
        </w:tc>
      </w:tr>
      <w:tr w:rsidR="00F7624D">
        <w:tc>
          <w:tcPr>
            <w:tcW w:w="2750" w:type="dxa"/>
          </w:tcPr>
          <w:p w:rsidR="00F7624D" w:rsidRDefault="003C5F24">
            <w:pPr>
              <w:spacing w:line="360" w:lineRule="auto"/>
              <w:rPr>
                <w:noProof/>
              </w:rPr>
            </w:pPr>
            <w:r>
              <w:t>písmeno f)</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vii)</w:t>
            </w:r>
          </w:p>
        </w:tc>
      </w:tr>
      <w:tr w:rsidR="00F7624D">
        <w:tc>
          <w:tcPr>
            <w:tcW w:w="2750" w:type="dxa"/>
          </w:tcPr>
          <w:p w:rsidR="00F7624D" w:rsidRDefault="003C5F24">
            <w:pPr>
              <w:spacing w:line="360" w:lineRule="auto"/>
              <w:rPr>
                <w:noProof/>
              </w:rPr>
            </w:pPr>
            <w:r>
              <w:t>písmeno g)</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viii)</w:t>
            </w:r>
          </w:p>
        </w:tc>
      </w:tr>
      <w:tr w:rsidR="00F7624D">
        <w:tc>
          <w:tcPr>
            <w:tcW w:w="2750" w:type="dxa"/>
          </w:tcPr>
          <w:p w:rsidR="00F7624D" w:rsidRDefault="003C5F24">
            <w:pPr>
              <w:spacing w:line="360" w:lineRule="auto"/>
              <w:rPr>
                <w:noProof/>
              </w:rPr>
            </w:pPr>
            <w:r>
              <w:t>bod 6</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f)</w:t>
            </w:r>
          </w:p>
        </w:tc>
      </w:tr>
      <w:tr w:rsidR="00F7624D">
        <w:tc>
          <w:tcPr>
            <w:tcW w:w="2750" w:type="dxa"/>
          </w:tcPr>
          <w:p w:rsidR="00F7624D" w:rsidRDefault="003C5F24">
            <w:pPr>
              <w:spacing w:line="360" w:lineRule="auto"/>
              <w:rPr>
                <w:noProof/>
              </w:rPr>
            </w:pPr>
            <w:r>
              <w:lastRenderedPageBreak/>
              <w:t>písmeno a)</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w:t>
            </w: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ii)</w:t>
            </w:r>
          </w:p>
        </w:tc>
      </w:tr>
      <w:tr w:rsidR="00F7624D">
        <w:tc>
          <w:tcPr>
            <w:tcW w:w="2750" w:type="dxa"/>
          </w:tcPr>
          <w:p w:rsidR="00F7624D" w:rsidRDefault="003C5F24">
            <w:pPr>
              <w:spacing w:line="360" w:lineRule="auto"/>
              <w:rPr>
                <w:noProof/>
              </w:rPr>
            </w:pPr>
            <w:r>
              <w:t>písmeno c)</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iii)</w:t>
            </w:r>
          </w:p>
        </w:tc>
      </w:tr>
      <w:tr w:rsidR="00F7624D">
        <w:tc>
          <w:tcPr>
            <w:tcW w:w="2750" w:type="dxa"/>
          </w:tcPr>
          <w:p w:rsidR="00F7624D" w:rsidRDefault="003C5F24">
            <w:pPr>
              <w:spacing w:line="360" w:lineRule="auto"/>
              <w:rPr>
                <w:noProof/>
              </w:rPr>
            </w:pPr>
            <w:r>
              <w:t>bod 7</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g)</w:t>
            </w:r>
          </w:p>
        </w:tc>
      </w:tr>
      <w:tr w:rsidR="00F7624D">
        <w:tc>
          <w:tcPr>
            <w:tcW w:w="2750" w:type="dxa"/>
          </w:tcPr>
          <w:p w:rsidR="00F7624D" w:rsidRDefault="003C5F24">
            <w:pPr>
              <w:spacing w:line="360" w:lineRule="auto"/>
              <w:rPr>
                <w:noProof/>
              </w:rPr>
            </w:pPr>
            <w:r>
              <w:t>písmeno a)</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w:t>
            </w:r>
          </w:p>
        </w:tc>
      </w:tr>
      <w:tr w:rsidR="00F7624D">
        <w:tc>
          <w:tcPr>
            <w:tcW w:w="2750" w:type="dxa"/>
          </w:tcPr>
          <w:p w:rsidR="00F7624D" w:rsidRDefault="003C5F24">
            <w:pPr>
              <w:spacing w:line="360" w:lineRule="auto"/>
              <w:rPr>
                <w:noProof/>
              </w:rPr>
            </w:pPr>
            <w:r>
              <w:t>písmeno b)</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bod ii)</w:t>
            </w:r>
          </w:p>
        </w:tc>
      </w:tr>
      <w:tr w:rsidR="00F7624D">
        <w:tc>
          <w:tcPr>
            <w:tcW w:w="2750" w:type="dxa"/>
          </w:tcPr>
          <w:p w:rsidR="00F7624D" w:rsidRDefault="003C5F24">
            <w:pPr>
              <w:spacing w:line="360" w:lineRule="auto"/>
              <w:rPr>
                <w:noProof/>
              </w:rPr>
            </w:pPr>
            <w:r>
              <w:t>článok 53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21</w:t>
            </w:r>
          </w:p>
        </w:tc>
      </w:tr>
      <w:tr w:rsidR="00F7624D">
        <w:tc>
          <w:tcPr>
            <w:tcW w:w="2750" w:type="dxa"/>
          </w:tcPr>
          <w:p w:rsidR="00F7624D" w:rsidRDefault="003C5F24">
            <w:pPr>
              <w:spacing w:line="360" w:lineRule="auto"/>
              <w:rPr>
                <w:noProof/>
              </w:rPr>
            </w:pPr>
            <w:r>
              <w:t>článok 54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22 ods. 1</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22 ods. 2</w:t>
            </w:r>
          </w:p>
        </w:tc>
      </w:tr>
      <w:tr w:rsidR="00F7624D">
        <w:tc>
          <w:tcPr>
            <w:tcW w:w="2750" w:type="dxa"/>
          </w:tcPr>
          <w:p w:rsidR="00F7624D" w:rsidRDefault="003C5F24">
            <w:pPr>
              <w:spacing w:line="360" w:lineRule="auto"/>
              <w:rPr>
                <w:noProof/>
              </w:rPr>
            </w:pPr>
            <w:r>
              <w:t>článok 54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22 ods. 3</w:t>
            </w:r>
          </w:p>
        </w:tc>
      </w:tr>
      <w:tr w:rsidR="00F7624D">
        <w:tc>
          <w:tcPr>
            <w:tcW w:w="2750" w:type="dxa"/>
          </w:tcPr>
          <w:p w:rsidR="00F7624D" w:rsidRDefault="003C5F24">
            <w:pPr>
              <w:spacing w:line="360" w:lineRule="auto"/>
              <w:rPr>
                <w:noProof/>
              </w:rPr>
            </w:pPr>
            <w:r>
              <w:t>článok 54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22 ods. 4</w:t>
            </w:r>
          </w:p>
        </w:tc>
      </w:tr>
      <w:tr w:rsidR="00F7624D">
        <w:tc>
          <w:tcPr>
            <w:tcW w:w="2750" w:type="dxa"/>
          </w:tcPr>
          <w:p w:rsidR="00F7624D" w:rsidRDefault="003C5F24">
            <w:pPr>
              <w:spacing w:line="360" w:lineRule="auto"/>
              <w:rPr>
                <w:noProof/>
              </w:rPr>
            </w:pPr>
            <w:r>
              <w:t>článok 55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23 ods. 1</w:t>
            </w:r>
          </w:p>
        </w:tc>
      </w:tr>
      <w:tr w:rsidR="00F7624D">
        <w:tc>
          <w:tcPr>
            <w:tcW w:w="2750" w:type="dxa"/>
          </w:tcPr>
          <w:p w:rsidR="00F7624D" w:rsidRDefault="003C5F24">
            <w:pPr>
              <w:spacing w:line="360" w:lineRule="auto"/>
              <w:rPr>
                <w:noProof/>
              </w:rPr>
            </w:pPr>
            <w:r>
              <w:t>článok 55</w:t>
            </w:r>
            <w:r>
              <w:t xml:space="preserve">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23 ods. 2</w:t>
            </w:r>
          </w:p>
        </w:tc>
      </w:tr>
      <w:tr w:rsidR="00F7624D">
        <w:tc>
          <w:tcPr>
            <w:tcW w:w="2750" w:type="dxa"/>
          </w:tcPr>
          <w:p w:rsidR="00F7624D" w:rsidRDefault="003C5F24">
            <w:pPr>
              <w:spacing w:line="360" w:lineRule="auto"/>
              <w:rPr>
                <w:noProof/>
              </w:rPr>
            </w:pPr>
            <w:r>
              <w:t>článok 55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23 ods. 3</w:t>
            </w:r>
          </w:p>
        </w:tc>
      </w:tr>
      <w:tr w:rsidR="00F7624D">
        <w:tc>
          <w:tcPr>
            <w:tcW w:w="2750" w:type="dxa"/>
          </w:tcPr>
          <w:p w:rsidR="00F7624D" w:rsidRDefault="003C5F24">
            <w:pPr>
              <w:spacing w:line="360" w:lineRule="auto"/>
              <w:rPr>
                <w:noProof/>
              </w:rPr>
            </w:pPr>
            <w:r>
              <w:t>článok 55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23 ods. 4</w:t>
            </w:r>
          </w:p>
        </w:tc>
      </w:tr>
      <w:tr w:rsidR="00F7624D">
        <w:tc>
          <w:tcPr>
            <w:tcW w:w="2750" w:type="dxa"/>
          </w:tcPr>
          <w:p w:rsidR="00F7624D" w:rsidRDefault="003C5F24">
            <w:pPr>
              <w:spacing w:line="360" w:lineRule="auto"/>
              <w:rPr>
                <w:noProof/>
              </w:rPr>
            </w:pPr>
            <w:r>
              <w:t>článok 55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23 ods. 5</w:t>
            </w:r>
          </w:p>
        </w:tc>
      </w:tr>
      <w:tr w:rsidR="00F7624D">
        <w:tc>
          <w:tcPr>
            <w:tcW w:w="2750" w:type="dxa"/>
          </w:tcPr>
          <w:p w:rsidR="00F7624D" w:rsidRDefault="003C5F24">
            <w:pPr>
              <w:spacing w:line="360" w:lineRule="auto"/>
              <w:rPr>
                <w:noProof/>
              </w:rPr>
            </w:pPr>
            <w:r>
              <w:t>článok 55 ods. 6</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23 ods. 6</w:t>
            </w:r>
          </w:p>
        </w:tc>
      </w:tr>
      <w:tr w:rsidR="00F7624D">
        <w:tc>
          <w:tcPr>
            <w:tcW w:w="2750" w:type="dxa"/>
          </w:tcPr>
          <w:p w:rsidR="00F7624D" w:rsidRDefault="003C5F24">
            <w:pPr>
              <w:spacing w:line="360" w:lineRule="auto"/>
              <w:rPr>
                <w:noProof/>
              </w:rPr>
            </w:pPr>
            <w:r>
              <w:t>článok 56</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24</w:t>
            </w:r>
          </w:p>
        </w:tc>
      </w:tr>
      <w:tr w:rsidR="00F7624D">
        <w:tc>
          <w:tcPr>
            <w:tcW w:w="2750" w:type="dxa"/>
          </w:tcPr>
          <w:p w:rsidR="00F7624D" w:rsidRDefault="003C5F24">
            <w:pPr>
              <w:spacing w:line="360" w:lineRule="auto"/>
              <w:rPr>
                <w:noProof/>
              </w:rPr>
            </w:pPr>
            <w:r>
              <w:t>článok 57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25 ods. 1</w:t>
            </w:r>
          </w:p>
        </w:tc>
      </w:tr>
      <w:tr w:rsidR="00F7624D">
        <w:tc>
          <w:tcPr>
            <w:tcW w:w="2750" w:type="dxa"/>
          </w:tcPr>
          <w:p w:rsidR="00F7624D" w:rsidRDefault="003C5F24">
            <w:pPr>
              <w:spacing w:line="360" w:lineRule="auto"/>
              <w:rPr>
                <w:noProof/>
              </w:rPr>
            </w:pPr>
            <w:r>
              <w:t>článok 57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25 ods. 2</w:t>
            </w:r>
          </w:p>
        </w:tc>
      </w:tr>
      <w:tr w:rsidR="00F7624D">
        <w:tc>
          <w:tcPr>
            <w:tcW w:w="2750" w:type="dxa"/>
          </w:tcPr>
          <w:p w:rsidR="00F7624D" w:rsidRDefault="003C5F24">
            <w:pPr>
              <w:spacing w:line="360" w:lineRule="auto"/>
              <w:rPr>
                <w:noProof/>
              </w:rPr>
            </w:pPr>
            <w:r>
              <w:t>článok 57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25 ods. 3</w:t>
            </w:r>
          </w:p>
        </w:tc>
      </w:tr>
      <w:tr w:rsidR="00F7624D">
        <w:tc>
          <w:tcPr>
            <w:tcW w:w="2750" w:type="dxa"/>
          </w:tcPr>
          <w:p w:rsidR="00F7624D" w:rsidRDefault="003C5F24">
            <w:pPr>
              <w:spacing w:line="360" w:lineRule="auto"/>
              <w:rPr>
                <w:noProof/>
              </w:rPr>
            </w:pPr>
            <w:r>
              <w:t>článok 58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26 ods. 1</w:t>
            </w:r>
          </w:p>
        </w:tc>
      </w:tr>
      <w:tr w:rsidR="00F7624D">
        <w:tc>
          <w:tcPr>
            <w:tcW w:w="2750" w:type="dxa"/>
          </w:tcPr>
          <w:p w:rsidR="00F7624D" w:rsidRDefault="003C5F24">
            <w:pPr>
              <w:spacing w:line="360" w:lineRule="auto"/>
              <w:rPr>
                <w:noProof/>
              </w:rPr>
            </w:pPr>
            <w:r>
              <w:t>článok 58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26 ods. 2</w:t>
            </w:r>
          </w:p>
        </w:tc>
      </w:tr>
      <w:tr w:rsidR="00F7624D">
        <w:tc>
          <w:tcPr>
            <w:tcW w:w="2750" w:type="dxa"/>
          </w:tcPr>
          <w:p w:rsidR="00F7624D" w:rsidRDefault="003C5F24">
            <w:pPr>
              <w:spacing w:line="360" w:lineRule="auto"/>
              <w:rPr>
                <w:noProof/>
              </w:rPr>
            </w:pPr>
            <w:r>
              <w:t>článok 58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26 ods. 3</w:t>
            </w:r>
          </w:p>
        </w:tc>
      </w:tr>
      <w:tr w:rsidR="00F7624D">
        <w:tc>
          <w:tcPr>
            <w:tcW w:w="2750" w:type="dxa"/>
          </w:tcPr>
          <w:p w:rsidR="00F7624D" w:rsidRDefault="003C5F24">
            <w:pPr>
              <w:spacing w:line="360" w:lineRule="auto"/>
              <w:rPr>
                <w:noProof/>
              </w:rPr>
            </w:pPr>
            <w:r>
              <w:t>článok 59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 ods. 1</w:t>
            </w:r>
          </w:p>
        </w:tc>
      </w:tr>
      <w:tr w:rsidR="00F7624D">
        <w:tc>
          <w:tcPr>
            <w:tcW w:w="2750" w:type="dxa"/>
          </w:tcPr>
          <w:p w:rsidR="00F7624D" w:rsidRDefault="003C5F24">
            <w:pPr>
              <w:spacing w:line="360" w:lineRule="auto"/>
              <w:rPr>
                <w:noProof/>
              </w:rPr>
            </w:pPr>
            <w:r>
              <w:t>článok 59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 ods. 2</w:t>
            </w:r>
          </w:p>
        </w:tc>
      </w:tr>
      <w:tr w:rsidR="00F7624D">
        <w:tc>
          <w:tcPr>
            <w:tcW w:w="2750" w:type="dxa"/>
          </w:tcPr>
          <w:p w:rsidR="00F7624D" w:rsidRDefault="003C5F24">
            <w:pPr>
              <w:spacing w:line="360" w:lineRule="auto"/>
              <w:rPr>
                <w:noProof/>
              </w:rPr>
            </w:pPr>
            <w:r>
              <w:t>článok 60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 ods. 1</w:t>
            </w:r>
          </w:p>
        </w:tc>
      </w:tr>
      <w:tr w:rsidR="00F7624D">
        <w:tc>
          <w:tcPr>
            <w:tcW w:w="2750" w:type="dxa"/>
          </w:tcPr>
          <w:p w:rsidR="00F7624D" w:rsidRDefault="003C5F24">
            <w:pPr>
              <w:spacing w:line="360" w:lineRule="auto"/>
              <w:rPr>
                <w:noProof/>
              </w:rPr>
            </w:pPr>
            <w:r>
              <w:t>článok 60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 ods. 2</w:t>
            </w:r>
          </w:p>
        </w:tc>
      </w:tr>
      <w:tr w:rsidR="00F7624D">
        <w:tc>
          <w:tcPr>
            <w:tcW w:w="2750" w:type="dxa"/>
          </w:tcPr>
          <w:p w:rsidR="00F7624D" w:rsidRDefault="003C5F24">
            <w:pPr>
              <w:spacing w:line="360" w:lineRule="auto"/>
              <w:rPr>
                <w:noProof/>
              </w:rPr>
            </w:pPr>
            <w:r>
              <w:t>článok 60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 ods. 3</w:t>
            </w:r>
          </w:p>
        </w:tc>
      </w:tr>
      <w:tr w:rsidR="00F7624D">
        <w:tc>
          <w:tcPr>
            <w:tcW w:w="2750" w:type="dxa"/>
          </w:tcPr>
          <w:p w:rsidR="00F7624D" w:rsidRDefault="003C5F24">
            <w:pPr>
              <w:spacing w:line="360" w:lineRule="auto"/>
              <w:rPr>
                <w:noProof/>
              </w:rPr>
            </w:pPr>
            <w:r>
              <w:t>článok 61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27 ods. 1</w:t>
            </w:r>
          </w:p>
        </w:tc>
      </w:tr>
      <w:tr w:rsidR="00F7624D">
        <w:tc>
          <w:tcPr>
            <w:tcW w:w="2750" w:type="dxa"/>
          </w:tcPr>
          <w:p w:rsidR="00F7624D" w:rsidRDefault="003C5F24">
            <w:pPr>
              <w:spacing w:line="360" w:lineRule="auto"/>
              <w:rPr>
                <w:noProof/>
              </w:rPr>
            </w:pPr>
            <w:r>
              <w:t>článok 61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27 ods. 2</w:t>
            </w:r>
          </w:p>
        </w:tc>
      </w:tr>
      <w:tr w:rsidR="00F7624D">
        <w:tc>
          <w:tcPr>
            <w:tcW w:w="2750" w:type="dxa"/>
          </w:tcPr>
          <w:p w:rsidR="00F7624D" w:rsidRDefault="003C5F24">
            <w:pPr>
              <w:spacing w:line="360" w:lineRule="auto"/>
              <w:rPr>
                <w:noProof/>
              </w:rPr>
            </w:pPr>
            <w:r>
              <w:t>článok 61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27 ods. 3</w:t>
            </w:r>
          </w:p>
        </w:tc>
      </w:tr>
      <w:tr w:rsidR="00F7624D">
        <w:tc>
          <w:tcPr>
            <w:tcW w:w="2750" w:type="dxa"/>
          </w:tcPr>
          <w:p w:rsidR="00F7624D" w:rsidRDefault="003C5F24">
            <w:pPr>
              <w:spacing w:line="360" w:lineRule="auto"/>
              <w:rPr>
                <w:noProof/>
              </w:rPr>
            </w:pPr>
            <w:r>
              <w:t>článok 61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lastRenderedPageBreak/>
              <w:t>článok 62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článok 28 </w:t>
            </w:r>
            <w:r>
              <w:t>ods. 1</w:t>
            </w:r>
          </w:p>
        </w:tc>
      </w:tr>
      <w:tr w:rsidR="00F7624D">
        <w:tc>
          <w:tcPr>
            <w:tcW w:w="2750" w:type="dxa"/>
          </w:tcPr>
          <w:p w:rsidR="00F7624D" w:rsidRDefault="003C5F24">
            <w:pPr>
              <w:spacing w:line="360" w:lineRule="auto"/>
              <w:rPr>
                <w:noProof/>
              </w:rPr>
            </w:pPr>
            <w:r>
              <w:t>článok 62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28 ods. 2</w:t>
            </w:r>
          </w:p>
        </w:tc>
      </w:tr>
      <w:tr w:rsidR="00F7624D">
        <w:tc>
          <w:tcPr>
            <w:tcW w:w="2750" w:type="dxa"/>
          </w:tcPr>
          <w:p w:rsidR="00F7624D" w:rsidRDefault="003C5F24">
            <w:pPr>
              <w:spacing w:line="360" w:lineRule="auto"/>
              <w:rPr>
                <w:noProof/>
              </w:rPr>
            </w:pPr>
            <w:r>
              <w:t>článok 62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28 ods. 5</w:t>
            </w:r>
          </w:p>
        </w:tc>
      </w:tr>
      <w:tr w:rsidR="00F7624D">
        <w:tc>
          <w:tcPr>
            <w:tcW w:w="2750" w:type="dxa"/>
          </w:tcPr>
          <w:p w:rsidR="00F7624D" w:rsidRDefault="003C5F24">
            <w:pPr>
              <w:spacing w:line="360" w:lineRule="auto"/>
              <w:rPr>
                <w:noProof/>
              </w:rPr>
            </w:pPr>
            <w:r>
              <w:t>článok 62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28 ods. 3</w:t>
            </w:r>
          </w:p>
        </w:tc>
      </w:tr>
      <w:tr w:rsidR="00F7624D">
        <w:tc>
          <w:tcPr>
            <w:tcW w:w="2750" w:type="dxa"/>
          </w:tcPr>
          <w:p w:rsidR="00F7624D" w:rsidRDefault="003C5F24">
            <w:pPr>
              <w:spacing w:line="360" w:lineRule="auto"/>
              <w:rPr>
                <w:noProof/>
              </w:rPr>
            </w:pPr>
            <w:r>
              <w:t>článok 62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28 ods. 4</w:t>
            </w:r>
          </w:p>
        </w:tc>
      </w:tr>
      <w:tr w:rsidR="00F7624D">
        <w:tc>
          <w:tcPr>
            <w:tcW w:w="2750" w:type="dxa"/>
          </w:tcPr>
          <w:p w:rsidR="00F7624D" w:rsidRDefault="003C5F24">
            <w:pPr>
              <w:spacing w:line="360" w:lineRule="auto"/>
              <w:rPr>
                <w:noProof/>
              </w:rPr>
            </w:pPr>
            <w:r>
              <w:t>článok 63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29 ods. 1</w:t>
            </w:r>
          </w:p>
        </w:tc>
      </w:tr>
      <w:tr w:rsidR="00F7624D">
        <w:tc>
          <w:tcPr>
            <w:tcW w:w="2750" w:type="dxa"/>
          </w:tcPr>
          <w:p w:rsidR="00F7624D" w:rsidRDefault="003C5F24">
            <w:pPr>
              <w:spacing w:line="360" w:lineRule="auto"/>
              <w:rPr>
                <w:noProof/>
              </w:rPr>
            </w:pPr>
            <w:r>
              <w:t>článok 63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shd w:val="clear" w:color="auto" w:fill="auto"/>
          </w:tcPr>
          <w:p w:rsidR="00F7624D" w:rsidRDefault="003C5F24">
            <w:pPr>
              <w:spacing w:line="360" w:lineRule="auto"/>
              <w:rPr>
                <w:noProof/>
              </w:rPr>
            </w:pPr>
            <w:r>
              <w:t>článok 63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29 ods. 2</w:t>
            </w:r>
          </w:p>
        </w:tc>
      </w:tr>
      <w:tr w:rsidR="00F7624D">
        <w:tc>
          <w:tcPr>
            <w:tcW w:w="2750" w:type="dxa"/>
            <w:shd w:val="clear" w:color="auto" w:fill="auto"/>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29 ods. 3</w:t>
            </w:r>
          </w:p>
        </w:tc>
      </w:tr>
      <w:tr w:rsidR="00F7624D">
        <w:tc>
          <w:tcPr>
            <w:tcW w:w="2750" w:type="dxa"/>
          </w:tcPr>
          <w:p w:rsidR="00F7624D" w:rsidRDefault="003C5F24">
            <w:pPr>
              <w:spacing w:line="360" w:lineRule="auto"/>
              <w:rPr>
                <w:noProof/>
              </w:rPr>
            </w:pPr>
            <w:r>
              <w:t>článok 64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49 ods. 1</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49 ods. 2</w:t>
            </w:r>
          </w:p>
        </w:tc>
      </w:tr>
      <w:tr w:rsidR="00F7624D">
        <w:tc>
          <w:tcPr>
            <w:tcW w:w="2750" w:type="dxa"/>
          </w:tcPr>
          <w:p w:rsidR="00F7624D" w:rsidRDefault="003C5F24">
            <w:pPr>
              <w:spacing w:line="360" w:lineRule="auto"/>
              <w:rPr>
                <w:noProof/>
              </w:rPr>
            </w:pPr>
            <w:r>
              <w:t>článok 64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49 ods. 3, článok 49 ods. 5</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49 ods. 4</w:t>
            </w:r>
          </w:p>
        </w:tc>
      </w:tr>
      <w:tr w:rsidR="00F7624D">
        <w:tc>
          <w:tcPr>
            <w:tcW w:w="2750" w:type="dxa"/>
          </w:tcPr>
          <w:p w:rsidR="00F7624D" w:rsidRDefault="003C5F24">
            <w:pPr>
              <w:spacing w:line="360" w:lineRule="auto"/>
              <w:rPr>
                <w:noProof/>
              </w:rPr>
            </w:pPr>
            <w:r>
              <w:t>článok 64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49 ods. 7</w:t>
            </w:r>
          </w:p>
        </w:tc>
      </w:tr>
      <w:tr w:rsidR="00F7624D">
        <w:tc>
          <w:tcPr>
            <w:tcW w:w="2750" w:type="dxa"/>
          </w:tcPr>
          <w:p w:rsidR="00F7624D" w:rsidRDefault="003C5F24">
            <w:pPr>
              <w:spacing w:line="360" w:lineRule="auto"/>
              <w:rPr>
                <w:noProof/>
              </w:rPr>
            </w:pPr>
            <w:r>
              <w:t>článok 64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49 ods. 6</w:t>
            </w:r>
          </w:p>
        </w:tc>
      </w:tr>
      <w:tr w:rsidR="00F7624D">
        <w:tc>
          <w:tcPr>
            <w:tcW w:w="2750" w:type="dxa"/>
          </w:tcPr>
          <w:p w:rsidR="00F7624D" w:rsidRDefault="003C5F24">
            <w:pPr>
              <w:spacing w:line="360" w:lineRule="auto"/>
              <w:rPr>
                <w:noProof/>
              </w:rPr>
            </w:pPr>
            <w:r>
              <w:t>článok 65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65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65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65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65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65 ods. 6</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66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33 ods. 1</w:t>
            </w:r>
          </w:p>
        </w:tc>
      </w:tr>
      <w:tr w:rsidR="00F7624D">
        <w:tc>
          <w:tcPr>
            <w:tcW w:w="2750" w:type="dxa"/>
          </w:tcPr>
          <w:p w:rsidR="00F7624D" w:rsidRDefault="003C5F24">
            <w:pPr>
              <w:spacing w:line="360" w:lineRule="auto"/>
              <w:rPr>
                <w:noProof/>
              </w:rPr>
            </w:pPr>
            <w:r>
              <w:t>článok 66 ods. 2 a článok 66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40</w:t>
            </w:r>
          </w:p>
        </w:tc>
      </w:tr>
      <w:tr w:rsidR="00F7624D">
        <w:tc>
          <w:tcPr>
            <w:tcW w:w="2750" w:type="dxa"/>
          </w:tcPr>
          <w:p w:rsidR="00F7624D" w:rsidRDefault="003C5F24">
            <w:pPr>
              <w:spacing w:line="360" w:lineRule="auto"/>
              <w:rPr>
                <w:noProof/>
              </w:rPr>
            </w:pPr>
            <w:r>
              <w:t>článok 66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46 ods. 2</w:t>
            </w:r>
          </w:p>
        </w:tc>
      </w:tr>
      <w:tr w:rsidR="00F7624D">
        <w:tc>
          <w:tcPr>
            <w:tcW w:w="2750" w:type="dxa"/>
          </w:tcPr>
          <w:p w:rsidR="00F7624D" w:rsidRDefault="003C5F24">
            <w:pPr>
              <w:spacing w:line="360" w:lineRule="auto"/>
              <w:rPr>
                <w:noProof/>
              </w:rPr>
            </w:pPr>
            <w:r>
              <w:t>článok 66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34 ods. 1, článok 34 ods. 2</w:t>
            </w:r>
          </w:p>
        </w:tc>
      </w:tr>
      <w:tr w:rsidR="00F7624D">
        <w:tc>
          <w:tcPr>
            <w:tcW w:w="2750" w:type="dxa"/>
          </w:tcPr>
          <w:p w:rsidR="00F7624D" w:rsidRDefault="003C5F24">
            <w:pPr>
              <w:spacing w:line="360" w:lineRule="auto"/>
              <w:rPr>
                <w:noProof/>
              </w:rPr>
            </w:pPr>
            <w:r>
              <w:t>článok 67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33 ods. 2</w:t>
            </w:r>
          </w:p>
        </w:tc>
      </w:tr>
      <w:tr w:rsidR="00F7624D">
        <w:tc>
          <w:tcPr>
            <w:tcW w:w="2750" w:type="dxa"/>
          </w:tcPr>
          <w:p w:rsidR="00F7624D" w:rsidRDefault="003C5F24">
            <w:pPr>
              <w:spacing w:line="360" w:lineRule="auto"/>
              <w:rPr>
                <w:noProof/>
              </w:rPr>
            </w:pPr>
            <w:r>
              <w:t>článok 67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47 ods. 1</w:t>
            </w:r>
          </w:p>
        </w:tc>
      </w:tr>
      <w:tr w:rsidR="00F7624D">
        <w:tc>
          <w:tcPr>
            <w:tcW w:w="2750" w:type="dxa"/>
          </w:tcPr>
          <w:p w:rsidR="00F7624D" w:rsidRDefault="003C5F24">
            <w:pPr>
              <w:spacing w:line="360" w:lineRule="auto"/>
              <w:rPr>
                <w:noProof/>
              </w:rPr>
            </w:pPr>
            <w:r>
              <w:t>článok 67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41 ods. 1</w:t>
            </w:r>
          </w:p>
        </w:tc>
      </w:tr>
      <w:tr w:rsidR="00F7624D">
        <w:tc>
          <w:tcPr>
            <w:tcW w:w="2750" w:type="dxa"/>
          </w:tcPr>
          <w:p w:rsidR="00F7624D" w:rsidRDefault="003C5F24">
            <w:pPr>
              <w:spacing w:line="360" w:lineRule="auto"/>
              <w:rPr>
                <w:noProof/>
              </w:rPr>
            </w:pPr>
            <w:r>
              <w:t>článok 67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34 ods. 1, článok 34 ods. 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články 35 až 39</w:t>
            </w:r>
          </w:p>
        </w:tc>
      </w:tr>
      <w:tr w:rsidR="00F7624D">
        <w:tc>
          <w:tcPr>
            <w:tcW w:w="2750" w:type="dxa"/>
          </w:tcPr>
          <w:p w:rsidR="00F7624D" w:rsidRDefault="003C5F24">
            <w:pPr>
              <w:spacing w:line="360" w:lineRule="auto"/>
              <w:rPr>
                <w:noProof/>
              </w:rPr>
            </w:pPr>
            <w:r>
              <w:t>článok 68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článok 51 ods. </w:t>
            </w:r>
            <w:r>
              <w:t>1</w:t>
            </w:r>
          </w:p>
        </w:tc>
      </w:tr>
      <w:tr w:rsidR="00F7624D">
        <w:tc>
          <w:tcPr>
            <w:tcW w:w="2750" w:type="dxa"/>
          </w:tcPr>
          <w:p w:rsidR="00F7624D" w:rsidRDefault="003C5F24">
            <w:pPr>
              <w:spacing w:line="360" w:lineRule="auto"/>
              <w:rPr>
                <w:noProof/>
              </w:rPr>
            </w:pPr>
            <w:r>
              <w:t>článok 68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51 ods. 2</w:t>
            </w:r>
          </w:p>
        </w:tc>
      </w:tr>
      <w:tr w:rsidR="00F7624D">
        <w:tc>
          <w:tcPr>
            <w:tcW w:w="2750" w:type="dxa"/>
          </w:tcPr>
          <w:p w:rsidR="00F7624D" w:rsidRDefault="003C5F24">
            <w:pPr>
              <w:spacing w:line="360" w:lineRule="auto"/>
              <w:rPr>
                <w:noProof/>
              </w:rPr>
            </w:pPr>
            <w:r>
              <w:t>článok 68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51 ods. 3</w:t>
            </w:r>
          </w:p>
        </w:tc>
      </w:tr>
      <w:tr w:rsidR="00F7624D">
        <w:tc>
          <w:tcPr>
            <w:tcW w:w="2750" w:type="dxa"/>
          </w:tcPr>
          <w:p w:rsidR="00F7624D" w:rsidRDefault="003C5F24">
            <w:pPr>
              <w:spacing w:line="360" w:lineRule="auto"/>
              <w:rPr>
                <w:noProof/>
              </w:rPr>
            </w:pPr>
            <w:r>
              <w:t>článok 68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51 ods. 4</w:t>
            </w:r>
          </w:p>
        </w:tc>
      </w:tr>
      <w:tr w:rsidR="00F7624D">
        <w:tc>
          <w:tcPr>
            <w:tcW w:w="2750" w:type="dxa"/>
          </w:tcPr>
          <w:p w:rsidR="00F7624D" w:rsidRDefault="003C5F24">
            <w:pPr>
              <w:spacing w:line="360" w:lineRule="auto"/>
              <w:rPr>
                <w:noProof/>
              </w:rPr>
            </w:pPr>
            <w:r>
              <w:t>článok 68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42 ods. 1</w:t>
            </w:r>
          </w:p>
        </w:tc>
      </w:tr>
      <w:tr w:rsidR="00F7624D">
        <w:tc>
          <w:tcPr>
            <w:tcW w:w="2750" w:type="dxa"/>
          </w:tcPr>
          <w:p w:rsidR="00F7624D" w:rsidRDefault="003C5F24">
            <w:pPr>
              <w:spacing w:line="360" w:lineRule="auto"/>
              <w:rPr>
                <w:noProof/>
              </w:rPr>
            </w:pPr>
            <w:r>
              <w:t>článok 68 ods. 6</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42 ods. 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43 ods. 1, 2, 3, 4</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44 ods. 1, 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článok 45 </w:t>
            </w:r>
            <w:r>
              <w:t>ods. 1, 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46 ods. 1</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47 ods. 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48 ods. 1, 2, 3, 4 a 5</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50 ods. 1, 2, 3, 4, 5, 6, 7, 8, 9</w:t>
            </w:r>
          </w:p>
        </w:tc>
      </w:tr>
      <w:tr w:rsidR="00F7624D">
        <w:tc>
          <w:tcPr>
            <w:tcW w:w="2750" w:type="dxa"/>
          </w:tcPr>
          <w:p w:rsidR="00F7624D" w:rsidRDefault="003C5F24">
            <w:pPr>
              <w:spacing w:line="360" w:lineRule="auto"/>
              <w:rPr>
                <w:noProof/>
              </w:rPr>
            </w:pPr>
            <w:r>
              <w:t>článok 69 ods. 1, článok 69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52</w:t>
            </w:r>
          </w:p>
        </w:tc>
      </w:tr>
      <w:tr w:rsidR="00F7624D">
        <w:tc>
          <w:tcPr>
            <w:tcW w:w="2750" w:type="dxa"/>
          </w:tcPr>
          <w:p w:rsidR="00F7624D" w:rsidRDefault="003C5F24">
            <w:pPr>
              <w:spacing w:line="360" w:lineRule="auto"/>
              <w:rPr>
                <w:noProof/>
              </w:rPr>
            </w:pPr>
            <w:r>
              <w:t>článok 70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53 ods. 1</w:t>
            </w:r>
          </w:p>
        </w:tc>
      </w:tr>
      <w:tr w:rsidR="00F7624D">
        <w:tc>
          <w:tcPr>
            <w:tcW w:w="2750" w:type="dxa"/>
          </w:tcPr>
          <w:p w:rsidR="00F7624D" w:rsidRDefault="003C5F24">
            <w:pPr>
              <w:spacing w:line="360" w:lineRule="auto"/>
              <w:rPr>
                <w:noProof/>
              </w:rPr>
            </w:pPr>
            <w:r>
              <w:t>článok 70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53 ods. 2</w:t>
            </w:r>
          </w:p>
        </w:tc>
      </w:tr>
      <w:tr w:rsidR="00F7624D">
        <w:tc>
          <w:tcPr>
            <w:tcW w:w="2750" w:type="dxa"/>
          </w:tcPr>
          <w:p w:rsidR="00F7624D" w:rsidRDefault="003C5F24">
            <w:pPr>
              <w:spacing w:line="360" w:lineRule="auto"/>
              <w:rPr>
                <w:noProof/>
              </w:rPr>
            </w:pPr>
            <w:r>
              <w:t>článok 71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54 ods. 1</w:t>
            </w:r>
          </w:p>
        </w:tc>
      </w:tr>
      <w:tr w:rsidR="00F7624D">
        <w:tc>
          <w:tcPr>
            <w:tcW w:w="2750" w:type="dxa"/>
          </w:tcPr>
          <w:p w:rsidR="00F7624D" w:rsidRDefault="003C5F24">
            <w:pPr>
              <w:spacing w:line="360" w:lineRule="auto"/>
              <w:rPr>
                <w:noProof/>
              </w:rPr>
            </w:pPr>
            <w:r>
              <w:t>článok 71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54 ods. 2</w:t>
            </w:r>
          </w:p>
        </w:tc>
      </w:tr>
      <w:tr w:rsidR="00F7624D">
        <w:tc>
          <w:tcPr>
            <w:tcW w:w="2750" w:type="dxa"/>
          </w:tcPr>
          <w:p w:rsidR="00F7624D" w:rsidRDefault="003C5F24">
            <w:pPr>
              <w:spacing w:line="360" w:lineRule="auto"/>
              <w:rPr>
                <w:noProof/>
              </w:rPr>
            </w:pPr>
            <w:r>
              <w:t>článok 72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55 ods. 1</w:t>
            </w:r>
          </w:p>
        </w:tc>
      </w:tr>
      <w:tr w:rsidR="00F7624D">
        <w:tc>
          <w:tcPr>
            <w:tcW w:w="2750" w:type="dxa"/>
          </w:tcPr>
          <w:p w:rsidR="00F7624D" w:rsidRDefault="003C5F24">
            <w:pPr>
              <w:spacing w:line="360" w:lineRule="auto"/>
              <w:rPr>
                <w:noProof/>
              </w:rPr>
            </w:pPr>
            <w:r>
              <w:t>článok 72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55 ods. 2</w:t>
            </w:r>
          </w:p>
        </w:tc>
      </w:tr>
      <w:tr w:rsidR="00F7624D">
        <w:tc>
          <w:tcPr>
            <w:tcW w:w="2750" w:type="dxa"/>
          </w:tcPr>
          <w:p w:rsidR="00F7624D" w:rsidRDefault="003C5F24">
            <w:pPr>
              <w:spacing w:line="360" w:lineRule="auto"/>
              <w:rPr>
                <w:noProof/>
              </w:rPr>
            </w:pPr>
            <w:r>
              <w:t>článok 73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56 ods. 1, článok 56 ods. 3</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56 ods. 2</w:t>
            </w:r>
          </w:p>
        </w:tc>
      </w:tr>
      <w:tr w:rsidR="00F7624D">
        <w:tc>
          <w:tcPr>
            <w:tcW w:w="2750" w:type="dxa"/>
          </w:tcPr>
          <w:p w:rsidR="00F7624D" w:rsidRDefault="003C5F24">
            <w:pPr>
              <w:spacing w:line="360" w:lineRule="auto"/>
              <w:rPr>
                <w:noProof/>
              </w:rPr>
            </w:pPr>
            <w:r>
              <w:t>článok 73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článok 56 </w:t>
            </w:r>
            <w:r>
              <w:t>ods. 4</w:t>
            </w:r>
          </w:p>
        </w:tc>
      </w:tr>
      <w:tr w:rsidR="00F7624D">
        <w:tc>
          <w:tcPr>
            <w:tcW w:w="2750" w:type="dxa"/>
          </w:tcPr>
          <w:p w:rsidR="00F7624D" w:rsidRDefault="003C5F24">
            <w:pPr>
              <w:spacing w:line="360" w:lineRule="auto"/>
              <w:rPr>
                <w:noProof/>
              </w:rPr>
            </w:pPr>
            <w:r>
              <w:t>článok 73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56 ods. 5</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57 ods. 1, 2, 3, 4, 5, 6</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58</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59 ods. 1, 2, 3, 4 a 5</w:t>
            </w:r>
          </w:p>
        </w:tc>
      </w:tr>
      <w:tr w:rsidR="00F7624D">
        <w:tc>
          <w:tcPr>
            <w:tcW w:w="2750" w:type="dxa"/>
          </w:tcPr>
          <w:p w:rsidR="00F7624D" w:rsidRDefault="003C5F24">
            <w:pPr>
              <w:spacing w:line="360" w:lineRule="auto"/>
              <w:rPr>
                <w:noProof/>
              </w:rPr>
            </w:pPr>
            <w:r>
              <w:t>článok 74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60 ods. 1</w:t>
            </w:r>
          </w:p>
        </w:tc>
      </w:tr>
      <w:tr w:rsidR="00F7624D">
        <w:tc>
          <w:tcPr>
            <w:tcW w:w="2750" w:type="dxa"/>
          </w:tcPr>
          <w:p w:rsidR="00F7624D" w:rsidRDefault="003C5F24">
            <w:pPr>
              <w:spacing w:line="360" w:lineRule="auto"/>
              <w:rPr>
                <w:noProof/>
              </w:rPr>
            </w:pPr>
            <w:r>
              <w:t>článok 74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60 ods. 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60 ods. 3</w:t>
            </w:r>
          </w:p>
        </w:tc>
      </w:tr>
      <w:tr w:rsidR="00F7624D">
        <w:tc>
          <w:tcPr>
            <w:tcW w:w="2750" w:type="dxa"/>
          </w:tcPr>
          <w:p w:rsidR="00F7624D" w:rsidRDefault="003C5F24">
            <w:pPr>
              <w:spacing w:line="360" w:lineRule="auto"/>
              <w:rPr>
                <w:noProof/>
              </w:rPr>
            </w:pPr>
            <w:r>
              <w:t>článok 74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článok 60 </w:t>
            </w:r>
            <w:r>
              <w:t>ods. 4</w:t>
            </w:r>
          </w:p>
        </w:tc>
      </w:tr>
      <w:tr w:rsidR="00F7624D">
        <w:tc>
          <w:tcPr>
            <w:tcW w:w="2750" w:type="dxa"/>
          </w:tcPr>
          <w:p w:rsidR="00F7624D" w:rsidRDefault="003C5F24">
            <w:pPr>
              <w:spacing w:line="360" w:lineRule="auto"/>
              <w:rPr>
                <w:noProof/>
              </w:rPr>
            </w:pPr>
            <w:r>
              <w:t>článok 75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61 ods. 1</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61 ods. 2</w:t>
            </w:r>
          </w:p>
        </w:tc>
      </w:tr>
      <w:tr w:rsidR="00F7624D">
        <w:tc>
          <w:tcPr>
            <w:tcW w:w="2750" w:type="dxa"/>
          </w:tcPr>
          <w:p w:rsidR="00F7624D" w:rsidRDefault="003C5F24">
            <w:pPr>
              <w:spacing w:line="360" w:lineRule="auto"/>
              <w:rPr>
                <w:noProof/>
              </w:rPr>
            </w:pPr>
            <w:r>
              <w:t>článok 75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61 ods. 3</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61 ods. 4</w:t>
            </w:r>
          </w:p>
        </w:tc>
      </w:tr>
      <w:tr w:rsidR="00F7624D">
        <w:tc>
          <w:tcPr>
            <w:tcW w:w="2750" w:type="dxa"/>
          </w:tcPr>
          <w:p w:rsidR="00F7624D" w:rsidRDefault="003C5F24">
            <w:pPr>
              <w:spacing w:line="360" w:lineRule="auto"/>
              <w:rPr>
                <w:noProof/>
              </w:rPr>
            </w:pPr>
            <w:r>
              <w:t>článok 76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62 ods. 1</w:t>
            </w:r>
          </w:p>
        </w:tc>
      </w:tr>
      <w:tr w:rsidR="00F7624D">
        <w:tc>
          <w:tcPr>
            <w:tcW w:w="2750" w:type="dxa"/>
          </w:tcPr>
          <w:p w:rsidR="00F7624D" w:rsidRDefault="003C5F24">
            <w:pPr>
              <w:spacing w:line="360" w:lineRule="auto"/>
              <w:rPr>
                <w:noProof/>
              </w:rPr>
            </w:pPr>
            <w:r>
              <w:t>článok 76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62 ods. 2</w:t>
            </w:r>
          </w:p>
        </w:tc>
      </w:tr>
      <w:tr w:rsidR="00F7624D">
        <w:tc>
          <w:tcPr>
            <w:tcW w:w="2750" w:type="dxa"/>
          </w:tcPr>
          <w:p w:rsidR="00F7624D" w:rsidRDefault="003C5F24">
            <w:pPr>
              <w:spacing w:line="360" w:lineRule="auto"/>
              <w:rPr>
                <w:noProof/>
              </w:rPr>
            </w:pPr>
            <w:r>
              <w:t>článok 76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62 ods. 3</w:t>
            </w:r>
          </w:p>
        </w:tc>
      </w:tr>
      <w:tr w:rsidR="00F7624D">
        <w:tc>
          <w:tcPr>
            <w:tcW w:w="2750" w:type="dxa"/>
          </w:tcPr>
          <w:p w:rsidR="00F7624D" w:rsidRDefault="003C5F24">
            <w:pPr>
              <w:spacing w:line="360" w:lineRule="auto"/>
              <w:rPr>
                <w:noProof/>
              </w:rPr>
            </w:pPr>
            <w:r>
              <w:t>článok 76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62 ods. 4</w:t>
            </w:r>
          </w:p>
        </w:tc>
      </w:tr>
      <w:tr w:rsidR="00F7624D">
        <w:tc>
          <w:tcPr>
            <w:tcW w:w="2750" w:type="dxa"/>
          </w:tcPr>
          <w:p w:rsidR="00F7624D" w:rsidRDefault="003C5F24">
            <w:pPr>
              <w:spacing w:line="360" w:lineRule="auto"/>
              <w:rPr>
                <w:noProof/>
              </w:rPr>
            </w:pPr>
            <w:r>
              <w:t>článok 77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63 ods. 1</w:t>
            </w:r>
          </w:p>
        </w:tc>
      </w:tr>
      <w:tr w:rsidR="00F7624D">
        <w:tc>
          <w:tcPr>
            <w:tcW w:w="2750" w:type="dxa"/>
          </w:tcPr>
          <w:p w:rsidR="00F7624D" w:rsidRDefault="003C5F24">
            <w:pPr>
              <w:spacing w:line="360" w:lineRule="auto"/>
              <w:rPr>
                <w:noProof/>
              </w:rPr>
            </w:pPr>
            <w:r>
              <w:t>článok 77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63 ods. 2</w:t>
            </w:r>
          </w:p>
        </w:tc>
      </w:tr>
      <w:tr w:rsidR="00F7624D">
        <w:tc>
          <w:tcPr>
            <w:tcW w:w="2750" w:type="dxa"/>
          </w:tcPr>
          <w:p w:rsidR="00F7624D" w:rsidRDefault="003C5F24">
            <w:pPr>
              <w:spacing w:line="360" w:lineRule="auto"/>
              <w:rPr>
                <w:noProof/>
              </w:rPr>
            </w:pPr>
            <w:r>
              <w:t>článok 78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64 ods. 1</w:t>
            </w:r>
          </w:p>
        </w:tc>
      </w:tr>
      <w:tr w:rsidR="00F7624D">
        <w:tc>
          <w:tcPr>
            <w:tcW w:w="2750" w:type="dxa"/>
          </w:tcPr>
          <w:p w:rsidR="00F7624D" w:rsidRDefault="003C5F24">
            <w:pPr>
              <w:spacing w:line="360" w:lineRule="auto"/>
              <w:rPr>
                <w:noProof/>
              </w:rPr>
            </w:pPr>
            <w:r>
              <w:t>článok 78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64 ods. 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66 ods. 3</w:t>
            </w:r>
          </w:p>
        </w:tc>
      </w:tr>
      <w:tr w:rsidR="00F7624D">
        <w:tc>
          <w:tcPr>
            <w:tcW w:w="2750" w:type="dxa"/>
          </w:tcPr>
          <w:p w:rsidR="00F7624D" w:rsidRDefault="003C5F24">
            <w:pPr>
              <w:spacing w:line="360" w:lineRule="auto"/>
              <w:rPr>
                <w:noProof/>
              </w:rPr>
            </w:pPr>
            <w:r>
              <w:t>článok 79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65 ods. 1</w:t>
            </w:r>
          </w:p>
        </w:tc>
      </w:tr>
      <w:tr w:rsidR="00F7624D">
        <w:tc>
          <w:tcPr>
            <w:tcW w:w="2750" w:type="dxa"/>
          </w:tcPr>
          <w:p w:rsidR="00F7624D" w:rsidRDefault="003C5F24">
            <w:pPr>
              <w:spacing w:line="360" w:lineRule="auto"/>
              <w:rPr>
                <w:noProof/>
              </w:rPr>
            </w:pPr>
            <w:r>
              <w:t>článok 79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článok 65 </w:t>
            </w:r>
            <w:r>
              <w:t>ods. 2</w:t>
            </w:r>
          </w:p>
        </w:tc>
      </w:tr>
      <w:tr w:rsidR="00F7624D">
        <w:tc>
          <w:tcPr>
            <w:tcW w:w="2750" w:type="dxa"/>
          </w:tcPr>
          <w:p w:rsidR="00F7624D" w:rsidRDefault="003C5F24">
            <w:pPr>
              <w:spacing w:line="360" w:lineRule="auto"/>
              <w:rPr>
                <w:noProof/>
              </w:rPr>
            </w:pPr>
            <w:r>
              <w:t>článok 79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65 ods. 3</w:t>
            </w:r>
          </w:p>
        </w:tc>
      </w:tr>
      <w:tr w:rsidR="00F7624D">
        <w:tc>
          <w:tcPr>
            <w:tcW w:w="2750" w:type="dxa"/>
          </w:tcPr>
          <w:p w:rsidR="00F7624D" w:rsidRDefault="003C5F24">
            <w:pPr>
              <w:spacing w:line="360" w:lineRule="auto"/>
              <w:rPr>
                <w:noProof/>
              </w:rPr>
            </w:pPr>
            <w:r>
              <w:t>článok 80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66 ods. 1</w:t>
            </w:r>
          </w:p>
        </w:tc>
      </w:tr>
      <w:tr w:rsidR="00F7624D">
        <w:tc>
          <w:tcPr>
            <w:tcW w:w="2750" w:type="dxa"/>
          </w:tcPr>
          <w:p w:rsidR="00F7624D" w:rsidRDefault="003C5F24">
            <w:pPr>
              <w:spacing w:line="360" w:lineRule="auto"/>
              <w:rPr>
                <w:noProof/>
              </w:rPr>
            </w:pPr>
            <w:r>
              <w:t>článok 80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66 ods. 2</w:t>
            </w:r>
          </w:p>
        </w:tc>
      </w:tr>
      <w:tr w:rsidR="00F7624D">
        <w:tc>
          <w:tcPr>
            <w:tcW w:w="2750" w:type="dxa"/>
          </w:tcPr>
          <w:p w:rsidR="00F7624D" w:rsidRDefault="003C5F24">
            <w:pPr>
              <w:spacing w:line="360" w:lineRule="auto"/>
              <w:rPr>
                <w:noProof/>
              </w:rPr>
            </w:pPr>
            <w:r>
              <w:t>článok 80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66 ods. 3</w:t>
            </w:r>
          </w:p>
        </w:tc>
      </w:tr>
      <w:tr w:rsidR="00F7624D">
        <w:tc>
          <w:tcPr>
            <w:tcW w:w="2750" w:type="dxa"/>
          </w:tcPr>
          <w:p w:rsidR="00F7624D" w:rsidRDefault="003C5F24">
            <w:pPr>
              <w:spacing w:line="360" w:lineRule="auto"/>
              <w:rPr>
                <w:noProof/>
              </w:rPr>
            </w:pPr>
            <w:r>
              <w:t>článok 80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66 ods. 4</w:t>
            </w:r>
          </w:p>
        </w:tc>
      </w:tr>
      <w:tr w:rsidR="00F7624D">
        <w:tc>
          <w:tcPr>
            <w:tcW w:w="2750" w:type="dxa"/>
          </w:tcPr>
          <w:p w:rsidR="00F7624D" w:rsidRDefault="003C5F24">
            <w:pPr>
              <w:spacing w:line="360" w:lineRule="auto"/>
              <w:rPr>
                <w:noProof/>
              </w:rPr>
            </w:pPr>
            <w:r>
              <w:t>článok 80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66 ods. 5</w:t>
            </w:r>
          </w:p>
        </w:tc>
      </w:tr>
      <w:tr w:rsidR="00F7624D">
        <w:tc>
          <w:tcPr>
            <w:tcW w:w="2750" w:type="dxa"/>
          </w:tcPr>
          <w:p w:rsidR="00F7624D" w:rsidRDefault="003C5F24">
            <w:pPr>
              <w:spacing w:line="360" w:lineRule="auto"/>
              <w:rPr>
                <w:noProof/>
              </w:rPr>
            </w:pPr>
            <w:r>
              <w:t>článok 81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článok </w:t>
            </w:r>
            <w:r>
              <w:t>67 ods. 1</w:t>
            </w:r>
          </w:p>
        </w:tc>
      </w:tr>
      <w:tr w:rsidR="00F7624D">
        <w:tc>
          <w:tcPr>
            <w:tcW w:w="2750" w:type="dxa"/>
          </w:tcPr>
          <w:p w:rsidR="00F7624D" w:rsidRDefault="003C5F24">
            <w:pPr>
              <w:spacing w:line="360" w:lineRule="auto"/>
              <w:rPr>
                <w:noProof/>
              </w:rPr>
            </w:pPr>
            <w:r>
              <w:t>článok 81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67 ods. 2</w:t>
            </w:r>
          </w:p>
        </w:tc>
      </w:tr>
      <w:tr w:rsidR="00F7624D">
        <w:tc>
          <w:tcPr>
            <w:tcW w:w="2750" w:type="dxa"/>
          </w:tcPr>
          <w:p w:rsidR="00F7624D" w:rsidRDefault="003C5F24">
            <w:pPr>
              <w:spacing w:line="360" w:lineRule="auto"/>
              <w:rPr>
                <w:noProof/>
              </w:rPr>
            </w:pPr>
            <w:r>
              <w:t>článok 81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67 ods. 3</w:t>
            </w:r>
          </w:p>
        </w:tc>
      </w:tr>
      <w:tr w:rsidR="00F7624D">
        <w:tc>
          <w:tcPr>
            <w:tcW w:w="2750" w:type="dxa"/>
          </w:tcPr>
          <w:p w:rsidR="00F7624D" w:rsidRDefault="003C5F24">
            <w:pPr>
              <w:spacing w:line="360" w:lineRule="auto"/>
              <w:rPr>
                <w:noProof/>
              </w:rPr>
            </w:pPr>
            <w:r>
              <w:t>článok 82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68 ods. 1</w:t>
            </w:r>
          </w:p>
        </w:tc>
      </w:tr>
      <w:tr w:rsidR="00F7624D">
        <w:tc>
          <w:tcPr>
            <w:tcW w:w="2750" w:type="dxa"/>
          </w:tcPr>
          <w:p w:rsidR="00F7624D" w:rsidRDefault="003C5F24">
            <w:pPr>
              <w:spacing w:line="360" w:lineRule="auto"/>
              <w:rPr>
                <w:noProof/>
              </w:rPr>
            </w:pPr>
            <w:r>
              <w:t>článok 82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68 ods. 2</w:t>
            </w:r>
          </w:p>
        </w:tc>
      </w:tr>
      <w:tr w:rsidR="00F7624D">
        <w:tc>
          <w:tcPr>
            <w:tcW w:w="2750" w:type="dxa"/>
          </w:tcPr>
          <w:p w:rsidR="00F7624D" w:rsidRDefault="003C5F24">
            <w:pPr>
              <w:spacing w:line="360" w:lineRule="auto"/>
              <w:rPr>
                <w:noProof/>
              </w:rPr>
            </w:pPr>
            <w:r>
              <w:t>článok 83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69 ods. 1</w:t>
            </w:r>
          </w:p>
        </w:tc>
      </w:tr>
      <w:tr w:rsidR="00F7624D">
        <w:tc>
          <w:tcPr>
            <w:tcW w:w="2750" w:type="dxa"/>
          </w:tcPr>
          <w:p w:rsidR="00F7624D" w:rsidRDefault="003C5F24">
            <w:pPr>
              <w:spacing w:line="360" w:lineRule="auto"/>
              <w:rPr>
                <w:noProof/>
              </w:rPr>
            </w:pPr>
            <w:r>
              <w:lastRenderedPageBreak/>
              <w:t>článok 83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69 ods. 2</w:t>
            </w:r>
          </w:p>
        </w:tc>
      </w:tr>
      <w:tr w:rsidR="00F7624D">
        <w:tc>
          <w:tcPr>
            <w:tcW w:w="2750" w:type="dxa"/>
          </w:tcPr>
          <w:p w:rsidR="00F7624D" w:rsidRDefault="003C5F24">
            <w:pPr>
              <w:spacing w:line="360" w:lineRule="auto"/>
              <w:rPr>
                <w:noProof/>
              </w:rPr>
            </w:pPr>
            <w:r>
              <w:t>článok 83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69 ods. 3</w:t>
            </w:r>
          </w:p>
        </w:tc>
      </w:tr>
      <w:tr w:rsidR="00F7624D">
        <w:tc>
          <w:tcPr>
            <w:tcW w:w="2750" w:type="dxa"/>
          </w:tcPr>
          <w:p w:rsidR="00F7624D" w:rsidRDefault="003C5F24">
            <w:pPr>
              <w:spacing w:line="360" w:lineRule="auto"/>
              <w:rPr>
                <w:noProof/>
              </w:rPr>
            </w:pPr>
            <w:r>
              <w:t>článok 84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70</w:t>
            </w:r>
          </w:p>
        </w:tc>
      </w:tr>
      <w:tr w:rsidR="00F7624D">
        <w:tc>
          <w:tcPr>
            <w:tcW w:w="2750" w:type="dxa"/>
          </w:tcPr>
          <w:p w:rsidR="00F7624D" w:rsidRDefault="003C5F24">
            <w:pPr>
              <w:spacing w:line="360" w:lineRule="auto"/>
              <w:rPr>
                <w:noProof/>
              </w:rPr>
            </w:pPr>
            <w:r>
              <w:t>článok 85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71</w:t>
            </w:r>
          </w:p>
        </w:tc>
      </w:tr>
      <w:tr w:rsidR="00F7624D">
        <w:tc>
          <w:tcPr>
            <w:tcW w:w="2750" w:type="dxa"/>
          </w:tcPr>
          <w:p w:rsidR="00F7624D" w:rsidRDefault="003C5F24">
            <w:pPr>
              <w:spacing w:line="360" w:lineRule="auto"/>
              <w:rPr>
                <w:noProof/>
              </w:rPr>
            </w:pPr>
            <w:r>
              <w:t>článok 86</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72</w:t>
            </w:r>
          </w:p>
        </w:tc>
      </w:tr>
      <w:tr w:rsidR="00F7624D">
        <w:tc>
          <w:tcPr>
            <w:tcW w:w="2750" w:type="dxa"/>
          </w:tcPr>
          <w:p w:rsidR="00F7624D" w:rsidRDefault="003C5F24">
            <w:pPr>
              <w:spacing w:line="360" w:lineRule="auto"/>
              <w:rPr>
                <w:noProof/>
              </w:rPr>
            </w:pPr>
            <w:r>
              <w:t>článok 87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73 ods. 1</w:t>
            </w:r>
          </w:p>
        </w:tc>
      </w:tr>
      <w:tr w:rsidR="00F7624D">
        <w:tc>
          <w:tcPr>
            <w:tcW w:w="2750" w:type="dxa"/>
          </w:tcPr>
          <w:p w:rsidR="00F7624D" w:rsidRDefault="003C5F24">
            <w:pPr>
              <w:spacing w:line="360" w:lineRule="auto"/>
              <w:rPr>
                <w:noProof/>
              </w:rPr>
            </w:pPr>
            <w:r>
              <w:t>článok 87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73 ods. 2</w:t>
            </w:r>
          </w:p>
        </w:tc>
      </w:tr>
      <w:tr w:rsidR="00F7624D">
        <w:tc>
          <w:tcPr>
            <w:tcW w:w="2750" w:type="dxa"/>
          </w:tcPr>
          <w:p w:rsidR="00F7624D" w:rsidRDefault="003C5F24">
            <w:pPr>
              <w:spacing w:line="360" w:lineRule="auto"/>
              <w:rPr>
                <w:noProof/>
              </w:rPr>
            </w:pPr>
            <w:r>
              <w:t>článok 87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73 ods. 3</w:t>
            </w:r>
          </w:p>
        </w:tc>
      </w:tr>
      <w:tr w:rsidR="00F7624D">
        <w:tc>
          <w:tcPr>
            <w:tcW w:w="2750" w:type="dxa"/>
          </w:tcPr>
          <w:p w:rsidR="00F7624D" w:rsidRDefault="003C5F24">
            <w:pPr>
              <w:spacing w:line="360" w:lineRule="auto"/>
              <w:rPr>
                <w:noProof/>
              </w:rPr>
            </w:pPr>
            <w:r>
              <w:t>článok 88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74 ods. 1</w:t>
            </w:r>
          </w:p>
        </w:tc>
      </w:tr>
      <w:tr w:rsidR="00F7624D">
        <w:tc>
          <w:tcPr>
            <w:tcW w:w="2750" w:type="dxa"/>
          </w:tcPr>
          <w:p w:rsidR="00F7624D" w:rsidRDefault="003C5F24">
            <w:pPr>
              <w:spacing w:line="360" w:lineRule="auto"/>
              <w:rPr>
                <w:noProof/>
              </w:rPr>
            </w:pPr>
            <w:r>
              <w:t>článok 88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74 ods. 2</w:t>
            </w:r>
          </w:p>
        </w:tc>
      </w:tr>
      <w:tr w:rsidR="00F7624D">
        <w:tc>
          <w:tcPr>
            <w:tcW w:w="2750" w:type="dxa"/>
          </w:tcPr>
          <w:p w:rsidR="00F7624D" w:rsidRDefault="003C5F24">
            <w:pPr>
              <w:spacing w:line="360" w:lineRule="auto"/>
              <w:rPr>
                <w:noProof/>
              </w:rPr>
            </w:pPr>
            <w:r>
              <w:t>článok 88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74 ods. 3</w:t>
            </w:r>
          </w:p>
        </w:tc>
      </w:tr>
      <w:tr w:rsidR="00F7624D">
        <w:tc>
          <w:tcPr>
            <w:tcW w:w="2750" w:type="dxa"/>
          </w:tcPr>
          <w:p w:rsidR="00F7624D" w:rsidRDefault="003C5F24">
            <w:pPr>
              <w:spacing w:line="360" w:lineRule="auto"/>
              <w:rPr>
                <w:noProof/>
              </w:rPr>
            </w:pPr>
            <w:r>
              <w:t>článok 88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74 ods. 4</w:t>
            </w:r>
          </w:p>
        </w:tc>
      </w:tr>
      <w:tr w:rsidR="00F7624D">
        <w:tc>
          <w:tcPr>
            <w:tcW w:w="2750" w:type="dxa"/>
          </w:tcPr>
          <w:p w:rsidR="00F7624D" w:rsidRDefault="003C5F24">
            <w:pPr>
              <w:spacing w:line="360" w:lineRule="auto"/>
              <w:rPr>
                <w:noProof/>
              </w:rPr>
            </w:pPr>
            <w:r>
              <w:t>článok 88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74 ods. 5</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74 ods. 6</w:t>
            </w:r>
          </w:p>
        </w:tc>
      </w:tr>
      <w:tr w:rsidR="00F7624D">
        <w:tc>
          <w:tcPr>
            <w:tcW w:w="2750" w:type="dxa"/>
          </w:tcPr>
          <w:p w:rsidR="00F7624D" w:rsidRDefault="003C5F24">
            <w:pPr>
              <w:spacing w:line="360" w:lineRule="auto"/>
              <w:rPr>
                <w:noProof/>
              </w:rPr>
            </w:pPr>
            <w:r>
              <w:t>článok 89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75 ods. 1</w:t>
            </w:r>
          </w:p>
        </w:tc>
      </w:tr>
      <w:tr w:rsidR="00F7624D">
        <w:tc>
          <w:tcPr>
            <w:tcW w:w="2750" w:type="dxa"/>
          </w:tcPr>
          <w:p w:rsidR="00F7624D" w:rsidRDefault="003C5F24">
            <w:pPr>
              <w:spacing w:line="360" w:lineRule="auto"/>
              <w:rPr>
                <w:noProof/>
              </w:rPr>
            </w:pPr>
            <w:r>
              <w:t>článok 89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75 ods. 2</w:t>
            </w:r>
          </w:p>
        </w:tc>
      </w:tr>
      <w:tr w:rsidR="00F7624D">
        <w:tc>
          <w:tcPr>
            <w:tcW w:w="2750" w:type="dxa"/>
          </w:tcPr>
          <w:p w:rsidR="00F7624D" w:rsidRDefault="003C5F24">
            <w:pPr>
              <w:spacing w:line="360" w:lineRule="auto"/>
              <w:rPr>
                <w:noProof/>
              </w:rPr>
            </w:pPr>
            <w:r>
              <w:t>článok 89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článok 75 </w:t>
            </w:r>
            <w:r>
              <w:t>ods. 3</w:t>
            </w:r>
          </w:p>
        </w:tc>
      </w:tr>
      <w:tr w:rsidR="00F7624D">
        <w:tc>
          <w:tcPr>
            <w:tcW w:w="2750" w:type="dxa"/>
          </w:tcPr>
          <w:p w:rsidR="00F7624D" w:rsidRDefault="003C5F24">
            <w:pPr>
              <w:spacing w:line="360" w:lineRule="auto"/>
              <w:rPr>
                <w:noProof/>
              </w:rPr>
            </w:pPr>
            <w:r>
              <w:t>článok 90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76 ods. 1</w:t>
            </w:r>
          </w:p>
        </w:tc>
      </w:tr>
      <w:tr w:rsidR="00F7624D">
        <w:tc>
          <w:tcPr>
            <w:tcW w:w="2750" w:type="dxa"/>
          </w:tcPr>
          <w:p w:rsidR="00F7624D" w:rsidRDefault="003C5F24">
            <w:pPr>
              <w:spacing w:line="360" w:lineRule="auto"/>
              <w:rPr>
                <w:noProof/>
              </w:rPr>
            </w:pPr>
            <w:r>
              <w:t>článok 90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76 ods. 2</w:t>
            </w:r>
          </w:p>
        </w:tc>
      </w:tr>
      <w:tr w:rsidR="00F7624D">
        <w:tc>
          <w:tcPr>
            <w:tcW w:w="2750" w:type="dxa"/>
          </w:tcPr>
          <w:p w:rsidR="00F7624D" w:rsidRDefault="003C5F24">
            <w:pPr>
              <w:spacing w:line="360" w:lineRule="auto"/>
              <w:rPr>
                <w:noProof/>
              </w:rPr>
            </w:pPr>
            <w:r>
              <w:t>článok 91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77</w:t>
            </w:r>
          </w:p>
        </w:tc>
      </w:tr>
      <w:tr w:rsidR="00F7624D">
        <w:tc>
          <w:tcPr>
            <w:tcW w:w="2750" w:type="dxa"/>
          </w:tcPr>
          <w:p w:rsidR="00F7624D" w:rsidRDefault="003C5F24">
            <w:pPr>
              <w:spacing w:line="360" w:lineRule="auto"/>
              <w:rPr>
                <w:noProof/>
              </w:rPr>
            </w:pPr>
            <w:r>
              <w:t>článok 92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78 ods. 1</w:t>
            </w:r>
          </w:p>
        </w:tc>
      </w:tr>
      <w:tr w:rsidR="00F7624D">
        <w:tc>
          <w:tcPr>
            <w:tcW w:w="2750" w:type="dxa"/>
          </w:tcPr>
          <w:p w:rsidR="00F7624D" w:rsidRDefault="003C5F24">
            <w:pPr>
              <w:spacing w:line="360" w:lineRule="auto"/>
              <w:rPr>
                <w:noProof/>
              </w:rPr>
            </w:pPr>
            <w:r>
              <w:t>článok 92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78 ods. 2</w:t>
            </w:r>
          </w:p>
        </w:tc>
      </w:tr>
      <w:tr w:rsidR="00F7624D">
        <w:tc>
          <w:tcPr>
            <w:tcW w:w="2750" w:type="dxa"/>
          </w:tcPr>
          <w:p w:rsidR="00F7624D" w:rsidRDefault="003C5F24">
            <w:pPr>
              <w:spacing w:line="360" w:lineRule="auto"/>
              <w:rPr>
                <w:noProof/>
              </w:rPr>
            </w:pPr>
            <w:r>
              <w:t>článok 93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79</w:t>
            </w:r>
          </w:p>
        </w:tc>
      </w:tr>
      <w:tr w:rsidR="00F7624D">
        <w:tc>
          <w:tcPr>
            <w:tcW w:w="2750" w:type="dxa"/>
          </w:tcPr>
          <w:p w:rsidR="00F7624D" w:rsidRDefault="003C5F24">
            <w:pPr>
              <w:spacing w:line="360" w:lineRule="auto"/>
              <w:rPr>
                <w:noProof/>
              </w:rPr>
            </w:pPr>
            <w:r>
              <w:t>článok 94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80</w:t>
            </w:r>
          </w:p>
        </w:tc>
      </w:tr>
      <w:tr w:rsidR="00F7624D">
        <w:tc>
          <w:tcPr>
            <w:tcW w:w="2750" w:type="dxa"/>
          </w:tcPr>
          <w:p w:rsidR="00F7624D" w:rsidRDefault="003C5F24">
            <w:pPr>
              <w:spacing w:line="360" w:lineRule="auto"/>
              <w:rPr>
                <w:noProof/>
              </w:rPr>
            </w:pPr>
            <w:r>
              <w:t>článok 95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 xml:space="preserve">článok 81 </w:t>
            </w:r>
            <w:r>
              <w:t>ods. 1</w:t>
            </w:r>
          </w:p>
        </w:tc>
      </w:tr>
      <w:tr w:rsidR="00F7624D">
        <w:tc>
          <w:tcPr>
            <w:tcW w:w="2750" w:type="dxa"/>
          </w:tcPr>
          <w:p w:rsidR="00F7624D" w:rsidRDefault="003C5F24">
            <w:pPr>
              <w:spacing w:line="360" w:lineRule="auto"/>
              <w:rPr>
                <w:noProof/>
              </w:rPr>
            </w:pPr>
            <w:r>
              <w:t>článok 95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95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95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95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81 ods. 2</w:t>
            </w:r>
          </w:p>
        </w:tc>
      </w:tr>
      <w:tr w:rsidR="00F7624D">
        <w:tc>
          <w:tcPr>
            <w:tcW w:w="2750" w:type="dxa"/>
          </w:tcPr>
          <w:p w:rsidR="00F7624D" w:rsidRDefault="003C5F24">
            <w:pPr>
              <w:spacing w:line="360" w:lineRule="auto"/>
              <w:rPr>
                <w:noProof/>
              </w:rPr>
            </w:pPr>
            <w:r>
              <w:t>článok 96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96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96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96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lastRenderedPageBreak/>
              <w:t>článok 96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článok 96 ods. 6</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83 ods. 1, 2, 3, 4, 5, 6</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84 ods. 1, 2, 3</w:t>
            </w:r>
          </w:p>
        </w:tc>
      </w:tr>
      <w:tr w:rsidR="00F7624D">
        <w:tc>
          <w:tcPr>
            <w:tcW w:w="2750" w:type="dxa"/>
          </w:tcPr>
          <w:p w:rsidR="00F7624D" w:rsidRDefault="003C5F24">
            <w:pPr>
              <w:spacing w:line="360" w:lineRule="auto"/>
              <w:rPr>
                <w:noProof/>
              </w:rPr>
            </w:pPr>
            <w:r>
              <w:t>článok 97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85 ods. 1</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85 ods. 2 až 7</w:t>
            </w:r>
          </w:p>
        </w:tc>
      </w:tr>
      <w:tr w:rsidR="00F7624D">
        <w:tc>
          <w:tcPr>
            <w:tcW w:w="2750" w:type="dxa"/>
          </w:tcPr>
          <w:p w:rsidR="00F7624D" w:rsidRDefault="003C5F24">
            <w:pPr>
              <w:spacing w:line="360" w:lineRule="auto"/>
              <w:rPr>
                <w:noProof/>
              </w:rPr>
            </w:pPr>
            <w:r>
              <w:t>článok 97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85 ods. 8, článok 85 ods. 9</w:t>
            </w:r>
          </w:p>
        </w:tc>
      </w:tr>
      <w:tr w:rsidR="00F7624D">
        <w:tc>
          <w:tcPr>
            <w:tcW w:w="2750" w:type="dxa"/>
          </w:tcPr>
          <w:p w:rsidR="00F7624D" w:rsidRDefault="003C5F24">
            <w:pPr>
              <w:spacing w:line="360" w:lineRule="auto"/>
              <w:rPr>
                <w:noProof/>
              </w:rPr>
            </w:pPr>
            <w:r>
              <w:t>článok 97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85 ods. 10</w:t>
            </w:r>
          </w:p>
        </w:tc>
      </w:tr>
      <w:tr w:rsidR="00F7624D">
        <w:tc>
          <w:tcPr>
            <w:tcW w:w="2750" w:type="dxa"/>
          </w:tcPr>
          <w:p w:rsidR="00F7624D" w:rsidRDefault="003C5F24">
            <w:pPr>
              <w:spacing w:line="360" w:lineRule="auto"/>
              <w:rPr>
                <w:noProof/>
              </w:rPr>
            </w:pPr>
            <w:r>
              <w:t>článok 97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86 ods. 1</w:t>
            </w:r>
          </w:p>
        </w:tc>
      </w:tr>
      <w:tr w:rsidR="00F7624D">
        <w:tc>
          <w:tcPr>
            <w:tcW w:w="2750" w:type="dxa"/>
          </w:tcPr>
          <w:p w:rsidR="00F7624D" w:rsidRDefault="003C5F24">
            <w:pPr>
              <w:spacing w:line="360" w:lineRule="auto"/>
              <w:rPr>
                <w:noProof/>
              </w:rPr>
            </w:pPr>
            <w:r>
              <w:t>článok 97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86 ods. 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86 ods. 3, 4</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87</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88 ods. 1, 2, 3</w:t>
            </w:r>
          </w:p>
        </w:tc>
      </w:tr>
      <w:tr w:rsidR="00F7624D">
        <w:tc>
          <w:tcPr>
            <w:tcW w:w="2750" w:type="dxa"/>
          </w:tcPr>
          <w:p w:rsidR="00F7624D" w:rsidRDefault="003C5F24">
            <w:pPr>
              <w:spacing w:line="360" w:lineRule="auto"/>
              <w:rPr>
                <w:noProof/>
              </w:rPr>
            </w:pPr>
            <w:r>
              <w:t>článok 98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89 ods. 1</w:t>
            </w:r>
          </w:p>
        </w:tc>
      </w:tr>
      <w:tr w:rsidR="00F7624D">
        <w:tc>
          <w:tcPr>
            <w:tcW w:w="2750" w:type="dxa"/>
          </w:tcPr>
          <w:p w:rsidR="00F7624D" w:rsidRDefault="003C5F24">
            <w:pPr>
              <w:spacing w:line="360" w:lineRule="auto"/>
              <w:rPr>
                <w:noProof/>
              </w:rPr>
            </w:pPr>
            <w:r>
              <w:t>písmeno a)</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a)</w:t>
            </w:r>
          </w:p>
        </w:tc>
      </w:tr>
      <w:tr w:rsidR="00F7624D">
        <w:tc>
          <w:tcPr>
            <w:tcW w:w="2750" w:type="dxa"/>
          </w:tcPr>
          <w:p w:rsidR="00F7624D" w:rsidRDefault="003C5F24">
            <w:pPr>
              <w:spacing w:line="360" w:lineRule="auto"/>
              <w:rPr>
                <w:b/>
                <w:bCs/>
                <w:noProof/>
              </w:rPr>
            </w:pPr>
            <w:r>
              <w:t>písmeno b)</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b)</w:t>
            </w:r>
          </w:p>
        </w:tc>
      </w:tr>
      <w:tr w:rsidR="00F7624D">
        <w:tc>
          <w:tcPr>
            <w:tcW w:w="2750" w:type="dxa"/>
          </w:tcPr>
          <w:p w:rsidR="00F7624D" w:rsidRDefault="003C5F24">
            <w:pPr>
              <w:spacing w:line="360" w:lineRule="auto"/>
              <w:rPr>
                <w:noProof/>
              </w:rPr>
            </w:pPr>
            <w:r>
              <w:t>písmeno c)</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c)</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d)</w:t>
            </w:r>
          </w:p>
        </w:tc>
      </w:tr>
      <w:tr w:rsidR="00F7624D">
        <w:tc>
          <w:tcPr>
            <w:tcW w:w="2750" w:type="dxa"/>
          </w:tcPr>
          <w:p w:rsidR="00F7624D" w:rsidRDefault="003C5F24">
            <w:pPr>
              <w:spacing w:line="360" w:lineRule="auto"/>
              <w:rPr>
                <w:noProof/>
              </w:rPr>
            </w:pPr>
            <w:r>
              <w:t>písmeno d)</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e)</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f)</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písmeno g)</w:t>
            </w:r>
          </w:p>
        </w:tc>
      </w:tr>
      <w:tr w:rsidR="00F7624D">
        <w:tc>
          <w:tcPr>
            <w:tcW w:w="2750" w:type="dxa"/>
          </w:tcPr>
          <w:p w:rsidR="00F7624D" w:rsidRDefault="003C5F24">
            <w:pPr>
              <w:spacing w:line="360" w:lineRule="auto"/>
              <w:rPr>
                <w:noProof/>
              </w:rPr>
            </w:pPr>
            <w:r>
              <w:t>článok 98 ods. 2,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89 ods. 2</w:t>
            </w:r>
          </w:p>
        </w:tc>
      </w:tr>
      <w:tr w:rsidR="00F7624D">
        <w:tc>
          <w:tcPr>
            <w:tcW w:w="2750" w:type="dxa"/>
          </w:tcPr>
          <w:p w:rsidR="00F7624D" w:rsidRDefault="003C5F24">
            <w:pPr>
              <w:spacing w:line="360" w:lineRule="auto"/>
              <w:rPr>
                <w:noProof/>
              </w:rPr>
            </w:pPr>
            <w:r>
              <w:t>článok 98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85 ods. 11</w:t>
            </w:r>
          </w:p>
        </w:tc>
      </w:tr>
      <w:tr w:rsidR="00F7624D">
        <w:tc>
          <w:tcPr>
            <w:tcW w:w="2750" w:type="dxa"/>
          </w:tcPr>
          <w:p w:rsidR="00F7624D" w:rsidRDefault="003C5F24">
            <w:pPr>
              <w:spacing w:line="360" w:lineRule="auto"/>
              <w:rPr>
                <w:noProof/>
              </w:rPr>
            </w:pPr>
            <w:r>
              <w:t>článok 98 ods.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89 ods. 3</w:t>
            </w:r>
          </w:p>
        </w:tc>
      </w:tr>
      <w:tr w:rsidR="00F7624D">
        <w:tc>
          <w:tcPr>
            <w:tcW w:w="2750" w:type="dxa"/>
          </w:tcPr>
          <w:p w:rsidR="00F7624D" w:rsidRDefault="003C5F24">
            <w:pPr>
              <w:spacing w:line="360" w:lineRule="auto"/>
              <w:rPr>
                <w:noProof/>
              </w:rPr>
            </w:pPr>
            <w:r>
              <w:t>článok 99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90 ods. 1</w:t>
            </w:r>
          </w:p>
        </w:tc>
      </w:tr>
      <w:tr w:rsidR="00F7624D">
        <w:tc>
          <w:tcPr>
            <w:tcW w:w="2750" w:type="dxa"/>
          </w:tcPr>
          <w:p w:rsidR="00F7624D" w:rsidRDefault="003C5F24">
            <w:pPr>
              <w:spacing w:line="360" w:lineRule="auto"/>
              <w:rPr>
                <w:noProof/>
              </w:rPr>
            </w:pPr>
            <w:r>
              <w:t>článok 99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90 ods. 2</w:t>
            </w:r>
          </w:p>
        </w:tc>
      </w:tr>
      <w:tr w:rsidR="00F7624D">
        <w:tc>
          <w:tcPr>
            <w:tcW w:w="2750" w:type="dxa"/>
          </w:tcPr>
          <w:p w:rsidR="00F7624D" w:rsidRDefault="003C5F24">
            <w:pPr>
              <w:spacing w:line="360" w:lineRule="auto"/>
              <w:rPr>
                <w:noProof/>
              </w:rPr>
            </w:pPr>
            <w:r>
              <w:t>článok 100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91 ods. 2</w:t>
            </w:r>
          </w:p>
        </w:tc>
      </w:tr>
      <w:tr w:rsidR="00F7624D">
        <w:tc>
          <w:tcPr>
            <w:tcW w:w="2750" w:type="dxa"/>
          </w:tcPr>
          <w:p w:rsidR="00F7624D" w:rsidRDefault="003C5F24">
            <w:pPr>
              <w:spacing w:line="360" w:lineRule="auto"/>
              <w:rPr>
                <w:noProof/>
              </w:rPr>
            </w:pPr>
            <w:r>
              <w:t>článok 100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91 ods. 3</w:t>
            </w:r>
          </w:p>
        </w:tc>
      </w:tr>
      <w:tr w:rsidR="00F7624D">
        <w:tc>
          <w:tcPr>
            <w:tcW w:w="2750" w:type="dxa"/>
          </w:tcPr>
          <w:p w:rsidR="00F7624D" w:rsidRDefault="003C5F24">
            <w:pPr>
              <w:spacing w:line="360" w:lineRule="auto"/>
              <w:rPr>
                <w:noProof/>
              </w:rPr>
            </w:pPr>
            <w:r>
              <w:t>článok 100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91 ods. 1</w:t>
            </w:r>
          </w:p>
        </w:tc>
      </w:tr>
      <w:tr w:rsidR="00F7624D">
        <w:tc>
          <w:tcPr>
            <w:tcW w:w="2750" w:type="dxa"/>
          </w:tcPr>
          <w:p w:rsidR="00F7624D" w:rsidRDefault="003C5F24">
            <w:pPr>
              <w:spacing w:line="360" w:lineRule="auto"/>
              <w:rPr>
                <w:noProof/>
              </w:rPr>
            </w:pPr>
            <w:r>
              <w:lastRenderedPageBreak/>
              <w:t>článok 100 ods. 4, 5</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91 ods. 4, 5</w:t>
            </w:r>
          </w:p>
        </w:tc>
      </w:tr>
      <w:tr w:rsidR="00F7624D">
        <w:tc>
          <w:tcPr>
            <w:tcW w:w="2750" w:type="dxa"/>
          </w:tcPr>
          <w:p w:rsidR="00F7624D" w:rsidRDefault="003C5F24">
            <w:pPr>
              <w:spacing w:line="360" w:lineRule="auto"/>
              <w:rPr>
                <w:noProof/>
              </w:rPr>
            </w:pPr>
            <w:r>
              <w:t>článok 100 ods. 6</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91 ods. 6</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93 ods. 1, 2, 3, 4</w:t>
            </w:r>
          </w:p>
        </w:tc>
      </w:tr>
      <w:tr w:rsidR="00F7624D">
        <w:tc>
          <w:tcPr>
            <w:tcW w:w="2750" w:type="dxa"/>
          </w:tcPr>
          <w:p w:rsidR="00F7624D" w:rsidRDefault="003C5F24">
            <w:pPr>
              <w:spacing w:line="360" w:lineRule="auto"/>
              <w:rPr>
                <w:noProof/>
              </w:rPr>
            </w:pPr>
            <w:r>
              <w:t>článok 101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94 ods. 1</w:t>
            </w:r>
          </w:p>
        </w:tc>
      </w:tr>
      <w:tr w:rsidR="00F7624D">
        <w:tc>
          <w:tcPr>
            <w:tcW w:w="2750" w:type="dxa"/>
          </w:tcPr>
          <w:p w:rsidR="00F7624D" w:rsidRDefault="003C5F24">
            <w:pPr>
              <w:spacing w:line="360" w:lineRule="auto"/>
              <w:rPr>
                <w:noProof/>
              </w:rPr>
            </w:pPr>
            <w:r>
              <w:t xml:space="preserve">článok 101 </w:t>
            </w:r>
            <w:r>
              <w:t>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94 ods. 2</w:t>
            </w:r>
          </w:p>
        </w:tc>
      </w:tr>
      <w:tr w:rsidR="00F7624D">
        <w:tc>
          <w:tcPr>
            <w:tcW w:w="2750" w:type="dxa"/>
          </w:tcPr>
          <w:p w:rsidR="00F7624D" w:rsidRDefault="003C5F24">
            <w:pPr>
              <w:spacing w:line="360" w:lineRule="auto"/>
              <w:rPr>
                <w:noProof/>
              </w:rPr>
            </w:pPr>
            <w:r>
              <w:t>článok 101 ods. 3</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94 ods. 3</w:t>
            </w:r>
          </w:p>
        </w:tc>
      </w:tr>
      <w:tr w:rsidR="00F7624D">
        <w:tc>
          <w:tcPr>
            <w:tcW w:w="2750" w:type="dxa"/>
          </w:tcPr>
          <w:p w:rsidR="00F7624D" w:rsidRDefault="003C5F24">
            <w:pPr>
              <w:spacing w:line="360" w:lineRule="auto"/>
              <w:rPr>
                <w:noProof/>
              </w:rPr>
            </w:pPr>
            <w:r>
              <w:t>článok 101 ods. 4</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94 ods. 4</w:t>
            </w:r>
          </w:p>
        </w:tc>
      </w:tr>
      <w:tr w:rsidR="00F7624D">
        <w:tc>
          <w:tcPr>
            <w:tcW w:w="2750" w:type="dxa"/>
          </w:tcPr>
          <w:p w:rsidR="00F7624D" w:rsidRDefault="003C5F24">
            <w:pPr>
              <w:spacing w:line="360" w:lineRule="auto"/>
              <w:rPr>
                <w:noProof/>
              </w:rPr>
            </w:pPr>
            <w:r>
              <w:t>článok 102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95 ods. 1</w:t>
            </w:r>
          </w:p>
        </w:tc>
      </w:tr>
      <w:tr w:rsidR="00F7624D">
        <w:tc>
          <w:tcPr>
            <w:tcW w:w="2750" w:type="dxa"/>
          </w:tcPr>
          <w:p w:rsidR="00F7624D" w:rsidRDefault="003C5F24">
            <w:pPr>
              <w:spacing w:line="360" w:lineRule="auto"/>
              <w:rPr>
                <w:noProof/>
              </w:rPr>
            </w:pPr>
            <w:r>
              <w:t>článok 102 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95 ods. 2</w:t>
            </w:r>
          </w:p>
        </w:tc>
      </w:tr>
      <w:tr w:rsidR="00F7624D">
        <w:tc>
          <w:tcPr>
            <w:tcW w:w="2750" w:type="dxa"/>
          </w:tcPr>
          <w:p w:rsidR="00F7624D" w:rsidRDefault="003C5F24">
            <w:pPr>
              <w:spacing w:line="360" w:lineRule="auto"/>
              <w:rPr>
                <w:noProof/>
              </w:rPr>
            </w:pPr>
            <w:r>
              <w:t>článok 103 ods. 1</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96 ods. 1</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96 ods. 2, 3, 4</w:t>
            </w:r>
          </w:p>
        </w:tc>
      </w:tr>
      <w:tr w:rsidR="00F7624D">
        <w:tc>
          <w:tcPr>
            <w:tcW w:w="2750" w:type="dxa"/>
          </w:tcPr>
          <w:p w:rsidR="00F7624D" w:rsidRDefault="003C5F24">
            <w:pPr>
              <w:spacing w:line="360" w:lineRule="auto"/>
              <w:rPr>
                <w:noProof/>
              </w:rPr>
            </w:pPr>
            <w:r>
              <w:t xml:space="preserve">článok 103 </w:t>
            </w:r>
            <w:r>
              <w:t>ods. 2</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before="240" w:line="276" w:lineRule="auto"/>
              <w:rPr>
                <w:noProof/>
              </w:rPr>
            </w:pPr>
            <w:r>
              <w:t>článok 101 ods. 1, 2, 3, 4</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97 ods. 1, 2, 3, 4</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98 ods. 1, 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99 ods. 1, 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100 ods. 1, 2</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články 102 až 104</w:t>
            </w:r>
          </w:p>
        </w:tc>
      </w:tr>
      <w:tr w:rsidR="00F7624D">
        <w:tc>
          <w:tcPr>
            <w:tcW w:w="2750" w:type="dxa"/>
          </w:tcPr>
          <w:p w:rsidR="00F7624D" w:rsidRDefault="003C5F24">
            <w:pPr>
              <w:spacing w:line="360" w:lineRule="auto"/>
              <w:rPr>
                <w:noProof/>
              </w:rPr>
            </w:pPr>
            <w:r>
              <w:t>článok 104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40</w:t>
            </w:r>
          </w:p>
        </w:tc>
        <w:tc>
          <w:tcPr>
            <w:tcW w:w="2268" w:type="dxa"/>
          </w:tcPr>
          <w:p w:rsidR="00F7624D" w:rsidRDefault="003C5F24">
            <w:pPr>
              <w:spacing w:line="360" w:lineRule="auto"/>
              <w:rPr>
                <w:noProof/>
              </w:rPr>
            </w:pPr>
            <w:r>
              <w:t>článok 105</w:t>
            </w:r>
          </w:p>
        </w:tc>
      </w:tr>
      <w:tr w:rsidR="00F7624D">
        <w:tc>
          <w:tcPr>
            <w:tcW w:w="2750" w:type="dxa"/>
          </w:tcPr>
          <w:p w:rsidR="00F7624D" w:rsidRDefault="003C5F24">
            <w:pPr>
              <w:spacing w:line="360" w:lineRule="auto"/>
              <w:rPr>
                <w:noProof/>
              </w:rPr>
            </w:pPr>
            <w:r>
              <w:t>článok 105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41 ods. 1</w:t>
            </w:r>
          </w:p>
        </w:tc>
        <w:tc>
          <w:tcPr>
            <w:tcW w:w="2268" w:type="dxa"/>
          </w:tcPr>
          <w:p w:rsidR="00F7624D" w:rsidRDefault="003C5F24">
            <w:pPr>
              <w:spacing w:line="360" w:lineRule="auto"/>
              <w:rPr>
                <w:noProof/>
              </w:rPr>
            </w:pPr>
            <w:r>
              <w:t>článok 106 ods. 1</w:t>
            </w:r>
          </w:p>
        </w:tc>
      </w:tr>
      <w:tr w:rsidR="00F7624D">
        <w:tc>
          <w:tcPr>
            <w:tcW w:w="2750" w:type="dxa"/>
          </w:tcPr>
          <w:p w:rsidR="00F7624D" w:rsidRDefault="003C5F24">
            <w:pPr>
              <w:spacing w:line="360" w:lineRule="auto"/>
              <w:rPr>
                <w:noProof/>
              </w:rPr>
            </w:pPr>
            <w:r>
              <w:t>článok 105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41 ods. 2</w:t>
            </w:r>
          </w:p>
        </w:tc>
        <w:tc>
          <w:tcPr>
            <w:tcW w:w="2268" w:type="dxa"/>
          </w:tcPr>
          <w:p w:rsidR="00F7624D" w:rsidRDefault="003C5F24">
            <w:pPr>
              <w:spacing w:line="360" w:lineRule="auto"/>
              <w:rPr>
                <w:noProof/>
              </w:rPr>
            </w:pPr>
            <w:r>
              <w:t>článok 106 ods. 2</w:t>
            </w:r>
          </w:p>
        </w:tc>
      </w:tr>
      <w:tr w:rsidR="00F7624D">
        <w:tc>
          <w:tcPr>
            <w:tcW w:w="2750" w:type="dxa"/>
          </w:tcPr>
          <w:p w:rsidR="00F7624D" w:rsidRDefault="003C5F24">
            <w:pPr>
              <w:spacing w:line="360" w:lineRule="auto"/>
              <w:rPr>
                <w:noProof/>
              </w:rPr>
            </w:pPr>
            <w:r>
              <w:t>článok 105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41 ods. 3</w:t>
            </w:r>
          </w:p>
        </w:tc>
        <w:tc>
          <w:tcPr>
            <w:tcW w:w="2268" w:type="dxa"/>
          </w:tcPr>
          <w:p w:rsidR="00F7624D" w:rsidRDefault="003C5F24">
            <w:pPr>
              <w:spacing w:line="360" w:lineRule="auto"/>
              <w:rPr>
                <w:noProof/>
              </w:rPr>
            </w:pPr>
            <w:r>
              <w:t>článok 106 ods. 3</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106 ods. 4</w:t>
            </w:r>
          </w:p>
        </w:tc>
      </w:tr>
      <w:tr w:rsidR="00F7624D">
        <w:tc>
          <w:tcPr>
            <w:tcW w:w="2750" w:type="dxa"/>
          </w:tcPr>
          <w:p w:rsidR="00F7624D" w:rsidRDefault="003C5F24">
            <w:pPr>
              <w:spacing w:line="360" w:lineRule="auto"/>
              <w:rPr>
                <w:noProof/>
              </w:rPr>
            </w:pPr>
            <w:r>
              <w:t>článok 105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41 ods. 4</w:t>
            </w:r>
          </w:p>
        </w:tc>
        <w:tc>
          <w:tcPr>
            <w:tcW w:w="2268" w:type="dxa"/>
          </w:tcPr>
          <w:p w:rsidR="00F7624D" w:rsidRDefault="003C5F24">
            <w:pPr>
              <w:spacing w:line="360" w:lineRule="auto"/>
              <w:rPr>
                <w:noProof/>
              </w:rPr>
            </w:pPr>
            <w:r>
              <w:t>článok 106 ods. 5</w:t>
            </w:r>
          </w:p>
        </w:tc>
      </w:tr>
      <w:tr w:rsidR="00F7624D">
        <w:tc>
          <w:tcPr>
            <w:tcW w:w="2750" w:type="dxa"/>
          </w:tcPr>
          <w:p w:rsidR="00F7624D" w:rsidRDefault="003C5F24">
            <w:pPr>
              <w:spacing w:line="360" w:lineRule="auto"/>
              <w:rPr>
                <w:noProof/>
              </w:rPr>
            </w:pPr>
            <w:r>
              <w:t>článok 105 ods.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41 ods. 5</w:t>
            </w:r>
          </w:p>
        </w:tc>
        <w:tc>
          <w:tcPr>
            <w:tcW w:w="2268" w:type="dxa"/>
          </w:tcPr>
          <w:p w:rsidR="00F7624D" w:rsidRDefault="003C5F24">
            <w:pPr>
              <w:spacing w:line="360" w:lineRule="auto"/>
              <w:rPr>
                <w:noProof/>
              </w:rPr>
            </w:pPr>
            <w:r>
              <w:t>článok 106 ods. 6</w:t>
            </w:r>
          </w:p>
        </w:tc>
      </w:tr>
      <w:tr w:rsidR="00F7624D">
        <w:tc>
          <w:tcPr>
            <w:tcW w:w="2750" w:type="dxa"/>
          </w:tcPr>
          <w:p w:rsidR="00F7624D" w:rsidRDefault="003C5F24">
            <w:pPr>
              <w:spacing w:line="360" w:lineRule="auto"/>
              <w:rPr>
                <w:noProof/>
              </w:rPr>
            </w:pPr>
            <w:r>
              <w:t>článok 106</w:t>
            </w: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w:t>
            </w: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14 ods. 1, 2</w:t>
            </w:r>
          </w:p>
        </w:tc>
        <w:tc>
          <w:tcPr>
            <w:tcW w:w="1814" w:type="dxa"/>
          </w:tcPr>
          <w:p w:rsidR="00F7624D" w:rsidRDefault="00F7624D">
            <w:pPr>
              <w:spacing w:line="360" w:lineRule="auto"/>
              <w:rPr>
                <w:noProof/>
              </w:rPr>
            </w:pP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15 ods. 1, 2</w:t>
            </w:r>
          </w:p>
        </w:tc>
        <w:tc>
          <w:tcPr>
            <w:tcW w:w="1814" w:type="dxa"/>
          </w:tcPr>
          <w:p w:rsidR="00F7624D" w:rsidRDefault="00F7624D">
            <w:pPr>
              <w:spacing w:line="360" w:lineRule="auto"/>
              <w:rPr>
                <w:noProof/>
              </w:rPr>
            </w:pP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lastRenderedPageBreak/>
              <w:t>článok 107 ods. 1</w:t>
            </w:r>
          </w:p>
        </w:tc>
        <w:tc>
          <w:tcPr>
            <w:tcW w:w="2519" w:type="dxa"/>
          </w:tcPr>
          <w:p w:rsidR="00F7624D" w:rsidRDefault="003C5F24">
            <w:pPr>
              <w:spacing w:line="360" w:lineRule="auto"/>
              <w:rPr>
                <w:noProof/>
              </w:rPr>
            </w:pPr>
            <w:r>
              <w:t>článok 16 ods. 1</w:t>
            </w:r>
          </w:p>
        </w:tc>
        <w:tc>
          <w:tcPr>
            <w:tcW w:w="1814" w:type="dxa"/>
          </w:tcPr>
          <w:p w:rsidR="00F7624D" w:rsidRDefault="003C5F24">
            <w:pPr>
              <w:spacing w:line="360" w:lineRule="auto"/>
              <w:rPr>
                <w:noProof/>
              </w:rPr>
            </w:pPr>
            <w:r>
              <w:t>článok 42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107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42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107 ods. 3</w:t>
            </w:r>
          </w:p>
        </w:tc>
        <w:tc>
          <w:tcPr>
            <w:tcW w:w="2519" w:type="dxa"/>
          </w:tcPr>
          <w:p w:rsidR="00F7624D" w:rsidRDefault="003C5F24">
            <w:pPr>
              <w:spacing w:line="360" w:lineRule="auto"/>
              <w:rPr>
                <w:noProof/>
              </w:rPr>
            </w:pPr>
            <w:r>
              <w:t>článok 16 ods. 2</w:t>
            </w:r>
          </w:p>
        </w:tc>
        <w:tc>
          <w:tcPr>
            <w:tcW w:w="1814" w:type="dxa"/>
          </w:tcPr>
          <w:p w:rsidR="00F7624D" w:rsidRDefault="003C5F24">
            <w:pPr>
              <w:spacing w:line="360" w:lineRule="auto"/>
              <w:rPr>
                <w:noProof/>
              </w:rPr>
            </w:pPr>
            <w:r>
              <w:t>článok 42 ods. 3</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F7624D">
            <w:pPr>
              <w:spacing w:line="360" w:lineRule="auto"/>
              <w:rPr>
                <w:noProof/>
              </w:rPr>
            </w:pPr>
          </w:p>
        </w:tc>
        <w:tc>
          <w:tcPr>
            <w:tcW w:w="2268" w:type="dxa"/>
          </w:tcPr>
          <w:p w:rsidR="00F7624D" w:rsidRDefault="003C5F24">
            <w:pPr>
              <w:spacing w:line="360" w:lineRule="auto"/>
              <w:rPr>
                <w:noProof/>
              </w:rPr>
            </w:pPr>
            <w:r>
              <w:t>článok 107</w:t>
            </w:r>
          </w:p>
        </w:tc>
      </w:tr>
      <w:tr w:rsidR="00F7624D">
        <w:tc>
          <w:tcPr>
            <w:tcW w:w="2750" w:type="dxa"/>
          </w:tcPr>
          <w:p w:rsidR="00F7624D" w:rsidRDefault="003C5F24">
            <w:pPr>
              <w:spacing w:line="360" w:lineRule="auto"/>
              <w:rPr>
                <w:noProof/>
              </w:rPr>
            </w:pPr>
            <w:r>
              <w:t>článok 108</w:t>
            </w:r>
          </w:p>
        </w:tc>
        <w:tc>
          <w:tcPr>
            <w:tcW w:w="2519" w:type="dxa"/>
          </w:tcPr>
          <w:p w:rsidR="00F7624D" w:rsidRDefault="003C5F24">
            <w:pPr>
              <w:spacing w:line="360" w:lineRule="auto"/>
              <w:rPr>
                <w:noProof/>
              </w:rPr>
            </w:pPr>
            <w:r>
              <w:t>článok 17</w:t>
            </w:r>
          </w:p>
        </w:tc>
        <w:tc>
          <w:tcPr>
            <w:tcW w:w="1814" w:type="dxa"/>
          </w:tcPr>
          <w:p w:rsidR="00F7624D" w:rsidRDefault="003C5F24">
            <w:pPr>
              <w:spacing w:line="360" w:lineRule="auto"/>
              <w:rPr>
                <w:noProof/>
              </w:rPr>
            </w:pPr>
            <w:r>
              <w:t>článok 43</w:t>
            </w:r>
          </w:p>
        </w:tc>
        <w:tc>
          <w:tcPr>
            <w:tcW w:w="2268" w:type="dxa"/>
          </w:tcPr>
          <w:p w:rsidR="00F7624D" w:rsidRDefault="003C5F24">
            <w:pPr>
              <w:spacing w:line="360" w:lineRule="auto"/>
              <w:rPr>
                <w:noProof/>
              </w:rPr>
            </w:pPr>
            <w:r>
              <w:t>článok 108</w:t>
            </w:r>
          </w:p>
        </w:tc>
      </w:tr>
      <w:tr w:rsidR="00F7624D">
        <w:tc>
          <w:tcPr>
            <w:tcW w:w="2750" w:type="dxa"/>
          </w:tcPr>
          <w:p w:rsidR="00F7624D" w:rsidRDefault="003C5F24">
            <w:pPr>
              <w:spacing w:line="360" w:lineRule="auto"/>
              <w:rPr>
                <w:noProof/>
              </w:rPr>
            </w:pPr>
            <w:r>
              <w:t>článok 109 ods. 1</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44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109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44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109 ods. 3</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44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109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44 ods. 4</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109 ods.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18 ods. 1</w:t>
            </w:r>
          </w:p>
        </w:tc>
        <w:tc>
          <w:tcPr>
            <w:tcW w:w="1814" w:type="dxa"/>
          </w:tcPr>
          <w:p w:rsidR="00F7624D" w:rsidRDefault="003C5F24">
            <w:pPr>
              <w:spacing w:line="360" w:lineRule="auto"/>
              <w:rPr>
                <w:noProof/>
              </w:rPr>
            </w:pPr>
            <w:r>
              <w:t>článok 45 ods. 1, článok 45 ods. 2</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18 ods. 2</w:t>
            </w:r>
          </w:p>
        </w:tc>
        <w:tc>
          <w:tcPr>
            <w:tcW w:w="1814" w:type="dxa"/>
          </w:tcPr>
          <w:p w:rsidR="00F7624D" w:rsidRDefault="003C5F24">
            <w:pPr>
              <w:spacing w:line="360" w:lineRule="auto"/>
              <w:rPr>
                <w:noProof/>
              </w:rPr>
            </w:pPr>
            <w:r>
              <w:t>článok 45 ods. 3</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18 ods. 3</w:t>
            </w:r>
          </w:p>
        </w:tc>
        <w:tc>
          <w:tcPr>
            <w:tcW w:w="1814" w:type="dxa"/>
          </w:tcPr>
          <w:p w:rsidR="00F7624D" w:rsidRDefault="003C5F24">
            <w:pPr>
              <w:spacing w:line="360" w:lineRule="auto"/>
              <w:rPr>
                <w:noProof/>
              </w:rPr>
            </w:pPr>
            <w:r>
              <w:t>článok 45 ods. 4</w:t>
            </w:r>
          </w:p>
        </w:tc>
        <w:tc>
          <w:tcPr>
            <w:tcW w:w="2268" w:type="dxa"/>
          </w:tcPr>
          <w:p w:rsidR="00F7624D" w:rsidRDefault="00F7624D">
            <w:pPr>
              <w:spacing w:line="360" w:lineRule="auto"/>
              <w:rPr>
                <w:noProof/>
              </w:rPr>
            </w:pPr>
          </w:p>
        </w:tc>
      </w:tr>
      <w:tr w:rsidR="00F7624D">
        <w:tc>
          <w:tcPr>
            <w:tcW w:w="2750" w:type="dxa"/>
          </w:tcPr>
          <w:p w:rsidR="00F7624D" w:rsidRDefault="00F7624D">
            <w:pPr>
              <w:spacing w:line="360" w:lineRule="auto"/>
              <w:rPr>
                <w:noProof/>
              </w:rPr>
            </w:pPr>
          </w:p>
        </w:tc>
        <w:tc>
          <w:tcPr>
            <w:tcW w:w="2519" w:type="dxa"/>
          </w:tcPr>
          <w:p w:rsidR="00F7624D" w:rsidRDefault="003C5F24">
            <w:pPr>
              <w:spacing w:line="360" w:lineRule="auto"/>
              <w:rPr>
                <w:noProof/>
              </w:rPr>
            </w:pPr>
            <w:r>
              <w:t>článok 18 ods. 4</w:t>
            </w:r>
          </w:p>
        </w:tc>
        <w:tc>
          <w:tcPr>
            <w:tcW w:w="1814" w:type="dxa"/>
          </w:tcPr>
          <w:p w:rsidR="00F7624D" w:rsidRDefault="003C5F24">
            <w:pPr>
              <w:spacing w:line="360" w:lineRule="auto"/>
              <w:rPr>
                <w:noProof/>
              </w:rPr>
            </w:pPr>
            <w:r>
              <w:t>-</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114</w:t>
            </w:r>
          </w:p>
        </w:tc>
        <w:tc>
          <w:tcPr>
            <w:tcW w:w="2519" w:type="dxa"/>
          </w:tcPr>
          <w:p w:rsidR="00F7624D" w:rsidRDefault="003C5F24">
            <w:pPr>
              <w:spacing w:line="360" w:lineRule="auto"/>
              <w:rPr>
                <w:noProof/>
              </w:rPr>
            </w:pPr>
            <w:r>
              <w:t>článok 21</w:t>
            </w:r>
          </w:p>
        </w:tc>
        <w:tc>
          <w:tcPr>
            <w:tcW w:w="1814" w:type="dxa"/>
          </w:tcPr>
          <w:p w:rsidR="00F7624D" w:rsidRDefault="003C5F24">
            <w:pPr>
              <w:spacing w:line="360" w:lineRule="auto"/>
              <w:rPr>
                <w:noProof/>
              </w:rPr>
            </w:pPr>
            <w:r>
              <w:t>článok 48</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115 ods. 1</w:t>
            </w:r>
          </w:p>
        </w:tc>
        <w:tc>
          <w:tcPr>
            <w:tcW w:w="2519" w:type="dxa"/>
          </w:tcPr>
          <w:p w:rsidR="00F7624D" w:rsidRDefault="003C5F24">
            <w:pPr>
              <w:spacing w:line="360" w:lineRule="auto"/>
              <w:rPr>
                <w:noProof/>
              </w:rPr>
            </w:pPr>
            <w:r>
              <w:t>článok 22 ods. 1</w:t>
            </w:r>
          </w:p>
        </w:tc>
        <w:tc>
          <w:tcPr>
            <w:tcW w:w="1814" w:type="dxa"/>
          </w:tcPr>
          <w:p w:rsidR="00F7624D" w:rsidRDefault="003C5F24">
            <w:pPr>
              <w:spacing w:line="360" w:lineRule="auto"/>
              <w:rPr>
                <w:noProof/>
              </w:rPr>
            </w:pPr>
            <w:r>
              <w:t>článok 49 ods. 1</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115 ods. 2</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článok 49 ods. 2</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115 ods. 3</w:t>
            </w:r>
          </w:p>
        </w:tc>
        <w:tc>
          <w:tcPr>
            <w:tcW w:w="2519" w:type="dxa"/>
          </w:tcPr>
          <w:p w:rsidR="00F7624D" w:rsidRDefault="003C5F24">
            <w:pPr>
              <w:spacing w:line="360" w:lineRule="auto"/>
              <w:rPr>
                <w:noProof/>
              </w:rPr>
            </w:pPr>
            <w:r>
              <w:t>článok 22 ods. 2</w:t>
            </w:r>
          </w:p>
        </w:tc>
        <w:tc>
          <w:tcPr>
            <w:tcW w:w="1814" w:type="dxa"/>
          </w:tcPr>
          <w:p w:rsidR="00F7624D" w:rsidRDefault="003C5F24">
            <w:pPr>
              <w:spacing w:line="360" w:lineRule="auto"/>
              <w:rPr>
                <w:noProof/>
              </w:rPr>
            </w:pPr>
            <w:r>
              <w:t>článok 49 ods. 3</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115 ods. 4</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115 ods. 5</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115 ods. 6</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w:t>
            </w:r>
          </w:p>
        </w:tc>
        <w:tc>
          <w:tcPr>
            <w:tcW w:w="2268" w:type="dxa"/>
          </w:tcPr>
          <w:p w:rsidR="00F7624D" w:rsidRDefault="00F7624D">
            <w:pPr>
              <w:spacing w:line="360" w:lineRule="auto"/>
              <w:rPr>
                <w:noProof/>
              </w:rPr>
            </w:pPr>
          </w:p>
        </w:tc>
      </w:tr>
      <w:tr w:rsidR="00F7624D">
        <w:tc>
          <w:tcPr>
            <w:tcW w:w="2750" w:type="dxa"/>
          </w:tcPr>
          <w:p w:rsidR="00F7624D" w:rsidRDefault="003C5F24">
            <w:pPr>
              <w:spacing w:line="360" w:lineRule="auto"/>
              <w:rPr>
                <w:noProof/>
              </w:rPr>
            </w:pPr>
            <w:r>
              <w:t>článok 116</w:t>
            </w:r>
          </w:p>
        </w:tc>
        <w:tc>
          <w:tcPr>
            <w:tcW w:w="2519" w:type="dxa"/>
          </w:tcPr>
          <w:p w:rsidR="00F7624D" w:rsidRDefault="003C5F24">
            <w:pPr>
              <w:spacing w:line="360" w:lineRule="auto"/>
              <w:rPr>
                <w:noProof/>
              </w:rPr>
            </w:pPr>
            <w:r>
              <w:t>článok 23</w:t>
            </w:r>
          </w:p>
        </w:tc>
        <w:tc>
          <w:tcPr>
            <w:tcW w:w="1814" w:type="dxa"/>
          </w:tcPr>
          <w:p w:rsidR="00F7624D" w:rsidRDefault="003C5F24">
            <w:pPr>
              <w:spacing w:line="360" w:lineRule="auto"/>
              <w:rPr>
                <w:noProof/>
              </w:rPr>
            </w:pPr>
            <w:r>
              <w:t>článok 50</w:t>
            </w:r>
          </w:p>
        </w:tc>
        <w:tc>
          <w:tcPr>
            <w:tcW w:w="2268" w:type="dxa"/>
          </w:tcPr>
          <w:p w:rsidR="00F7624D" w:rsidRDefault="003C5F24">
            <w:pPr>
              <w:spacing w:line="360" w:lineRule="auto"/>
              <w:rPr>
                <w:noProof/>
              </w:rPr>
            </w:pPr>
            <w:r>
              <w:t>článok 112</w:t>
            </w:r>
          </w:p>
        </w:tc>
      </w:tr>
      <w:tr w:rsidR="00F7624D">
        <w:tc>
          <w:tcPr>
            <w:tcW w:w="2750" w:type="dxa"/>
          </w:tcPr>
          <w:p w:rsidR="00F7624D" w:rsidRDefault="003C5F24">
            <w:pPr>
              <w:spacing w:line="360" w:lineRule="auto"/>
              <w:rPr>
                <w:noProof/>
              </w:rPr>
            </w:pPr>
            <w:r>
              <w:t>článok 117</w:t>
            </w:r>
          </w:p>
        </w:tc>
        <w:tc>
          <w:tcPr>
            <w:tcW w:w="2519" w:type="dxa"/>
          </w:tcPr>
          <w:p w:rsidR="00F7624D" w:rsidRDefault="003C5F24">
            <w:pPr>
              <w:spacing w:line="360" w:lineRule="auto"/>
              <w:rPr>
                <w:noProof/>
              </w:rPr>
            </w:pPr>
            <w:r>
              <w:t>článok 24</w:t>
            </w:r>
          </w:p>
        </w:tc>
        <w:tc>
          <w:tcPr>
            <w:tcW w:w="1814" w:type="dxa"/>
          </w:tcPr>
          <w:p w:rsidR="00F7624D" w:rsidRDefault="003C5F24">
            <w:pPr>
              <w:spacing w:line="360" w:lineRule="auto"/>
              <w:rPr>
                <w:noProof/>
              </w:rPr>
            </w:pPr>
            <w:r>
              <w:t>článok 51</w:t>
            </w:r>
          </w:p>
        </w:tc>
        <w:tc>
          <w:tcPr>
            <w:tcW w:w="2268" w:type="dxa"/>
          </w:tcPr>
          <w:p w:rsidR="00F7624D" w:rsidRDefault="003C5F24">
            <w:pPr>
              <w:spacing w:line="360" w:lineRule="auto"/>
              <w:rPr>
                <w:noProof/>
              </w:rPr>
            </w:pPr>
            <w:r>
              <w:t>-</w:t>
            </w:r>
          </w:p>
        </w:tc>
      </w:tr>
      <w:tr w:rsidR="00F7624D">
        <w:tc>
          <w:tcPr>
            <w:tcW w:w="2750" w:type="dxa"/>
          </w:tcPr>
          <w:p w:rsidR="00F7624D" w:rsidRDefault="003C5F24">
            <w:pPr>
              <w:spacing w:line="360" w:lineRule="auto"/>
              <w:rPr>
                <w:noProof/>
              </w:rPr>
            </w:pPr>
            <w:r>
              <w:t>príloha I</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príloha I</w:t>
            </w:r>
          </w:p>
        </w:tc>
        <w:tc>
          <w:tcPr>
            <w:tcW w:w="2268" w:type="dxa"/>
          </w:tcPr>
          <w:p w:rsidR="00F7624D" w:rsidRDefault="003C5F24">
            <w:pPr>
              <w:spacing w:line="360" w:lineRule="auto"/>
              <w:rPr>
                <w:noProof/>
              </w:rPr>
            </w:pPr>
            <w:r>
              <w:t>príloha I</w:t>
            </w:r>
          </w:p>
        </w:tc>
      </w:tr>
      <w:tr w:rsidR="00F7624D">
        <w:tc>
          <w:tcPr>
            <w:tcW w:w="2750" w:type="dxa"/>
          </w:tcPr>
          <w:p w:rsidR="00F7624D" w:rsidRDefault="00F7624D">
            <w:pPr>
              <w:spacing w:line="360" w:lineRule="auto"/>
              <w:rPr>
                <w:noProof/>
              </w:rPr>
            </w:pP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príloha II</w:t>
            </w:r>
          </w:p>
        </w:tc>
        <w:tc>
          <w:tcPr>
            <w:tcW w:w="2268" w:type="dxa"/>
          </w:tcPr>
          <w:p w:rsidR="00F7624D" w:rsidRDefault="003C5F24">
            <w:pPr>
              <w:spacing w:line="360" w:lineRule="auto"/>
              <w:rPr>
                <w:noProof/>
              </w:rPr>
            </w:pPr>
            <w:r>
              <w:t>príloha II</w:t>
            </w:r>
          </w:p>
        </w:tc>
      </w:tr>
      <w:tr w:rsidR="00F7624D">
        <w:tc>
          <w:tcPr>
            <w:tcW w:w="2750" w:type="dxa"/>
          </w:tcPr>
          <w:p w:rsidR="00F7624D" w:rsidRDefault="003C5F24">
            <w:pPr>
              <w:spacing w:line="360" w:lineRule="auto"/>
              <w:rPr>
                <w:noProof/>
              </w:rPr>
            </w:pPr>
            <w:r>
              <w:t>príloha II</w:t>
            </w:r>
          </w:p>
        </w:tc>
        <w:tc>
          <w:tcPr>
            <w:tcW w:w="2519" w:type="dxa"/>
          </w:tcPr>
          <w:p w:rsidR="00F7624D" w:rsidRDefault="00F7624D">
            <w:pPr>
              <w:spacing w:line="360" w:lineRule="auto"/>
              <w:rPr>
                <w:noProof/>
              </w:rPr>
            </w:pPr>
          </w:p>
        </w:tc>
        <w:tc>
          <w:tcPr>
            <w:tcW w:w="1814" w:type="dxa"/>
          </w:tcPr>
          <w:p w:rsidR="00F7624D" w:rsidRDefault="003C5F24">
            <w:pPr>
              <w:spacing w:line="360" w:lineRule="auto"/>
              <w:rPr>
                <w:noProof/>
              </w:rPr>
            </w:pPr>
            <w:r>
              <w:t>príloha III</w:t>
            </w:r>
          </w:p>
        </w:tc>
        <w:tc>
          <w:tcPr>
            <w:tcW w:w="2268" w:type="dxa"/>
          </w:tcPr>
          <w:p w:rsidR="00F7624D" w:rsidRDefault="003C5F24">
            <w:pPr>
              <w:spacing w:line="360" w:lineRule="auto"/>
              <w:rPr>
                <w:noProof/>
              </w:rPr>
            </w:pPr>
            <w:r>
              <w:t>príloha III</w:t>
            </w:r>
          </w:p>
        </w:tc>
      </w:tr>
    </w:tbl>
    <w:p w:rsidR="00F7624D" w:rsidRDefault="00F7624D">
      <w:pPr>
        <w:spacing w:line="360" w:lineRule="auto"/>
        <w:rPr>
          <w:noProof/>
        </w:rPr>
      </w:pPr>
    </w:p>
    <w:p w:rsidR="00F7624D" w:rsidRDefault="00F7624D">
      <w:pPr>
        <w:jc w:val="center"/>
        <w:rPr>
          <w:i/>
          <w:noProof/>
        </w:rPr>
      </w:pPr>
    </w:p>
    <w:sectPr w:rsidR="00F7624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24D" w:rsidRDefault="003C5F24">
      <w:r>
        <w:separator/>
      </w:r>
    </w:p>
  </w:endnote>
  <w:endnote w:type="continuationSeparator" w:id="0">
    <w:p w:rsidR="00F7624D" w:rsidRDefault="003C5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24D" w:rsidRDefault="00F7624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24D" w:rsidRDefault="00F7624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24D" w:rsidRDefault="00F7624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24D" w:rsidRDefault="003C5F24">
      <w:r>
        <w:separator/>
      </w:r>
    </w:p>
  </w:footnote>
  <w:footnote w:type="continuationSeparator" w:id="0">
    <w:p w:rsidR="00F7624D" w:rsidRDefault="003C5F24">
      <w:r>
        <w:continuationSeparator/>
      </w:r>
    </w:p>
  </w:footnote>
  <w:footnote w:id="1">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r>
      <w:r>
        <w:rPr>
          <w:sz w:val="24"/>
          <w:szCs w:val="24"/>
          <w:lang w:val="sk-SK"/>
        </w:rPr>
        <w:t xml:space="preserve">Ú. v. EÚ C, </w:t>
      </w:r>
      <w:r>
        <w:rPr>
          <w:iCs/>
          <w:sz w:val="24"/>
          <w:szCs w:val="24"/>
          <w:lang w:val="sk-SK"/>
        </w:rPr>
        <w:t>C/2024/1594, 5.3.2024, ELI: http://data.europa.eu/eli/C/2024/1594/oj</w:t>
      </w:r>
      <w:r>
        <w:rPr>
          <w:sz w:val="24"/>
          <w:szCs w:val="24"/>
          <w:lang w:val="sk-SK"/>
        </w:rPr>
        <w:t>.</w:t>
      </w:r>
    </w:p>
  </w:footnote>
  <w:footnote w:id="2">
    <w:p w:rsidR="00F7624D" w:rsidRDefault="003C5F24">
      <w:pPr>
        <w:pStyle w:val="FootnoteText"/>
        <w:ind w:left="709" w:hanging="709"/>
        <w:rPr>
          <w:sz w:val="24"/>
          <w:szCs w:val="24"/>
          <w:lang w:val="sk-SK"/>
        </w:rPr>
      </w:pPr>
      <w:r>
        <w:rPr>
          <w:rStyle w:val="FootnoteReference"/>
          <w:lang w:val="sk-SK"/>
        </w:rPr>
        <w:t>*</w:t>
      </w:r>
      <w:r>
        <w:rPr>
          <w:lang w:val="sk-SK"/>
        </w:rPr>
        <w:t xml:space="preserve"> </w:t>
      </w:r>
      <w:r>
        <w:rPr>
          <w:lang w:val="sk-SK"/>
        </w:rPr>
        <w:tab/>
      </w:r>
      <w:r>
        <w:rPr>
          <w:sz w:val="24"/>
          <w:szCs w:val="24"/>
          <w:lang w:val="sk-SK"/>
        </w:rPr>
        <w:t>Zmeny v celom texte vyplývajú z prijatia pozmeňujúceho návrhu 1. Nový alebo zmenený text je vyznačený hrubou kurzívou; vypustenia sa označujú symbolom ▌.</w:t>
      </w:r>
    </w:p>
  </w:footnote>
  <w:footnote w:id="3">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 xml:space="preserve">Ú. v. EÚ C , , </w:t>
      </w:r>
      <w:r>
        <w:rPr>
          <w:sz w:val="24"/>
          <w:szCs w:val="24"/>
          <w:lang w:val="sk-SK"/>
        </w:rPr>
        <w:t>s. .</w:t>
      </w:r>
    </w:p>
  </w:footnote>
  <w:footnote w:id="4">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Ú. v. EÚ C , , s. .</w:t>
      </w:r>
    </w:p>
  </w:footnote>
  <w:footnote w:id="5">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Smernica Európskeho parlamentu a Rady (EÚ) 2015/2366 z 25. novembra 2015 o platobných službách na vnútornom trhu, ktorou sa menia smernice 2002/65/ES, 2009/110/ES a 2013/36/EÚ a nariadenie (EÚ) č. 1093/2010, a ktorou sa zrušuje</w:t>
      </w:r>
      <w:r>
        <w:rPr>
          <w:sz w:val="24"/>
          <w:szCs w:val="24"/>
          <w:lang w:val="sk-SK"/>
        </w:rPr>
        <w:t xml:space="preserve"> smernica 2007/64/ES (Ú. v. EÚ L 337, 23.12.2015, s. 35).</w:t>
      </w:r>
    </w:p>
  </w:footnote>
  <w:footnote w:id="6">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 xml:space="preserve">Oznámenie Komisie Európskemu parlamentu, Rade, Európskemu hospodárskemu a sociálnemu výboru a Výboru regiónov z 24. septembra 2020 o stratégii EÚ v oblasti </w:t>
      </w:r>
      <w:proofErr w:type="spellStart"/>
      <w:r>
        <w:rPr>
          <w:sz w:val="24"/>
          <w:szCs w:val="24"/>
          <w:lang w:val="sk-SK"/>
        </w:rPr>
        <w:t>retailových</w:t>
      </w:r>
      <w:proofErr w:type="spellEnd"/>
      <w:r>
        <w:rPr>
          <w:sz w:val="24"/>
          <w:szCs w:val="24"/>
          <w:lang w:val="sk-SK"/>
        </w:rPr>
        <w:t xml:space="preserve"> platieb [</w:t>
      </w:r>
      <w:proofErr w:type="spellStart"/>
      <w:r>
        <w:rPr>
          <w:sz w:val="24"/>
          <w:szCs w:val="24"/>
          <w:lang w:val="sk-SK"/>
        </w:rPr>
        <w:t>COM</w:t>
      </w:r>
      <w:proofErr w:type="spellEnd"/>
      <w:r>
        <w:rPr>
          <w:sz w:val="24"/>
          <w:szCs w:val="24"/>
          <w:lang w:val="sk-SK"/>
        </w:rPr>
        <w:t xml:space="preserve">(2020) 592 </w:t>
      </w:r>
      <w:proofErr w:type="spellStart"/>
      <w:r>
        <w:rPr>
          <w:sz w:val="24"/>
          <w:szCs w:val="24"/>
          <w:lang w:val="sk-SK"/>
        </w:rPr>
        <w:t>final</w:t>
      </w:r>
      <w:proofErr w:type="spellEnd"/>
      <w:r>
        <w:rPr>
          <w:sz w:val="24"/>
          <w:szCs w:val="24"/>
          <w:lang w:val="sk-SK"/>
        </w:rPr>
        <w:t>].</w:t>
      </w:r>
    </w:p>
  </w:footnote>
  <w:footnote w:id="7">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Smernica Európskeho parlamentu a Rady 2009/110/ES zo 16. septembra 2009 o začatí a vykonávaní činností a dohľade nad obozretným podnikaním inštitúcií elektronického peňažníctva, ktorou sa menia a dopĺňajú smernice 2005/60/ES a 2006/48/ES a zrušuje sme</w:t>
      </w:r>
      <w:r>
        <w:rPr>
          <w:sz w:val="24"/>
          <w:szCs w:val="24"/>
          <w:lang w:val="sk-SK"/>
        </w:rPr>
        <w:t>rnica 2000/46/ES (Ú. v. EÚ L 267, 10.10.2009, s. 7).</w:t>
      </w:r>
    </w:p>
  </w:footnote>
  <w:footnote w:id="8">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Nariadenie Európskeho parlamentu a Rady (EÚ) 2023/1114 z 31. mája 2023 o trhoch s </w:t>
      </w:r>
      <w:proofErr w:type="spellStart"/>
      <w:r>
        <w:rPr>
          <w:sz w:val="24"/>
          <w:szCs w:val="24"/>
          <w:lang w:val="sk-SK"/>
        </w:rPr>
        <w:t>kryptoaktívami</w:t>
      </w:r>
      <w:proofErr w:type="spellEnd"/>
      <w:r>
        <w:rPr>
          <w:sz w:val="24"/>
          <w:szCs w:val="24"/>
          <w:lang w:val="sk-SK"/>
        </w:rPr>
        <w:t xml:space="preserve"> a o zmene nariadení (EÚ) č. 1093/2010 a (EÚ) č. 1095/2010 a smerníc 2013/36/EÚ a (EÚ) 2019/1937 (Ú. v. E</w:t>
      </w:r>
      <w:r>
        <w:rPr>
          <w:sz w:val="24"/>
          <w:szCs w:val="24"/>
          <w:lang w:val="sk-SK"/>
        </w:rPr>
        <w:t>Ú L 150, 9.6.2023, s. 40).</w:t>
      </w:r>
    </w:p>
  </w:footnote>
  <w:footnote w:id="9">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Nariadenie Európskeho parlamentu a Rady (EÚ) 2015/751 z 29. apríla 2015 o výmenných poplatkoch za platobné transakcie viazané na kartu (Ú. v. EÚ L 123, 19.5.2015, s. 1).</w:t>
      </w:r>
    </w:p>
  </w:footnote>
  <w:footnote w:id="10">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 xml:space="preserve">Smernica Európskeho parlamentu a Rady 2007/64/ES </w:t>
      </w:r>
      <w:r>
        <w:rPr>
          <w:sz w:val="24"/>
          <w:szCs w:val="24"/>
          <w:lang w:val="sk-SK"/>
        </w:rPr>
        <w:t>z 13. novembra 2007 o platobných službách na vnútornom trhu, ktorou sa menia a dopĺňajú smernice 97/7/ES, 2002/65/ES, 2005/60/ES a 2006/48/ES a ktorou sa zrušuje smernica 97/5/ES (Ú. v. EÚ L 319, 5.12.2007, s. 1).</w:t>
      </w:r>
    </w:p>
  </w:footnote>
  <w:footnote w:id="11">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Európsky orgán pre bankovníctvo, EBA/REP</w:t>
      </w:r>
      <w:r>
        <w:rPr>
          <w:sz w:val="24"/>
          <w:szCs w:val="24"/>
          <w:lang w:val="sk-SK"/>
        </w:rPr>
        <w:t>/2023/01, Správa z partnerského preskúmania týkajúceho sa udeľovania povolení podľa druhej smernice o platobných službách.</w:t>
      </w:r>
    </w:p>
  </w:footnote>
  <w:footnote w:id="12">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 xml:space="preserve">Nariadenie Európskeho parlamentu a Rady (EÚ) 2022/2554 zo 14. decembra 2022 o digitálnej prevádzkovej odolnosti finančného sektora </w:t>
      </w:r>
      <w:r>
        <w:rPr>
          <w:sz w:val="24"/>
          <w:szCs w:val="24"/>
          <w:lang w:val="sk-SK"/>
        </w:rPr>
        <w:t>a o zmene nariadení (ES) č. 1060/2009, (EÚ) č. 648/2012, (EÚ) č. 600/2014, (EÚ) č. 909/2014 a (EÚ) 2016/1011 (Ú. v. EÚ L 333, 27.12.2022, s. 1).</w:t>
      </w:r>
    </w:p>
  </w:footnote>
  <w:footnote w:id="13">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Nariadenie Európskeho parlamentu a Rady (EÚ) č. 575/2013 z 26. júna 2013 o </w:t>
      </w:r>
      <w:proofErr w:type="spellStart"/>
      <w:r>
        <w:rPr>
          <w:sz w:val="24"/>
          <w:szCs w:val="24"/>
          <w:lang w:val="sk-SK"/>
        </w:rPr>
        <w:t>prudenciálnych</w:t>
      </w:r>
      <w:proofErr w:type="spellEnd"/>
      <w:r>
        <w:rPr>
          <w:sz w:val="24"/>
          <w:szCs w:val="24"/>
          <w:lang w:val="sk-SK"/>
        </w:rPr>
        <w:t xml:space="preserve"> požiadavkách na úve</w:t>
      </w:r>
      <w:r>
        <w:rPr>
          <w:sz w:val="24"/>
          <w:szCs w:val="24"/>
          <w:lang w:val="sk-SK"/>
        </w:rPr>
        <w:t>rové inštitúcie a investičné spoločnosti a o zmene nariadenia (EÚ) č. 648/2012 (Ú. v. EÚ L 176, 27.6.2013, s. 1).</w:t>
      </w:r>
    </w:p>
  </w:footnote>
  <w:footnote w:id="14">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Smernica Európskeho parlamentu a Rady 2013/36/EÚ z 26. júna 2013 o prístupe k činnosti úverových inštitúcií a </w:t>
      </w:r>
      <w:proofErr w:type="spellStart"/>
      <w:r>
        <w:rPr>
          <w:sz w:val="24"/>
          <w:szCs w:val="24"/>
          <w:lang w:val="sk-SK"/>
        </w:rPr>
        <w:t>prudenciálnom</w:t>
      </w:r>
      <w:proofErr w:type="spellEnd"/>
      <w:r>
        <w:rPr>
          <w:sz w:val="24"/>
          <w:szCs w:val="24"/>
          <w:lang w:val="sk-SK"/>
        </w:rPr>
        <w:t xml:space="preserve"> dohľade nad úver</w:t>
      </w:r>
      <w:r>
        <w:rPr>
          <w:sz w:val="24"/>
          <w:szCs w:val="24"/>
          <w:lang w:val="sk-SK"/>
        </w:rPr>
        <w:t>ovými inštitúciami a investičnými spoločnosťami, o zmene smernice 2002/87/ES a o zrušení smerníc 2006/48/ES a 2006/49/ES.</w:t>
      </w:r>
    </w:p>
  </w:footnote>
  <w:footnote w:id="15">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Smernica Európskeho parlamentu a Rady 2008/48/ES z 23. apríla 2008 o zmluvách o spotrebiteľskom úvere a o zrušení smernice Rady 87/1</w:t>
      </w:r>
      <w:r>
        <w:rPr>
          <w:sz w:val="24"/>
          <w:szCs w:val="24"/>
          <w:lang w:val="sk-SK"/>
        </w:rPr>
        <w:t>02/EHS (Ú. v. EÚ L 133, 22.5.2008, s. 66).</w:t>
      </w:r>
    </w:p>
  </w:footnote>
  <w:footnote w:id="16">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Nariadenie Európskeho parlamentu a Rady (EÚ) 2016/679 z 27. apríla 2016 o ochrane fyzických osôb pri spracúvaní osobných údajov a o voľnom pohybe takýchto údajov, ktorým sa zrušuje smernica 95/46/ES (všeobecné n</w:t>
      </w:r>
      <w:r>
        <w:rPr>
          <w:sz w:val="24"/>
          <w:szCs w:val="24"/>
          <w:lang w:val="sk-SK"/>
        </w:rPr>
        <w:t>ariadenie o ochrane údajov) (Ú. v. EÚ L 119, 4.5.2016, s. 1).</w:t>
      </w:r>
    </w:p>
  </w:footnote>
  <w:footnote w:id="17">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Nariadenie Európskeho parlamentu a Rady (EÚ) 2018/1725 z 23. októbra 2018 o ochrane fyzických osôb pri spracúvaní osobných údajov inštitúciami, orgánmi, úradmi a agentúrami Únie a o voľnom poh</w:t>
      </w:r>
      <w:r>
        <w:rPr>
          <w:sz w:val="24"/>
          <w:szCs w:val="24"/>
          <w:lang w:val="sk-SK"/>
        </w:rPr>
        <w:t>ybe takýchto údajov, ktorým sa zrušuje nariadenie (ES) č. 45/2001 a rozhodnutie č. 1247/2002/ES (Ú. v. EÚ L 295, 21.11.2018, s. 39).</w:t>
      </w:r>
    </w:p>
  </w:footnote>
  <w:footnote w:id="18">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 xml:space="preserve">Delegované nariadenie Komisie (EÚ) 2017/2055 z 23. júna 2017, ktorým sa dopĺňa smernica Európskeho parlamentu a Rady </w:t>
      </w:r>
      <w:r>
        <w:rPr>
          <w:sz w:val="24"/>
          <w:szCs w:val="24"/>
          <w:lang w:val="sk-SK"/>
        </w:rPr>
        <w:t>(EÚ) 2015/2366, pokiaľ ide o regulačné technické predpisy pre spoluprácu a výmenu informácií medzi príslušnými orgánmi, ktoré sa týkajú uplatnenia práva usadiť sa a slobody poskytovať služby platobných inštitúcií (Ú. v. EÚ L 294, 11.11.2017, s. 1).</w:t>
      </w:r>
    </w:p>
  </w:footnote>
  <w:footnote w:id="19">
    <w:p w:rsidR="00F7624D" w:rsidRDefault="003C5F24">
      <w:pPr>
        <w:pStyle w:val="FootnoteText"/>
        <w:ind w:left="709" w:hanging="709"/>
        <w:jc w:val="both"/>
        <w:rPr>
          <w:sz w:val="24"/>
          <w:szCs w:val="24"/>
          <w:lang w:val="sk-SK"/>
        </w:rPr>
      </w:pPr>
      <w:r>
        <w:rPr>
          <w:rStyle w:val="FootnoteReference"/>
          <w:sz w:val="24"/>
          <w:szCs w:val="24"/>
          <w:lang w:val="sk-SK"/>
        </w:rPr>
        <w:footnoteRef/>
      </w:r>
      <w:r>
        <w:rPr>
          <w:sz w:val="24"/>
          <w:szCs w:val="24"/>
          <w:lang w:val="sk-SK"/>
        </w:rPr>
        <w:tab/>
        <w:t>Deleg</w:t>
      </w:r>
      <w:r>
        <w:rPr>
          <w:sz w:val="24"/>
          <w:szCs w:val="24"/>
          <w:lang w:val="sk-SK"/>
        </w:rPr>
        <w:t>ované nariadenie Komisie (EÚ) 2021/1722 z 18. júna 2021, ktorým sa dopĺňa smernica Európskeho parlamentu a Rady (EÚ) 2015/2366, pokiaľ ide o regulačné technické predpisy, ktorými sa stanovuje rámec pre spoluprácu a výmenu informácií medzi príslušnými orgán</w:t>
      </w:r>
      <w:r>
        <w:rPr>
          <w:sz w:val="24"/>
          <w:szCs w:val="24"/>
          <w:lang w:val="sk-SK"/>
        </w:rPr>
        <w:t>mi domovského a hostiteľského členského štátu v kontexte dohľadu nad platobnými inštitúciami a inštitúciami elektronických peňazí vykonávajúcimi cezhraničné poskytovanie platobných služieb (Ú. v. EÚ L 343, 28.9.2021, s. 1).</w:t>
      </w:r>
    </w:p>
  </w:footnote>
  <w:footnote w:id="20">
    <w:p w:rsidR="00F7624D" w:rsidRDefault="003C5F24">
      <w:pPr>
        <w:pStyle w:val="FootnoteText"/>
        <w:ind w:left="709" w:hanging="709"/>
        <w:jc w:val="both"/>
        <w:rPr>
          <w:sz w:val="24"/>
          <w:szCs w:val="24"/>
          <w:lang w:val="sk-SK"/>
        </w:rPr>
      </w:pPr>
      <w:r>
        <w:rPr>
          <w:rStyle w:val="FootnoteReference"/>
          <w:sz w:val="24"/>
          <w:szCs w:val="24"/>
          <w:lang w:val="sk-SK"/>
        </w:rPr>
        <w:footnoteRef/>
      </w:r>
      <w:r>
        <w:rPr>
          <w:sz w:val="24"/>
          <w:szCs w:val="24"/>
          <w:lang w:val="sk-SK"/>
        </w:rPr>
        <w:tab/>
        <w:t xml:space="preserve">Delegované nariadenie Komisie </w:t>
      </w:r>
      <w:r>
        <w:rPr>
          <w:sz w:val="24"/>
          <w:szCs w:val="24"/>
          <w:lang w:val="sk-SK"/>
        </w:rPr>
        <w:t xml:space="preserve">(EÚ) 2020/1423 zo 14. marca 2019, ktorým sa dopĺňa smernica Európskeho parlamentu a Rady (EÚ) 2015/2366, pokiaľ ide o regulačné technické predpisy týkajúce sa kritérií stanovovania ústredných kontaktných bodov v oblasti platobných služieb a funkcií týchto </w:t>
      </w:r>
      <w:r>
        <w:rPr>
          <w:sz w:val="24"/>
          <w:szCs w:val="24"/>
          <w:lang w:val="sk-SK"/>
        </w:rPr>
        <w:t xml:space="preserve">ústredných kontaktných bodov (Ú. v. EÚ L 328, 9.10.2020, s. 1). </w:t>
      </w:r>
    </w:p>
  </w:footnote>
  <w:footnote w:id="21">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Nariadenie Európskeho parlamentu a Rady (EÚ) č. 1093/2010 z 24. novembra 2010, ktorým sa zriaďuje Európsky orgán dohľadu (Európsky orgán pre bankovníctvo) a ktorým sa mení a dopĺňa rozhodnu</w:t>
      </w:r>
      <w:r>
        <w:rPr>
          <w:sz w:val="24"/>
          <w:szCs w:val="24"/>
          <w:lang w:val="sk-SK"/>
        </w:rPr>
        <w:t>tie č. 716/2009/ES a zrušuje rozhodnutie Komisie 2009/78/ES (Ú. v. EÚ L 331, 15.12.2010, s. 12).</w:t>
      </w:r>
    </w:p>
  </w:footnote>
  <w:footnote w:id="22">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Nariadenie Európskeho parlamentu a Rady (EÚ) 20../…. o rámci pre prístup k finančným údajom a zmene nariadení (EÚ) č. 1093/2010, (EÚ) č. 1094/2010, (EÚ) č. 1</w:t>
      </w:r>
      <w:r>
        <w:rPr>
          <w:sz w:val="24"/>
          <w:szCs w:val="24"/>
          <w:lang w:val="sk-SK"/>
        </w:rPr>
        <w:t>095/2010 a (EÚ) 2022/2554.</w:t>
      </w:r>
    </w:p>
  </w:footnote>
  <w:footnote w:id="23">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Smernica Európskeho parlamentu a Rady (EÚ) 2020/1828 z 25. novembra 2020 o žalobách v zastúpení na ochranu kolektívnych záujmov spotrebiteľov a o zrušení smernice 2009/22/ES (Ú. v. EÚ L 409, 4.12.2020, s. 1).</w:t>
      </w:r>
    </w:p>
  </w:footnote>
  <w:footnote w:id="24">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r>
      <w:proofErr w:type="spellStart"/>
      <w:r>
        <w:rPr>
          <w:sz w:val="24"/>
          <w:szCs w:val="24"/>
          <w:lang w:val="sk-SK"/>
        </w:rPr>
        <w:t>COM</w:t>
      </w:r>
      <w:proofErr w:type="spellEnd"/>
      <w:r>
        <w:rPr>
          <w:sz w:val="24"/>
          <w:szCs w:val="24"/>
          <w:lang w:val="sk-SK"/>
        </w:rPr>
        <w:t xml:space="preserve">(2023)228 </w:t>
      </w:r>
      <w:proofErr w:type="spellStart"/>
      <w:r>
        <w:rPr>
          <w:sz w:val="24"/>
          <w:szCs w:val="24"/>
          <w:lang w:val="sk-SK"/>
        </w:rPr>
        <w:t>fin</w:t>
      </w:r>
      <w:r>
        <w:rPr>
          <w:sz w:val="24"/>
          <w:szCs w:val="24"/>
          <w:lang w:val="sk-SK"/>
        </w:rPr>
        <w:t>al</w:t>
      </w:r>
      <w:proofErr w:type="spellEnd"/>
      <w:r>
        <w:rPr>
          <w:sz w:val="24"/>
          <w:szCs w:val="24"/>
          <w:lang w:val="sk-SK"/>
        </w:rPr>
        <w:t>.</w:t>
      </w:r>
    </w:p>
  </w:footnote>
  <w:footnote w:id="25">
    <w:p w:rsidR="00F7624D" w:rsidRDefault="003C5F24">
      <w:pPr>
        <w:pStyle w:val="FootnoteText"/>
        <w:ind w:left="709" w:hanging="709"/>
        <w:rPr>
          <w:b/>
          <w:i/>
          <w:noProof/>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r>
      <w:r>
        <w:rPr>
          <w:b/>
          <w:i/>
          <w:sz w:val="24"/>
          <w:szCs w:val="24"/>
          <w:lang w:val="sk-SK"/>
        </w:rPr>
        <w:t>Nariadenie Európskeho parlamentu a Rady (EÚ) [.../...] z [...] o platobných službách na vnútornom trhu a o zmene nariadenia (EÚ) č. 1093/2010 (Ú. v. EÚ L ...).</w:t>
      </w:r>
    </w:p>
  </w:footnote>
  <w:footnote w:id="26">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Smernica Európskeho parlamentu a Rady 2013/34/EÚ z 26. júna 2013 o ročných účtovných zá</w:t>
      </w:r>
      <w:r>
        <w:rPr>
          <w:sz w:val="24"/>
          <w:szCs w:val="24"/>
          <w:lang w:val="sk-SK"/>
        </w:rPr>
        <w:t>vierkach, konsolidovaných účtovných závierkach a súvisiacich správach určitých druhov podnikov, ktorou sa mení smernica Európskeho parlamentu a Rady 2006/43/ES a zrušujú smernice Rady 78/660/EHS a 83/349/EHS (Ú. v. EÚ L 182, 29.6.2013, s. 19).</w:t>
      </w:r>
    </w:p>
  </w:footnote>
  <w:footnote w:id="27">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Delegované</w:t>
      </w:r>
      <w:r>
        <w:rPr>
          <w:sz w:val="24"/>
          <w:szCs w:val="24"/>
          <w:lang w:val="sk-SK"/>
        </w:rPr>
        <w:t xml:space="preserve"> nariadenie Komisie (EÚ) č. 241/2014 zo 7. januára 2014, ktorým sa dopĺňa nariadenie Európskeho parlamentu a Rady (EÚ) č. 575/2013, pokiaľ ide o regulačné technické predpisy týkajúce sa požiadaviek na vlastné zdroje inštitúcií (Ú. v. EÚ L 74, 14.3.2014, s.</w:t>
      </w:r>
      <w:r>
        <w:rPr>
          <w:sz w:val="24"/>
          <w:szCs w:val="24"/>
          <w:lang w:val="sk-SK"/>
        </w:rPr>
        <w:t xml:space="preserve"> 8).</w:t>
      </w:r>
    </w:p>
  </w:footnote>
  <w:footnote w:id="28">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Smernica Európskeho parlamentu a Rady (EÚ) 2015/849 z 20. mája 2015 o predchádzaní využívaniu finančného systému na účely prania špinavých peňazí alebo financovania terorizmu, ktorou sa mení nariadenie Európskeho parlamentu a Rady (EÚ) č. 648/2012 a</w:t>
      </w:r>
      <w:r>
        <w:rPr>
          <w:sz w:val="24"/>
          <w:szCs w:val="24"/>
          <w:lang w:val="sk-SK"/>
        </w:rPr>
        <w:t> zrušuje smernica Európskeho parlamentu a Rady 2005/60/ES a smernica Komisie 2006/70/ES (Ú. v. EÚ L 141, 5.6.2015, s. 73).</w:t>
      </w:r>
    </w:p>
  </w:footnote>
  <w:footnote w:id="29">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Nariadenie Európskeho parlamentu a Rady (EÚ) 2015/847 z 20. mája 2015 o údajoch sprevádzajúcich prevody finančných prostriedkov, kt</w:t>
      </w:r>
      <w:r>
        <w:rPr>
          <w:sz w:val="24"/>
          <w:szCs w:val="24"/>
          <w:lang w:val="sk-SK"/>
        </w:rPr>
        <w:t>orým sa zrušuje nariadenie (ES) č. 1781/2006 (Ú. v. EÚ L 141, 5.6.2015, s. 1).</w:t>
      </w:r>
    </w:p>
  </w:footnote>
  <w:footnote w:id="30">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Smernica Európskeho parlamentu a Rady 2006/43/ES zo 17. mája 2006 o štatutárnom audite ročných účtovných závierok a konsolidovaných účtovných závierok, ktorou sa menia a dopĺň</w:t>
      </w:r>
      <w:r>
        <w:rPr>
          <w:sz w:val="24"/>
          <w:szCs w:val="24"/>
          <w:lang w:val="sk-SK"/>
        </w:rPr>
        <w:t>ajú smernice Rady 78/660/EHS a 83/349/EHS a ktorou sa zrušuje smernica Rady 84/253/EHS (Ú. v. EÚ L 157, 9.6.2006, s. 87).</w:t>
      </w:r>
    </w:p>
  </w:footnote>
  <w:footnote w:id="31">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Smernica Rady 86/635/EHS z 8. decembra 1986 o ročnej účtovnej závierke a konsolidovaných účtoch bánk a iných finančných inštitúcií (</w:t>
      </w:r>
      <w:r>
        <w:rPr>
          <w:sz w:val="24"/>
          <w:szCs w:val="24"/>
          <w:lang w:val="sk-SK"/>
        </w:rPr>
        <w:t>Ú. v. ES L 372, 31.12.1986, s. 1).</w:t>
      </w:r>
    </w:p>
  </w:footnote>
  <w:footnote w:id="32">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Nariadenie Európskeho parlamentu a Rady (ES) č. 1606/2002 z 19. júla 2002 o uplatňovaní medzinárodných účtovných noriem (Ú. v. ES L 243, 11.9.2002, s. 1).</w:t>
      </w:r>
    </w:p>
  </w:footnote>
  <w:footnote w:id="33">
    <w:p w:rsidR="00F7624D" w:rsidRDefault="003C5F24">
      <w:pPr>
        <w:pStyle w:val="FootnoteText"/>
        <w:ind w:left="709" w:hanging="709"/>
        <w:rPr>
          <w:sz w:val="24"/>
          <w:szCs w:val="24"/>
          <w:lang w:val="sk-SK"/>
        </w:rPr>
      </w:pPr>
      <w:r>
        <w:rPr>
          <w:rStyle w:val="FootnoteReference"/>
          <w:sz w:val="24"/>
          <w:szCs w:val="24"/>
          <w:lang w:val="sk-SK"/>
        </w:rPr>
        <w:footnoteRef/>
      </w:r>
      <w:r>
        <w:rPr>
          <w:sz w:val="24"/>
          <w:szCs w:val="24"/>
          <w:lang w:val="sk-SK"/>
        </w:rPr>
        <w:tab/>
        <w:t>Vykonávacie nariadenie Komisie (EÚ) 2019/410 z 29. novembra 20</w:t>
      </w:r>
      <w:r>
        <w:rPr>
          <w:sz w:val="24"/>
          <w:szCs w:val="24"/>
          <w:lang w:val="sk-SK"/>
        </w:rPr>
        <w:t>18, ktorým sa stanovujú vykonávacie technické predpisy v oblasti platobných služieb, pokiaľ ide o podrobnosti a štruktúru údajov, ktoré majú oznamovať príslušné orgány Európskemu orgánu pre bankovníctvo podľa smernice Európskeho parlamentu a Rady (EÚ) 2015</w:t>
      </w:r>
      <w:r>
        <w:rPr>
          <w:sz w:val="24"/>
          <w:szCs w:val="24"/>
          <w:lang w:val="sk-SK"/>
        </w:rPr>
        <w:t>/2366 (Ú. v. EÚ L 73, 15.3.2019, s.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24D" w:rsidRDefault="00F7624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24D" w:rsidRDefault="00F7624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24D" w:rsidRDefault="00F7624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SK"/>
    <w:docVar w:name="dvnumam" w:val="0"/>
    <w:docVar w:name="dvpe" w:val="753.780"/>
    <w:docVar w:name="dvrapporteur" w:val="Spravodajca: "/>
    <w:docVar w:name="dvstar" w:val="***I"/>
    <w:docVar w:name="dvtitre" w:val="Legislatívne uznesenie Európskeho parlamentu z xx. apríla 2024 o návrhu smernice Európskeho parlamentu a Rady o platobných službách a službách elektronických peňazí na vnútornom trhu, ktorou sa mení smernica 98/26/ES a zrušujú smernice 2015/2366/EÚ a 2009/110/ES(COM(2023)0366 – C9-0218/2023 – 2023/0209(COD))"/>
  </w:docVars>
  <w:rsids>
    <w:rsidRoot w:val="00F7624D"/>
    <w:rsid w:val="003C5F24"/>
    <w:rsid w:val="00F7624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70AD69F-AE9D-44B8-9A61-D8A1D7FB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uiPriority w:val="9"/>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tyle>
  <w:style w:type="paragraph" w:styleId="TOC2">
    <w:name w:val="toc 2"/>
    <w:basedOn w:val="Normal"/>
    <w:next w:val="Normal"/>
    <w:autoRedefine/>
    <w:uiPriority w:val="39"/>
    <w:pPr>
      <w:keepNext/>
      <w:keepLines/>
      <w:widowControl/>
    </w:pPr>
    <w:rPr>
      <w:b/>
      <w:noProof/>
      <w:lang w:val="fr-FR" w:eastAsia="fr-FR"/>
    </w:rPr>
  </w:style>
  <w:style w:type="paragraph" w:styleId="TOC3">
    <w:name w:val="toc 3"/>
    <w:basedOn w:val="Normal"/>
    <w:next w:val="Normal"/>
    <w:autoRedefine/>
    <w:uiPriority w:val="39"/>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uiPriority w:val="9"/>
    <w:rPr>
      <w:b/>
      <w:kern w:val="28"/>
      <w:sz w:val="28"/>
      <w:lang w:val="fr-FR" w:eastAsia="fr-FR"/>
    </w:rPr>
  </w:style>
  <w:style w:type="character" w:customStyle="1" w:styleId="Heading2Char">
    <w:name w:val="Heading 2 Char"/>
    <w:basedOn w:val="DefaultParagraphFont"/>
    <w:link w:val="Heading2"/>
    <w:uiPriority w:val="9"/>
    <w:semiHidden/>
    <w:rPr>
      <w:sz w:val="24"/>
      <w:lang w:val="fr-FR" w:eastAsia="fr-FR"/>
    </w:rPr>
  </w:style>
  <w:style w:type="character" w:customStyle="1" w:styleId="Heading3Char">
    <w:name w:val="Heading 3 Char"/>
    <w:basedOn w:val="DefaultParagraphFont"/>
    <w:link w:val="Heading3"/>
    <w:uiPriority w:val="9"/>
    <w:semiHidden/>
    <w:rPr>
      <w:rFonts w:ascii="Arial" w:hAnsi="Arial"/>
      <w:sz w:val="24"/>
      <w:lang w:val="fr-FR" w:eastAsia="fr-FR"/>
    </w:rPr>
  </w:style>
  <w:style w:type="character" w:customStyle="1" w:styleId="Heading4Char">
    <w:name w:val="Heading 4 Char"/>
    <w:basedOn w:val="DefaultParagraphFont"/>
    <w:link w:val="Heading4"/>
    <w:uiPriority w:val="9"/>
    <w:semiHidden/>
    <w:rPr>
      <w:sz w:val="24"/>
      <w:lang w:val="en-US" w:eastAsia="fr-FR"/>
    </w:rPr>
  </w:style>
  <w:style w:type="character" w:customStyle="1" w:styleId="Heading5Char">
    <w:name w:val="Heading 5 Char"/>
    <w:basedOn w:val="DefaultParagraphFont"/>
    <w:link w:val="Heading5"/>
    <w:uiPriority w:val="9"/>
    <w:semiHidden/>
    <w:rPr>
      <w:sz w:val="24"/>
      <w:lang w:val="en-US" w:eastAsia="fr-FR"/>
    </w:rPr>
  </w:style>
  <w:style w:type="character" w:customStyle="1" w:styleId="Heading6Char">
    <w:name w:val="Heading 6 Char"/>
    <w:basedOn w:val="DefaultParagraphFont"/>
    <w:link w:val="Heading6"/>
    <w:uiPriority w:val="9"/>
    <w:semiHidden/>
    <w:rPr>
      <w:i/>
      <w:sz w:val="22"/>
      <w:lang w:val="sk-SK"/>
    </w:rPr>
  </w:style>
  <w:style w:type="character" w:customStyle="1" w:styleId="Heading7Char">
    <w:name w:val="Heading 7 Char"/>
    <w:basedOn w:val="DefaultParagraphFont"/>
    <w:link w:val="Heading7"/>
    <w:uiPriority w:val="9"/>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TOCPage">
    <w:name w:val="TOC Page"/>
    <w:basedOn w:val="Normal"/>
    <w:next w:val="TOC1"/>
    <w:pPr>
      <w:keepNext/>
      <w:spacing w:after="240"/>
      <w:jc w:val="right"/>
    </w:pPr>
    <w:rPr>
      <w:rFonts w:ascii="Arial" w:hAnsi="Arial"/>
      <w:b/>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pPr>
      <w:spacing w:after="240"/>
      <w:jc w:val="center"/>
    </w:p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lang w:val="sk-SK"/>
    </w:r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pPr>
      <w:spacing w:before="720" w:after="240"/>
      <w:jc w:val="center"/>
    </w:p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character" w:styleId="Hyperlink">
    <w:name w:val="Hyperlink"/>
    <w:uiPriority w:val="99"/>
    <w:rPr>
      <w:color w:val="0000FF"/>
      <w:u w:val="single"/>
      <w:shd w:val="clear" w:color="auto" w:fill="auto"/>
    </w:rPr>
  </w:style>
  <w:style w:type="paragraph" w:customStyle="1" w:styleId="Normale">
    <w:name w:val="Normale"/>
    <w:qFormat/>
    <w:pPr>
      <w:spacing w:before="120" w:after="120" w:line="360" w:lineRule="auto"/>
      <w:jc w:val="both"/>
    </w:pPr>
    <w:rPr>
      <w:rFonts w:eastAsiaTheme="minorHAnsi"/>
      <w:sz w:val="24"/>
      <w:szCs w:val="22"/>
      <w:lang w:val="sk-SK" w:eastAsia="en-US"/>
    </w:rPr>
  </w:style>
  <w:style w:type="character" w:customStyle="1" w:styleId="BoldItalic">
    <w:name w:val="BoldItalic"/>
    <w:basedOn w:val="DefaultParagraphFont"/>
    <w:uiPriority w:val="1"/>
    <w:qFormat/>
    <w:rPr>
      <w:rFonts w:ascii="Times New Roman" w:hAnsi="Times New Roman"/>
      <w:b/>
      <w:i/>
    </w:rPr>
  </w:style>
  <w:style w:type="paragraph" w:customStyle="1" w:styleId="NumTitle">
    <w:name w:val="NumTitle"/>
    <w:basedOn w:val="Normal"/>
    <w:qFormat/>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pPr>
      <w:widowControl/>
      <w:ind w:left="720"/>
    </w:pPr>
    <w:rPr>
      <w:szCs w:val="24"/>
    </w:rPr>
  </w:style>
  <w:style w:type="paragraph" w:styleId="BalloonText">
    <w:name w:val="Balloon Text"/>
    <w:basedOn w:val="Normal"/>
    <w:link w:val="BalloonTextChar"/>
    <w:uiPriority w:val="99"/>
    <w:unhideWhenUsed/>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Pr>
      <w:rFonts w:ascii="Segoe UI" w:eastAsiaTheme="minorHAnsi" w:hAnsi="Segoe UI" w:cs="Segoe UI"/>
      <w:sz w:val="18"/>
      <w:szCs w:val="18"/>
      <w:lang w:val="sk-SK" w:eastAsia="en-U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Pr>
      <w:rFonts w:eastAsiaTheme="minorHAnsi"/>
      <w:lang w:val="sk-SK"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eastAsiaTheme="minorHAnsi"/>
      <w:b/>
      <w:bCs/>
      <w:lang w:val="sk-SK" w:eastAsia="en-US"/>
    </w:rPr>
  </w:style>
  <w:style w:type="paragraph" w:styleId="ListBullet">
    <w:name w:val="List Bullet"/>
    <w:basedOn w:val="Normal"/>
    <w:uiPriority w:val="99"/>
    <w:unhideWhenUsed/>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Pr>
      <w:rFonts w:eastAsiaTheme="minorHAnsi"/>
      <w:sz w:val="24"/>
      <w:szCs w:val="22"/>
      <w:lang w:val="sk-SK" w:eastAsia="en-US"/>
    </w:rPr>
  </w:style>
  <w:style w:type="paragraph" w:styleId="ListNumber3">
    <w:name w:val="List Number 3"/>
    <w:basedOn w:val="Normal"/>
    <w:uiPriority w:val="99"/>
    <w:unhideWhenUsed/>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Pr>
      <w:b/>
      <w:bCs/>
      <w:sz w:val="19"/>
      <w:szCs w:val="19"/>
    </w:rPr>
  </w:style>
  <w:style w:type="paragraph" w:customStyle="1" w:styleId="Heading110">
    <w:name w:val="Heading #1|1"/>
    <w:basedOn w:val="Normal"/>
    <w:link w:val="Heading11"/>
    <w:pPr>
      <w:spacing w:after="220"/>
      <w:outlineLvl w:val="0"/>
    </w:pPr>
    <w:rPr>
      <w:b/>
      <w:bCs/>
      <w:sz w:val="19"/>
      <w:szCs w:val="19"/>
      <w:lang w:val="en-GB"/>
    </w:rPr>
  </w:style>
  <w:style w:type="paragraph" w:styleId="Caption">
    <w:name w:val="caption"/>
    <w:basedOn w:val="Normal"/>
    <w:next w:val="Normal"/>
    <w:uiPriority w:val="35"/>
    <w:semiHidden/>
    <w:unhideWhenUsed/>
    <w:qFormat/>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pPr>
      <w:widowControl/>
      <w:spacing w:before="120"/>
      <w:jc w:val="both"/>
    </w:pPr>
    <w:rPr>
      <w:rFonts w:eastAsiaTheme="minorHAnsi"/>
      <w:szCs w:val="22"/>
      <w:lang w:eastAsia="en-US"/>
    </w:rPr>
  </w:style>
  <w:style w:type="paragraph" w:styleId="ListNumber">
    <w:name w:val="List Number"/>
    <w:basedOn w:val="Normal"/>
    <w:uiPriority w:val="99"/>
    <w:unhideWhenUsed/>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ManualNumPar10">
    <w:name w:val="Manual NumPar 10"/>
    <w:basedOn w:val="Normal"/>
    <w:next w:val="Text1"/>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Pr>
      <w:sz w:val="19"/>
      <w:szCs w:val="19"/>
    </w:rPr>
  </w:style>
  <w:style w:type="paragraph" w:customStyle="1" w:styleId="Bodytext10">
    <w:name w:val="Body text|1"/>
    <w:basedOn w:val="Normal"/>
    <w:link w:val="Bodytext1"/>
    <w:pPr>
      <w:spacing w:after="420"/>
    </w:pPr>
    <w:rPr>
      <w:sz w:val="19"/>
      <w:szCs w:val="19"/>
      <w:lang w:val="en-GB"/>
    </w:rPr>
  </w:style>
  <w:style w:type="paragraph" w:customStyle="1" w:styleId="ManualNumPar1">
    <w:name w:val="Manual NumPar 1"/>
    <w:basedOn w:val="Normal"/>
    <w:next w:val="Text1"/>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Pr>
      <w:rFonts w:eastAsiaTheme="minorHAnsi"/>
      <w:sz w:val="24"/>
      <w:szCs w:val="22"/>
      <w:lang w:val="sk-SK" w:eastAsia="en-US"/>
    </w:rPr>
  </w:style>
  <w:style w:type="paragraph" w:styleId="TOC4">
    <w:name w:val="toc 4"/>
    <w:basedOn w:val="Normal"/>
    <w:next w:val="Normal"/>
    <w:uiPriority w:val="39"/>
    <w:unhideWhenUsed/>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pPr>
      <w:widowControl/>
      <w:spacing w:after="120"/>
      <w:jc w:val="right"/>
    </w:pPr>
    <w:rPr>
      <w:rFonts w:eastAsiaTheme="minorHAnsi"/>
      <w:sz w:val="28"/>
      <w:szCs w:val="22"/>
      <w:lang w:eastAsia="en-US"/>
    </w:rPr>
  </w:style>
  <w:style w:type="paragraph" w:customStyle="1" w:styleId="FooterSensitivity">
    <w:name w:val="Footer Sensitivity"/>
    <w:basedOn w:val="Normal"/>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pPr>
      <w:widowControl/>
      <w:spacing w:before="120" w:after="120"/>
      <w:ind w:left="850"/>
      <w:jc w:val="both"/>
    </w:pPr>
    <w:rPr>
      <w:rFonts w:eastAsiaTheme="minorHAnsi"/>
      <w:szCs w:val="22"/>
      <w:lang w:eastAsia="en-US"/>
    </w:rPr>
  </w:style>
  <w:style w:type="paragraph" w:customStyle="1" w:styleId="Text2">
    <w:name w:val="Text 2"/>
    <w:basedOn w:val="Normal"/>
    <w:pPr>
      <w:widowControl/>
      <w:spacing w:before="120" w:after="120"/>
      <w:ind w:left="1417"/>
      <w:jc w:val="both"/>
    </w:pPr>
    <w:rPr>
      <w:rFonts w:eastAsiaTheme="minorHAnsi"/>
      <w:szCs w:val="22"/>
      <w:lang w:eastAsia="en-US"/>
    </w:rPr>
  </w:style>
  <w:style w:type="paragraph" w:customStyle="1" w:styleId="Text3">
    <w:name w:val="Text 3"/>
    <w:basedOn w:val="Normal"/>
    <w:pPr>
      <w:widowControl/>
      <w:spacing w:before="120" w:after="120"/>
      <w:ind w:left="1984"/>
      <w:jc w:val="both"/>
    </w:pPr>
    <w:rPr>
      <w:rFonts w:eastAsiaTheme="minorHAnsi"/>
      <w:szCs w:val="22"/>
      <w:lang w:eastAsia="en-US"/>
    </w:rPr>
  </w:style>
  <w:style w:type="paragraph" w:customStyle="1" w:styleId="Text4">
    <w:name w:val="Text 4"/>
    <w:basedOn w:val="Normal"/>
    <w:pPr>
      <w:widowControl/>
      <w:spacing w:before="120" w:after="120"/>
      <w:ind w:left="2551"/>
      <w:jc w:val="both"/>
    </w:pPr>
    <w:rPr>
      <w:rFonts w:eastAsiaTheme="minorHAnsi"/>
      <w:szCs w:val="22"/>
      <w:lang w:eastAsia="en-US"/>
    </w:rPr>
  </w:style>
  <w:style w:type="paragraph" w:customStyle="1" w:styleId="Text5">
    <w:name w:val="Text 5"/>
    <w:basedOn w:val="Normal"/>
    <w:pPr>
      <w:widowControl/>
      <w:spacing w:before="120" w:after="120"/>
      <w:ind w:left="3118"/>
      <w:jc w:val="both"/>
    </w:pPr>
    <w:rPr>
      <w:rFonts w:eastAsiaTheme="minorHAnsi"/>
      <w:szCs w:val="22"/>
      <w:lang w:eastAsia="en-US"/>
    </w:rPr>
  </w:style>
  <w:style w:type="paragraph" w:customStyle="1" w:styleId="Text6">
    <w:name w:val="Text 6"/>
    <w:basedOn w:val="Normal"/>
    <w:pPr>
      <w:widowControl/>
      <w:spacing w:before="120" w:after="120"/>
      <w:ind w:left="3685"/>
      <w:jc w:val="both"/>
    </w:pPr>
    <w:rPr>
      <w:rFonts w:eastAsiaTheme="minorHAnsi"/>
      <w:szCs w:val="22"/>
      <w:lang w:eastAsia="en-US"/>
    </w:rPr>
  </w:style>
  <w:style w:type="paragraph" w:customStyle="1" w:styleId="NormalCentered">
    <w:name w:val="Normal Centered"/>
    <w:basedOn w:val="Normal"/>
    <w:pPr>
      <w:widowControl/>
      <w:spacing w:before="120" w:after="120"/>
      <w:jc w:val="center"/>
    </w:pPr>
    <w:rPr>
      <w:rFonts w:eastAsiaTheme="minorHAnsi"/>
      <w:szCs w:val="22"/>
      <w:lang w:eastAsia="en-US"/>
    </w:rPr>
  </w:style>
  <w:style w:type="paragraph" w:customStyle="1" w:styleId="NormalLeft">
    <w:name w:val="Normal Left"/>
    <w:basedOn w:val="Normal"/>
    <w:pPr>
      <w:widowControl/>
      <w:spacing w:before="120" w:after="120"/>
    </w:pPr>
    <w:rPr>
      <w:rFonts w:eastAsiaTheme="minorHAnsi"/>
      <w:szCs w:val="22"/>
      <w:lang w:eastAsia="en-US"/>
    </w:rPr>
  </w:style>
  <w:style w:type="paragraph" w:customStyle="1" w:styleId="NormalRight">
    <w:name w:val="Normal Right"/>
    <w:basedOn w:val="Normal"/>
    <w:pPr>
      <w:widowControl/>
      <w:spacing w:before="120" w:after="120"/>
      <w:jc w:val="right"/>
    </w:pPr>
    <w:rPr>
      <w:rFonts w:eastAsiaTheme="minorHAnsi"/>
      <w:szCs w:val="22"/>
      <w:lang w:eastAsia="en-US"/>
    </w:rPr>
  </w:style>
  <w:style w:type="paragraph" w:customStyle="1" w:styleId="QuotedText">
    <w:name w:val="Quoted Text"/>
    <w:basedOn w:val="Normal"/>
    <w:pPr>
      <w:widowControl/>
      <w:spacing w:before="120" w:after="120"/>
      <w:ind w:left="1417"/>
      <w:jc w:val="both"/>
    </w:pPr>
    <w:rPr>
      <w:rFonts w:eastAsiaTheme="minorHAnsi"/>
      <w:szCs w:val="22"/>
      <w:lang w:eastAsia="en-US"/>
    </w:rPr>
  </w:style>
  <w:style w:type="paragraph" w:customStyle="1" w:styleId="Point0">
    <w:name w:val="Point 0"/>
    <w:basedOn w:val="Normal"/>
    <w:pPr>
      <w:widowControl/>
      <w:spacing w:before="120" w:after="120"/>
      <w:ind w:left="850" w:hanging="850"/>
      <w:jc w:val="both"/>
    </w:pPr>
    <w:rPr>
      <w:rFonts w:eastAsiaTheme="minorHAnsi"/>
      <w:szCs w:val="22"/>
      <w:lang w:eastAsia="en-US"/>
    </w:rPr>
  </w:style>
  <w:style w:type="paragraph" w:customStyle="1" w:styleId="Point1">
    <w:name w:val="Point 1"/>
    <w:basedOn w:val="Normal"/>
    <w:pPr>
      <w:widowControl/>
      <w:spacing w:before="120" w:after="120"/>
      <w:ind w:left="1417" w:hanging="567"/>
      <w:jc w:val="both"/>
    </w:pPr>
    <w:rPr>
      <w:rFonts w:eastAsiaTheme="minorHAnsi"/>
      <w:szCs w:val="22"/>
      <w:lang w:eastAsia="en-US"/>
    </w:rPr>
  </w:style>
  <w:style w:type="paragraph" w:customStyle="1" w:styleId="Point2">
    <w:name w:val="Point 2"/>
    <w:basedOn w:val="Normal"/>
    <w:pPr>
      <w:widowControl/>
      <w:spacing w:before="120" w:after="120"/>
      <w:ind w:left="1984" w:hanging="567"/>
      <w:jc w:val="both"/>
    </w:pPr>
    <w:rPr>
      <w:rFonts w:eastAsiaTheme="minorHAnsi"/>
      <w:szCs w:val="22"/>
      <w:lang w:eastAsia="en-US"/>
    </w:rPr>
  </w:style>
  <w:style w:type="paragraph" w:customStyle="1" w:styleId="Point3">
    <w:name w:val="Point 3"/>
    <w:basedOn w:val="Normal"/>
    <w:pPr>
      <w:widowControl/>
      <w:spacing w:before="120" w:after="120"/>
      <w:ind w:left="2551" w:hanging="567"/>
      <w:jc w:val="both"/>
    </w:pPr>
    <w:rPr>
      <w:rFonts w:eastAsiaTheme="minorHAnsi"/>
      <w:szCs w:val="22"/>
      <w:lang w:eastAsia="en-US"/>
    </w:rPr>
  </w:style>
  <w:style w:type="paragraph" w:customStyle="1" w:styleId="Point4">
    <w:name w:val="Point 4"/>
    <w:basedOn w:val="Normal"/>
    <w:pPr>
      <w:widowControl/>
      <w:spacing w:before="120" w:after="120"/>
      <w:ind w:left="3118" w:hanging="567"/>
      <w:jc w:val="both"/>
    </w:pPr>
    <w:rPr>
      <w:rFonts w:eastAsiaTheme="minorHAnsi"/>
      <w:szCs w:val="22"/>
      <w:lang w:eastAsia="en-US"/>
    </w:rPr>
  </w:style>
  <w:style w:type="paragraph" w:customStyle="1" w:styleId="Point5">
    <w:name w:val="Point 5"/>
    <w:basedOn w:val="Normal"/>
    <w:pPr>
      <w:widowControl/>
      <w:spacing w:before="120" w:after="120"/>
      <w:ind w:left="3685" w:hanging="567"/>
      <w:jc w:val="both"/>
    </w:pPr>
    <w:rPr>
      <w:rFonts w:eastAsiaTheme="minorHAnsi"/>
      <w:szCs w:val="22"/>
      <w:lang w:eastAsia="en-US"/>
    </w:rPr>
  </w:style>
  <w:style w:type="paragraph" w:customStyle="1" w:styleId="Tiret0">
    <w:name w:val="Tiret 0"/>
    <w:basedOn w:val="Point0"/>
    <w:pPr>
      <w:numPr>
        <w:numId w:val="5"/>
      </w:numPr>
    </w:pPr>
  </w:style>
  <w:style w:type="paragraph" w:customStyle="1" w:styleId="Tiret1">
    <w:name w:val="Tiret 1"/>
    <w:basedOn w:val="Point1"/>
    <w:pPr>
      <w:numPr>
        <w:numId w:val="4"/>
      </w:numPr>
    </w:pPr>
  </w:style>
  <w:style w:type="paragraph" w:customStyle="1" w:styleId="Tiret2">
    <w:name w:val="Tiret 2"/>
    <w:basedOn w:val="Point2"/>
    <w:pPr>
      <w:numPr>
        <w:numId w:val="6"/>
      </w:numPr>
    </w:pPr>
  </w:style>
  <w:style w:type="paragraph" w:customStyle="1" w:styleId="Tiret3">
    <w:name w:val="Tiret 3"/>
    <w:basedOn w:val="Point3"/>
    <w:pPr>
      <w:numPr>
        <w:numId w:val="7"/>
      </w:numPr>
    </w:pPr>
  </w:style>
  <w:style w:type="paragraph" w:customStyle="1" w:styleId="Tiret4">
    <w:name w:val="Tiret 4"/>
    <w:basedOn w:val="Point4"/>
    <w:pPr>
      <w:numPr>
        <w:numId w:val="8"/>
      </w:numPr>
    </w:pPr>
  </w:style>
  <w:style w:type="paragraph" w:customStyle="1" w:styleId="Tiret5">
    <w:name w:val="Tiret 5"/>
    <w:basedOn w:val="Point5"/>
    <w:pPr>
      <w:numPr>
        <w:numId w:val="9"/>
      </w:numPr>
    </w:pPr>
  </w:style>
  <w:style w:type="paragraph" w:customStyle="1" w:styleId="PointDouble0">
    <w:name w:val="PointDouble 0"/>
    <w:basedOn w:val="Normal"/>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pPr>
      <w:widowControl/>
      <w:spacing w:before="120" w:after="120"/>
      <w:jc w:val="center"/>
    </w:pPr>
    <w:rPr>
      <w:rFonts w:eastAsiaTheme="minorHAnsi"/>
      <w:b/>
      <w:szCs w:val="22"/>
      <w:lang w:eastAsia="en-US"/>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pPr>
      <w:widowControl/>
      <w:numPr>
        <w:numId w:val="12"/>
      </w:numPr>
      <w:spacing w:before="120" w:after="120"/>
      <w:jc w:val="both"/>
    </w:pPr>
    <w:rPr>
      <w:rFonts w:eastAsiaTheme="minorHAnsi"/>
      <w:szCs w:val="22"/>
      <w:lang w:eastAsia="en-US"/>
    </w:rPr>
  </w:style>
  <w:style w:type="paragraph" w:customStyle="1" w:styleId="Bullet1">
    <w:name w:val="Bullet 1"/>
    <w:basedOn w:val="Normal"/>
    <w:pPr>
      <w:widowControl/>
      <w:numPr>
        <w:numId w:val="3"/>
      </w:numPr>
      <w:spacing w:before="120" w:after="120"/>
      <w:jc w:val="both"/>
    </w:pPr>
    <w:rPr>
      <w:rFonts w:eastAsiaTheme="minorHAnsi"/>
      <w:szCs w:val="22"/>
      <w:lang w:eastAsia="en-US"/>
    </w:rPr>
  </w:style>
  <w:style w:type="paragraph" w:customStyle="1" w:styleId="Bullet2">
    <w:name w:val="Bullet 2"/>
    <w:basedOn w:val="Normal"/>
    <w:pPr>
      <w:widowControl/>
      <w:numPr>
        <w:numId w:val="13"/>
      </w:numPr>
      <w:spacing w:before="120" w:after="120"/>
      <w:jc w:val="both"/>
    </w:pPr>
    <w:rPr>
      <w:rFonts w:eastAsiaTheme="minorHAnsi"/>
      <w:szCs w:val="22"/>
      <w:lang w:eastAsia="en-US"/>
    </w:rPr>
  </w:style>
  <w:style w:type="paragraph" w:customStyle="1" w:styleId="Bullet3">
    <w:name w:val="Bullet 3"/>
    <w:basedOn w:val="Normal"/>
    <w:pPr>
      <w:widowControl/>
      <w:numPr>
        <w:numId w:val="14"/>
      </w:numPr>
      <w:spacing w:before="120" w:after="120"/>
      <w:jc w:val="both"/>
    </w:pPr>
    <w:rPr>
      <w:rFonts w:eastAsiaTheme="minorHAnsi"/>
      <w:szCs w:val="22"/>
      <w:lang w:eastAsia="en-US"/>
    </w:rPr>
  </w:style>
  <w:style w:type="paragraph" w:customStyle="1" w:styleId="Bullet4">
    <w:name w:val="Bullet 4"/>
    <w:basedOn w:val="Normal"/>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pPr>
      <w:widowControl/>
    </w:pPr>
    <w:rPr>
      <w:rFonts w:ascii="Arial" w:eastAsiaTheme="minorHAnsi" w:hAnsi="Arial" w:cs="Arial"/>
      <w:szCs w:val="22"/>
      <w:lang w:eastAsia="en-US"/>
    </w:rPr>
  </w:style>
  <w:style w:type="paragraph" w:customStyle="1" w:styleId="Emission">
    <w:name w:val="Emission"/>
    <w:basedOn w:val="Normal"/>
    <w:next w:val="Rfrenceinstitutionnelle"/>
    <w:pPr>
      <w:widowControl/>
      <w:ind w:left="5103"/>
    </w:pPr>
    <w:rPr>
      <w:rFonts w:eastAsiaTheme="minorHAnsi"/>
      <w:szCs w:val="22"/>
      <w:lang w:eastAsia="en-US"/>
    </w:rPr>
  </w:style>
  <w:style w:type="paragraph" w:customStyle="1" w:styleId="Rfrenceinstitutionnelle">
    <w:name w:val="Référence institutionnelle"/>
    <w:basedOn w:val="Normal"/>
    <w:next w:val="Confidentialit"/>
    <w:pPr>
      <w:widowControl/>
      <w:spacing w:after="240"/>
      <w:ind w:left="5103"/>
    </w:pPr>
    <w:rPr>
      <w:rFonts w:eastAsiaTheme="minorHAnsi"/>
      <w:szCs w:val="22"/>
      <w:lang w:eastAsia="en-US"/>
    </w:rPr>
  </w:style>
  <w:style w:type="paragraph" w:customStyle="1" w:styleId="Pagedecouverture">
    <w:name w:val="Page de couverture"/>
    <w:basedOn w:val="Normal"/>
    <w:next w:val="Normal"/>
    <w:pPr>
      <w:widowControl/>
      <w:jc w:val="both"/>
    </w:pPr>
    <w:rPr>
      <w:rFonts w:eastAsiaTheme="minorHAnsi"/>
      <w:szCs w:val="22"/>
      <w:lang w:eastAsia="en-US"/>
    </w:rPr>
  </w:style>
  <w:style w:type="paragraph" w:customStyle="1" w:styleId="Declassification">
    <w:name w:val="Declassification"/>
    <w:basedOn w:val="Normal"/>
    <w:next w:val="Normal"/>
    <w:pPr>
      <w:widowControl/>
      <w:jc w:val="both"/>
    </w:pPr>
    <w:rPr>
      <w:rFonts w:eastAsiaTheme="minorHAnsi"/>
      <w:szCs w:val="22"/>
      <w:lang w:eastAsia="en-US"/>
    </w:rPr>
  </w:style>
  <w:style w:type="paragraph" w:customStyle="1" w:styleId="Disclaimer">
    <w:name w:val="Disclaimer"/>
    <w:basedOn w:val="Normal"/>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pPr>
      <w:widowControl/>
      <w:spacing w:line="276" w:lineRule="auto"/>
      <w:ind w:left="5103"/>
    </w:pPr>
    <w:rPr>
      <w:rFonts w:eastAsiaTheme="minorHAnsi"/>
      <w:sz w:val="28"/>
      <w:szCs w:val="22"/>
      <w:lang w:eastAsia="en-US"/>
    </w:rPr>
  </w:style>
  <w:style w:type="paragraph" w:customStyle="1" w:styleId="DateMarking">
    <w:name w:val="DateMarking"/>
    <w:basedOn w:val="Normal"/>
    <w:pPr>
      <w:widowControl/>
      <w:spacing w:line="276" w:lineRule="auto"/>
      <w:ind w:left="5103"/>
    </w:pPr>
    <w:rPr>
      <w:rFonts w:eastAsiaTheme="minorHAnsi"/>
      <w:i/>
      <w:sz w:val="28"/>
      <w:szCs w:val="22"/>
      <w:lang w:eastAsia="en-US"/>
    </w:rPr>
  </w:style>
  <w:style w:type="paragraph" w:customStyle="1" w:styleId="ReleasableTo">
    <w:name w:val="ReleasableTo"/>
    <w:basedOn w:val="Normal"/>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pPr>
      <w:widowControl/>
      <w:spacing w:before="240" w:after="240"/>
      <w:ind w:left="5103"/>
    </w:pPr>
    <w:rPr>
      <w:rFonts w:eastAsiaTheme="minorHAnsi"/>
      <w:i/>
      <w:sz w:val="32"/>
      <w:szCs w:val="22"/>
      <w:lang w:eastAsia="en-US"/>
    </w:rPr>
  </w:style>
  <w:style w:type="paragraph" w:customStyle="1" w:styleId="Considrant">
    <w:name w:val="Considérant"/>
    <w:basedOn w:val="Normal"/>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pPr>
      <w:widowControl/>
      <w:spacing w:after="240"/>
    </w:pPr>
    <w:rPr>
      <w:rFonts w:eastAsiaTheme="minorHAnsi"/>
      <w:szCs w:val="22"/>
      <w:lang w:eastAsia="en-US"/>
    </w:rPr>
  </w:style>
  <w:style w:type="paragraph" w:customStyle="1" w:styleId="Datedadoption">
    <w:name w:val="Date d'adoption"/>
    <w:basedOn w:val="Normal"/>
    <w:next w:val="Titreobjet"/>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pPr>
      <w:widowControl/>
      <w:ind w:left="5103"/>
    </w:pPr>
    <w:rPr>
      <w:rFonts w:eastAsiaTheme="minorHAnsi"/>
      <w:szCs w:val="22"/>
      <w:lang w:eastAsia="en-US"/>
    </w:rPr>
  </w:style>
  <w:style w:type="paragraph" w:customStyle="1" w:styleId="Rfrenceinterne">
    <w:name w:val="Référence interne"/>
    <w:basedOn w:val="Normal"/>
    <w:next w:val="Rfrenceinterinstitutionnelle"/>
    <w:pPr>
      <w:widowControl/>
      <w:ind w:left="5103"/>
    </w:pPr>
    <w:rPr>
      <w:rFonts w:eastAsiaTheme="minorHAnsi"/>
      <w:szCs w:val="22"/>
      <w:lang w:eastAsia="en-US"/>
    </w:rPr>
  </w:style>
  <w:style w:type="paragraph" w:customStyle="1" w:styleId="Statut">
    <w:name w:val="Statut"/>
    <w:basedOn w:val="Normal"/>
    <w:next w:val="Typedudocument"/>
    <w:pPr>
      <w:widowControl/>
      <w:spacing w:before="360"/>
      <w:jc w:val="center"/>
    </w:pPr>
    <w:rPr>
      <w:rFonts w:eastAsiaTheme="minorHAnsi"/>
      <w:szCs w:val="22"/>
      <w:lang w:eastAsia="en-US"/>
    </w:rPr>
  </w:style>
  <w:style w:type="paragraph" w:customStyle="1" w:styleId="Titrearticle">
    <w:name w:val="Titre article"/>
    <w:basedOn w:val="Normal"/>
    <w:next w:val="Normal"/>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pPr>
      <w:widowControl/>
      <w:spacing w:before="360"/>
      <w:jc w:val="center"/>
    </w:pPr>
    <w:rPr>
      <w:rFonts w:eastAsiaTheme="minorHAnsi"/>
      <w:b/>
      <w:szCs w:val="22"/>
      <w:lang w:eastAsia="en-US"/>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pPr>
      <w:widowControl/>
      <w:spacing w:before="120" w:after="120"/>
      <w:jc w:val="both"/>
    </w:pPr>
    <w:rPr>
      <w:rFonts w:eastAsiaTheme="minorHAnsi"/>
      <w:i/>
      <w:caps/>
      <w:szCs w:val="22"/>
      <w:lang w:eastAsia="en-US"/>
    </w:rPr>
  </w:style>
  <w:style w:type="paragraph" w:customStyle="1" w:styleId="Supertitre">
    <w:name w:val="Supertitre"/>
    <w:basedOn w:val="Normal"/>
    <w:next w:val="Normal"/>
    <w:pPr>
      <w:widowControl/>
      <w:spacing w:after="600"/>
      <w:jc w:val="center"/>
    </w:pPr>
    <w:rPr>
      <w:rFonts w:eastAsiaTheme="minorHAnsi"/>
      <w:b/>
      <w:szCs w:val="22"/>
      <w:lang w:eastAsia="en-US"/>
    </w:rPr>
  </w:style>
  <w:style w:type="paragraph" w:customStyle="1" w:styleId="Languesfaisantfoi">
    <w:name w:val="Langues faisant foi"/>
    <w:basedOn w:val="Normal"/>
    <w:next w:val="Normal"/>
    <w:pPr>
      <w:widowControl/>
      <w:spacing w:before="360"/>
      <w:jc w:val="center"/>
    </w:pPr>
    <w:rPr>
      <w:rFonts w:eastAsiaTheme="minorHAnsi"/>
      <w:szCs w:val="22"/>
      <w:lang w:eastAsia="en-US"/>
    </w:rPr>
  </w:style>
  <w:style w:type="paragraph" w:customStyle="1" w:styleId="Rfrencecroise">
    <w:name w:val="Référence croisée"/>
    <w:basedOn w:val="Normal"/>
    <w:pPr>
      <w:widowControl/>
      <w:jc w:val="center"/>
    </w:pPr>
    <w:rPr>
      <w:rFonts w:eastAsiaTheme="minorHAnsi"/>
      <w:szCs w:val="22"/>
      <w:lang w:eastAsia="en-US"/>
    </w:rPr>
  </w:style>
  <w:style w:type="paragraph" w:customStyle="1" w:styleId="Fichefinanciretitre">
    <w:name w:val="Fiche financière titre"/>
    <w:basedOn w:val="Normal"/>
    <w:next w:val="Normal"/>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widowControl/>
      <w:spacing w:after="240"/>
      <w:ind w:left="5103"/>
    </w:pPr>
    <w:rPr>
      <w:rFonts w:eastAsiaTheme="minorHAnsi"/>
      <w:szCs w:val="22"/>
      <w:lang w:eastAsia="en-US"/>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widowControl/>
      <w:spacing w:before="360"/>
      <w:jc w:val="center"/>
    </w:pPr>
    <w:rPr>
      <w:rFonts w:eastAsiaTheme="minorHAnsi"/>
      <w:szCs w:val="22"/>
      <w:lang w:eastAsia="en-US"/>
    </w:rPr>
  </w:style>
  <w:style w:type="paragraph" w:customStyle="1" w:styleId="Default">
    <w:name w:val="Default"/>
    <w:pPr>
      <w:autoSpaceDE w:val="0"/>
      <w:autoSpaceDN w:val="0"/>
      <w:adjustRightInd w:val="0"/>
    </w:pPr>
    <w:rPr>
      <w:color w:val="000000"/>
      <w:sz w:val="24"/>
      <w:szCs w:val="24"/>
      <w:lang w:val="sk-SK"/>
    </w:rPr>
  </w:style>
  <w:style w:type="character" w:customStyle="1" w:styleId="Bodytext2">
    <w:name w:val="Body text|2_"/>
    <w:basedOn w:val="DefaultParagraphFont"/>
    <w:link w:val="Bodytext20"/>
    <w:locked/>
    <w:rPr>
      <w:sz w:val="17"/>
      <w:szCs w:val="17"/>
    </w:rPr>
  </w:style>
  <w:style w:type="paragraph" w:customStyle="1" w:styleId="Bodytext20">
    <w:name w:val="Body text|2"/>
    <w:basedOn w:val="Normal"/>
    <w:link w:val="Bodytext2"/>
    <w:pPr>
      <w:spacing w:after="300" w:line="218" w:lineRule="auto"/>
      <w:ind w:left="1180" w:hanging="260"/>
    </w:pPr>
    <w:rPr>
      <w:sz w:val="17"/>
      <w:szCs w:val="17"/>
      <w:lang w:val="en-GB"/>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character" w:customStyle="1" w:styleId="status">
    <w:name w:val="status"/>
    <w:basedOn w:val="DefaultParagraphFont"/>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SK/TXT/PDF/?uri=CELEX:02015L2366-20151223&amp;from=SK"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23C19-6149-42D9-880F-F6A8DCE55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27320</Words>
  <Characters>155730</Characters>
  <Application>Microsoft Office Word</Application>
  <DocSecurity>0</DocSecurity>
  <Lines>1297</Lines>
  <Paragraphs>365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LUKSITE Marija</cp:lastModifiedBy>
  <cp:revision>2</cp:revision>
  <cp:lastPrinted>2004-11-19T15:42:00Z</cp:lastPrinted>
  <dcterms:created xsi:type="dcterms:W3CDTF">2024-11-18T08:39:00Z</dcterms:created>
  <dcterms:modified xsi:type="dcterms:W3CDTF">2024-11-18T08:39:00Z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P9_TA(2024)0297_</vt:lpwstr>
  </property>
  <property fmtid="{D5CDD505-2E9C-101B-9397-08002B2CF9AE}" pid="4" name="&lt;Type&gt;">
    <vt:lpwstr>RR</vt:lpwstr>
  </property>
</Properties>
</file>