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0378" w:rsidTr="0010095E">
        <w:trPr>
          <w:trHeight w:hRule="exact" w:val="1418"/>
        </w:trPr>
        <w:tc>
          <w:tcPr>
            <w:tcW w:w="6804" w:type="dxa"/>
            <w:shd w:val="clear" w:color="auto" w:fill="auto"/>
            <w:vAlign w:val="center"/>
          </w:tcPr>
          <w:p w:rsidR="00751A4A" w:rsidRPr="004E0378" w:rsidRDefault="004F500D" w:rsidP="0010095E">
            <w:pPr>
              <w:pStyle w:val="EPName"/>
            </w:pPr>
            <w:r w:rsidRPr="004E0378">
              <w:t>Parlament Ewropew</w:t>
            </w:r>
          </w:p>
          <w:p w:rsidR="00751A4A" w:rsidRPr="004E0378" w:rsidRDefault="00817416" w:rsidP="00756632">
            <w:pPr>
              <w:pStyle w:val="EPTerm"/>
              <w:rPr>
                <w:rStyle w:val="HideTWBExt"/>
                <w:noProof w:val="0"/>
                <w:vanish w:val="0"/>
                <w:color w:val="auto"/>
              </w:rPr>
            </w:pPr>
            <w:r w:rsidRPr="004E0378">
              <w:t>2019-2024</w:t>
            </w:r>
          </w:p>
        </w:tc>
        <w:tc>
          <w:tcPr>
            <w:tcW w:w="2268" w:type="dxa"/>
            <w:shd w:val="clear" w:color="auto" w:fill="auto"/>
          </w:tcPr>
          <w:p w:rsidR="00751A4A" w:rsidRPr="004E0378" w:rsidRDefault="00187494" w:rsidP="0010095E">
            <w:pPr>
              <w:pStyle w:val="EPLogo"/>
            </w:pPr>
            <w:r w:rsidRPr="004E03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0378" w:rsidRDefault="00D058B8" w:rsidP="004C5D52">
      <w:pPr>
        <w:pStyle w:val="LineTop"/>
      </w:pPr>
    </w:p>
    <w:p w:rsidR="00680577" w:rsidRPr="004E0378" w:rsidRDefault="004F500D" w:rsidP="00680577">
      <w:pPr>
        <w:pStyle w:val="EPBodyTA1"/>
      </w:pPr>
      <w:r w:rsidRPr="004E0378">
        <w:t>TESTI ADOTTATI</w:t>
      </w:r>
    </w:p>
    <w:p w:rsidR="00D058B8" w:rsidRPr="004E0378" w:rsidRDefault="00D058B8" w:rsidP="00D058B8">
      <w:pPr>
        <w:pStyle w:val="LineBottom"/>
      </w:pPr>
    </w:p>
    <w:p w:rsidR="004F500D" w:rsidRPr="004E0378" w:rsidRDefault="004F500D" w:rsidP="004F500D">
      <w:pPr>
        <w:pStyle w:val="ATHeading1"/>
      </w:pPr>
      <w:bookmarkStart w:id="0" w:name="TANumber"/>
      <w:r w:rsidRPr="004E0378">
        <w:t>P9_TA(2024)0</w:t>
      </w:r>
      <w:r w:rsidR="00753C12" w:rsidRPr="004E0378">
        <w:t>299</w:t>
      </w:r>
      <w:bookmarkEnd w:id="0"/>
    </w:p>
    <w:p w:rsidR="004F500D" w:rsidRPr="004E0378" w:rsidRDefault="004F500D" w:rsidP="004F500D">
      <w:pPr>
        <w:pStyle w:val="ATHeading2"/>
      </w:pPr>
      <w:bookmarkStart w:id="1" w:name="title"/>
      <w:r w:rsidRPr="004E0378">
        <w:t>Il-ġlieda kontra l-ħlasijiet tard fit-tranżazzjonijiet kummerċjali</w:t>
      </w:r>
      <w:bookmarkEnd w:id="1"/>
    </w:p>
    <w:p w:rsidR="004F500D" w:rsidRPr="004E0378" w:rsidRDefault="004F500D" w:rsidP="004F500D">
      <w:pPr>
        <w:rPr>
          <w:i/>
          <w:vanish/>
        </w:rPr>
      </w:pPr>
      <w:r w:rsidRPr="004E0378">
        <w:rPr>
          <w:i/>
        </w:rPr>
        <w:fldChar w:fldCharType="begin"/>
      </w:r>
      <w:r w:rsidRPr="004E0378">
        <w:rPr>
          <w:i/>
        </w:rPr>
        <w:instrText xml:space="preserve"> TC"(</w:instrText>
      </w:r>
      <w:bookmarkStart w:id="2" w:name="DocNumber"/>
      <w:r w:rsidRPr="004E0378">
        <w:rPr>
          <w:i/>
        </w:rPr>
        <w:instrText>A9-0156/2024</w:instrText>
      </w:r>
      <w:bookmarkEnd w:id="2"/>
      <w:r w:rsidRPr="004E0378">
        <w:rPr>
          <w:i/>
        </w:rPr>
        <w:instrText xml:space="preserve"> - Rapporteur: Róża Thun und Hohenstein)"\l3 \n&gt; \* MERGEFORMAT </w:instrText>
      </w:r>
      <w:r w:rsidRPr="004E0378">
        <w:rPr>
          <w:i/>
        </w:rPr>
        <w:fldChar w:fldCharType="end"/>
      </w:r>
    </w:p>
    <w:p w:rsidR="004F500D" w:rsidRPr="004E0378" w:rsidRDefault="004F500D" w:rsidP="004F500D">
      <w:pPr>
        <w:rPr>
          <w:vanish/>
        </w:rPr>
      </w:pPr>
      <w:bookmarkStart w:id="3" w:name="Commission"/>
      <w:r w:rsidRPr="004E0378">
        <w:rPr>
          <w:vanish/>
        </w:rPr>
        <w:t>Kumitat għas-Suq Intern u l-Ħarsien tal-Konsumatur</w:t>
      </w:r>
      <w:bookmarkEnd w:id="3"/>
    </w:p>
    <w:p w:rsidR="004F500D" w:rsidRPr="004E0378" w:rsidRDefault="004F500D" w:rsidP="004F500D">
      <w:pPr>
        <w:rPr>
          <w:vanish/>
        </w:rPr>
      </w:pPr>
      <w:bookmarkStart w:id="4" w:name="PE"/>
      <w:r w:rsidRPr="004E0378">
        <w:rPr>
          <w:vanish/>
        </w:rPr>
        <w:t>PE756.002</w:t>
      </w:r>
      <w:bookmarkEnd w:id="4"/>
    </w:p>
    <w:p w:rsidR="004F500D" w:rsidRPr="004E0378" w:rsidRDefault="004F500D" w:rsidP="004F500D">
      <w:pPr>
        <w:pStyle w:val="ATHeading3"/>
      </w:pPr>
      <w:bookmarkStart w:id="5" w:name="Sujet"/>
      <w:r w:rsidRPr="004E0378">
        <w:t>Riżoluzzjoni leġiżlattiva tal-Parlament Ewropew tat-23 ta' April 2024 dwar il-proposta għal regolament tal-Parlament Ewropew u tal-Kunsill dwar il-ġlieda kontra l-ħlasijiet tard fit-tranżazzjonijiet kummerċjali</w:t>
      </w:r>
      <w:bookmarkEnd w:id="5"/>
      <w:r w:rsidRPr="004E0378">
        <w:t xml:space="preserve"> </w:t>
      </w:r>
      <w:bookmarkStart w:id="6" w:name="References"/>
      <w:r w:rsidRPr="004E0378">
        <w:t>(COM(2023)0533 – C9-0338/2023 – 2023/0323(COD))</w:t>
      </w:r>
      <w:bookmarkEnd w:id="6"/>
    </w:p>
    <w:p w:rsidR="001E0836" w:rsidRPr="004E0378" w:rsidRDefault="001E0836" w:rsidP="001E0836">
      <w:pPr>
        <w:pStyle w:val="NormalBold"/>
      </w:pPr>
      <w:bookmarkStart w:id="7" w:name="TextBodyBegin"/>
      <w:bookmarkEnd w:id="7"/>
      <w:r w:rsidRPr="004E0378">
        <w:t>(Proċedura leġiżlattiva ordinarja: l-ewwel qari)</w:t>
      </w:r>
    </w:p>
    <w:p w:rsidR="001E0836" w:rsidRPr="004E0378" w:rsidRDefault="001E0836" w:rsidP="001E0836">
      <w:pPr>
        <w:pStyle w:val="EPComma"/>
      </w:pPr>
      <w:r w:rsidRPr="004E0378">
        <w:rPr>
          <w:i/>
          <w:iCs/>
        </w:rPr>
        <w:t>Il-Parlament Ewropew</w:t>
      </w:r>
      <w:r w:rsidRPr="004E0378">
        <w:t>,</w:t>
      </w:r>
    </w:p>
    <w:p w:rsidR="001E0836" w:rsidRPr="004E0378" w:rsidRDefault="001E0836" w:rsidP="001E0836">
      <w:pPr>
        <w:pStyle w:val="NormalHanging12a"/>
      </w:pPr>
      <w:r w:rsidRPr="004E0378">
        <w:t>–</w:t>
      </w:r>
      <w:r w:rsidRPr="004E0378">
        <w:tab/>
        <w:t>wara li kkunsidra l-proposta tal-Kummissjoni lill-Parlament Ewropew u lill-Kunsill (COM(2023)0533),</w:t>
      </w:r>
    </w:p>
    <w:p w:rsidR="001E0836" w:rsidRPr="004E0378" w:rsidRDefault="001E0836" w:rsidP="001E0836">
      <w:pPr>
        <w:pStyle w:val="NormalHanging12a"/>
      </w:pPr>
      <w:r w:rsidRPr="004E0378">
        <w:t>–</w:t>
      </w:r>
      <w:r w:rsidRPr="004E0378">
        <w:tab/>
        <w:t>wara li kkunsidra l-Artikolu 294(2) u l-Artikolu 114 tat-Trattat dwar il-Funzjonament tal-Unjoni Ewropea, skont liema artikoli l-Kummissjoni ppreżentat il-proposta lill-Parlament (C9</w:t>
      </w:r>
      <w:r w:rsidRPr="004E0378">
        <w:noBreakHyphen/>
        <w:t>0338/2023),</w:t>
      </w:r>
    </w:p>
    <w:p w:rsidR="001E0836" w:rsidRPr="004E0378" w:rsidRDefault="001E0836" w:rsidP="001E0836">
      <w:pPr>
        <w:pStyle w:val="NormalHanging12a"/>
      </w:pPr>
      <w:r w:rsidRPr="004E0378">
        <w:t>–</w:t>
      </w:r>
      <w:r w:rsidRPr="004E0378">
        <w:tab/>
        <w:t>wara li kkunsidra l-Artikolu 294(3) tat-Trattat dwar il-Funzjonament tal-Unjoni Ewropea,</w:t>
      </w:r>
    </w:p>
    <w:p w:rsidR="001E0836" w:rsidRPr="004E0378" w:rsidRDefault="001E0836" w:rsidP="001E0836">
      <w:pPr>
        <w:pStyle w:val="NormalHanging12a"/>
      </w:pPr>
      <w:r w:rsidRPr="004E0378">
        <w:t>–</w:t>
      </w:r>
      <w:r w:rsidRPr="004E0378">
        <w:tab/>
        <w:t>wara li kkunsidra l-opinjoni tal-Kumitat Ekonomiku u Soċjali Ewropew tas-17 ta’ Jannar 2024</w:t>
      </w:r>
      <w:r w:rsidR="00945809" w:rsidRPr="004E0378">
        <w:rPr>
          <w:rStyle w:val="FootnoteReference"/>
        </w:rPr>
        <w:footnoteReference w:id="1"/>
      </w:r>
      <w:r w:rsidRPr="004E0378">
        <w:t>,</w:t>
      </w:r>
    </w:p>
    <w:p w:rsidR="001E0836" w:rsidRPr="004E0378" w:rsidRDefault="001E0836" w:rsidP="001E0836">
      <w:pPr>
        <w:pStyle w:val="NormalHanging12a"/>
      </w:pPr>
      <w:r w:rsidRPr="004E0378">
        <w:t>–</w:t>
      </w:r>
      <w:r w:rsidRPr="004E0378">
        <w:tab/>
        <w:t>wara li kkunsidra l-opinjoni tal-Kumitat tar-Reġjuni tal-31 ta’ Jannar 2024</w:t>
      </w:r>
      <w:r w:rsidR="00945809" w:rsidRPr="004E0378">
        <w:rPr>
          <w:rStyle w:val="FootnoteReference"/>
        </w:rPr>
        <w:footnoteReference w:id="2"/>
      </w:r>
      <w:r w:rsidRPr="004E0378">
        <w:t>,</w:t>
      </w:r>
    </w:p>
    <w:p w:rsidR="001E0836" w:rsidRPr="004E0378" w:rsidRDefault="001E0836" w:rsidP="001E0836">
      <w:pPr>
        <w:pStyle w:val="NormalHanging12a"/>
      </w:pPr>
      <w:r w:rsidRPr="004E0378">
        <w:t>–</w:t>
      </w:r>
      <w:r w:rsidRPr="004E0378">
        <w:tab/>
        <w:t>wara li kkunsidra l-Artikolu 59 tar-Regoli ta’ Proċedura tiegħu,</w:t>
      </w:r>
    </w:p>
    <w:p w:rsidR="001E0836" w:rsidRPr="004E0378" w:rsidRDefault="001E0836" w:rsidP="001E0836">
      <w:pPr>
        <w:pStyle w:val="NormalHanging12a"/>
      </w:pPr>
      <w:r w:rsidRPr="004E0378">
        <w:t>–</w:t>
      </w:r>
      <w:r w:rsidRPr="004E0378">
        <w:tab/>
        <w:t>wara li kkunsidra r-rapport tal-Kumitat għas-Suq Intern u l-Ħarsien tal-Konsumatur (A9-0156/2024),</w:t>
      </w:r>
    </w:p>
    <w:p w:rsidR="001E0836" w:rsidRPr="004E0378" w:rsidRDefault="001E0836" w:rsidP="001E0836">
      <w:pPr>
        <w:pStyle w:val="NormalHanging12a"/>
      </w:pPr>
      <w:r w:rsidRPr="004E0378">
        <w:t>1.</w:t>
      </w:r>
      <w:r w:rsidRPr="004E0378">
        <w:tab/>
        <w:t>Jadotta l-pożizzjoni fl-ewwel qari li tidher hawn taħt;</w:t>
      </w:r>
    </w:p>
    <w:p w:rsidR="001E0836" w:rsidRPr="004E0378" w:rsidRDefault="001E0836" w:rsidP="001E0836">
      <w:pPr>
        <w:pStyle w:val="NormalHanging12a"/>
      </w:pPr>
      <w:r w:rsidRPr="004E0378">
        <w:t>2.</w:t>
      </w:r>
      <w:r w:rsidRPr="004E0378">
        <w:tab/>
        <w:t xml:space="preserve">Jitlob lill-Kummissjoni terġa’ tirreferi l-kwistjoni lill-Parlament jekk tibdel il-proposta </w:t>
      </w:r>
      <w:r w:rsidRPr="004E0378">
        <w:lastRenderedPageBreak/>
        <w:t>tagħha, temendaha b’mod sustanzjali jew ikollha l-ħsieb li temendaha b’mod sustanzjali;</w:t>
      </w:r>
    </w:p>
    <w:p w:rsidR="00935BD4" w:rsidRDefault="001E0836" w:rsidP="00935BD4">
      <w:pPr>
        <w:autoSpaceDE w:val="0"/>
        <w:autoSpaceDN w:val="0"/>
        <w:adjustRightInd w:val="0"/>
        <w:spacing w:after="240"/>
        <w:ind w:left="567" w:hanging="567"/>
      </w:pPr>
      <w:r w:rsidRPr="004E0378">
        <w:t>3.</w:t>
      </w:r>
      <w:r w:rsidRPr="004E0378">
        <w:tab/>
        <w:t xml:space="preserve">Jagħti istruzzjonijiet lill-President tiegħu biex </w:t>
      </w:r>
      <w:r w:rsidR="009D4CCD" w:rsidRPr="004E0378">
        <w:t>t</w:t>
      </w:r>
      <w:r w:rsidRPr="004E0378">
        <w:t>għaddi l-pożizzjoni tal-Parlament lill-Kunsill u lill-Kummissjoni kif ukoll lill-parlamenti nazzjonali.</w:t>
      </w:r>
    </w:p>
    <w:p w:rsidR="00935BD4" w:rsidRDefault="00935BD4" w:rsidP="00935BD4">
      <w:pPr>
        <w:autoSpaceDE w:val="0"/>
        <w:autoSpaceDN w:val="0"/>
        <w:adjustRightInd w:val="0"/>
        <w:spacing w:after="240"/>
        <w:ind w:left="567" w:hanging="567"/>
        <w:rPr>
          <w:rFonts w:eastAsia="Calibri"/>
          <w:b/>
          <w:bCs/>
          <w:color w:val="000000"/>
        </w:rPr>
        <w:sectPr w:rsidR="00935BD4" w:rsidSect="00D47DF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35BD4" w:rsidRPr="009D3A6F" w:rsidRDefault="00935BD4" w:rsidP="00935BD4">
      <w:pPr>
        <w:autoSpaceDE w:val="0"/>
        <w:autoSpaceDN w:val="0"/>
        <w:adjustRightInd w:val="0"/>
        <w:spacing w:after="240"/>
        <w:ind w:left="567" w:hanging="567"/>
        <w:rPr>
          <w:rFonts w:eastAsia="Calibri"/>
          <w:b/>
          <w:bCs/>
          <w:color w:val="000000"/>
        </w:rPr>
      </w:pPr>
      <w:r w:rsidRPr="009D3A6F">
        <w:rPr>
          <w:rFonts w:eastAsia="Calibri"/>
          <w:b/>
          <w:bCs/>
          <w:color w:val="000000"/>
        </w:rPr>
        <w:lastRenderedPageBreak/>
        <w:t>P9_TC1-COD(2023)0323</w:t>
      </w:r>
    </w:p>
    <w:p w:rsidR="00935BD4" w:rsidRPr="00935BD4" w:rsidRDefault="00935BD4" w:rsidP="00935BD4">
      <w:pPr>
        <w:spacing w:after="240"/>
        <w:rPr>
          <w:b/>
          <w:szCs w:val="24"/>
          <w:lang w:eastAsia="en-US"/>
        </w:rPr>
      </w:pPr>
      <w:r w:rsidRPr="00CE3598">
        <w:rPr>
          <w:rFonts w:eastAsia="Calibri"/>
          <w:b/>
          <w:bCs/>
        </w:rPr>
        <w:t>Pożizzjoni tal-Parlament Ewropew adottata fl-</w:t>
      </w:r>
      <w:r w:rsidRPr="00935BD4">
        <w:rPr>
          <w:rFonts w:eastAsia="Calibri"/>
          <w:b/>
          <w:bCs/>
        </w:rPr>
        <w:t>ewwel qari tat-23</w:t>
      </w:r>
      <w:r w:rsidRPr="00935BD4">
        <w:rPr>
          <w:b/>
        </w:rPr>
        <w:t xml:space="preserve"> </w:t>
      </w:r>
      <w:r w:rsidRPr="00935BD4">
        <w:rPr>
          <w:rFonts w:eastAsia="Calibri"/>
          <w:b/>
          <w:bCs/>
        </w:rPr>
        <w:t>ta' April 2024 bil</w:t>
      </w:r>
      <w:r w:rsidRPr="00CE3598">
        <w:rPr>
          <w:rFonts w:eastAsia="Calibri"/>
          <w:b/>
          <w:bCs/>
        </w:rPr>
        <w:t>-ħsieb tal-</w:t>
      </w:r>
      <w:r w:rsidRPr="00935BD4">
        <w:rPr>
          <w:rFonts w:eastAsia="Calibri"/>
          <w:b/>
          <w:bCs/>
        </w:rPr>
        <w:t xml:space="preserve">adozzjoni tar-Regolament (UE) 2024/... </w:t>
      </w:r>
      <w:r w:rsidRPr="00935BD4">
        <w:rPr>
          <w:b/>
          <w:color w:val="000000"/>
          <w:szCs w:val="22"/>
        </w:rPr>
        <w:t>tal</w:t>
      </w:r>
      <w:r w:rsidRPr="00CE3598">
        <w:rPr>
          <w:b/>
          <w:color w:val="000000"/>
          <w:szCs w:val="22"/>
        </w:rPr>
        <w:t>-Parlament Ewropew u tal-Kunsill</w:t>
      </w:r>
      <w:r>
        <w:rPr>
          <w:rFonts w:eastAsia="Calibri"/>
          <w:b/>
          <w:szCs w:val="22"/>
        </w:rPr>
        <w:t xml:space="preserve"> </w:t>
      </w:r>
      <w:r w:rsidRPr="00935BD4">
        <w:rPr>
          <w:b/>
          <w:szCs w:val="24"/>
          <w:lang w:eastAsia="en-US"/>
        </w:rPr>
        <w:t>dwar il-ġlieda kontra l-ħlasijiet tard fit-tranżazzjonijiet kummerċjali</w:t>
      </w:r>
    </w:p>
    <w:p w:rsidR="00935BD4" w:rsidRPr="00935BD4" w:rsidRDefault="00935BD4" w:rsidP="00935BD4">
      <w:pPr>
        <w:widowControl/>
        <w:spacing w:before="360" w:after="240" w:line="360" w:lineRule="auto"/>
        <w:jc w:val="center"/>
        <w:rPr>
          <w:szCs w:val="24"/>
          <w:lang w:eastAsia="en-US"/>
        </w:rPr>
      </w:pPr>
      <w:r w:rsidRPr="00935BD4">
        <w:rPr>
          <w:szCs w:val="24"/>
          <w:lang w:eastAsia="en-US"/>
        </w:rPr>
        <w:t>(Test b’rilevanza għaż-ŻEE)</w:t>
      </w:r>
    </w:p>
    <w:p w:rsidR="00935BD4" w:rsidRPr="00935BD4" w:rsidRDefault="00935BD4" w:rsidP="00935BD4">
      <w:pPr>
        <w:keepNext/>
        <w:spacing w:before="600" w:after="120" w:line="360" w:lineRule="auto"/>
        <w:rPr>
          <w:szCs w:val="24"/>
          <w:lang w:eastAsia="en-US"/>
        </w:rPr>
      </w:pPr>
      <w:r w:rsidRPr="00935BD4">
        <w:rPr>
          <w:szCs w:val="24"/>
          <w:lang w:eastAsia="en-US"/>
        </w:rPr>
        <w:t>IL-PARLAMENT EWROPEW U L-KUNSILL TAL-UNJONI EWROPEA,</w:t>
      </w:r>
    </w:p>
    <w:p w:rsidR="00935BD4" w:rsidRPr="00935BD4" w:rsidRDefault="00935BD4" w:rsidP="00935BD4">
      <w:pPr>
        <w:spacing w:before="120" w:after="120" w:line="360" w:lineRule="auto"/>
        <w:rPr>
          <w:lang w:eastAsia="en-US"/>
        </w:rPr>
      </w:pPr>
      <w:r w:rsidRPr="00935BD4">
        <w:rPr>
          <w:lang w:eastAsia="en-US"/>
        </w:rPr>
        <w:t>Wara li kkunsidraw it-Trattat dwar il-Funzjonament tal-Unjoni Ewropea, u b’mod partikolari l-Artikolu 114 tiegħu,</w:t>
      </w:r>
    </w:p>
    <w:p w:rsidR="00935BD4" w:rsidRPr="00935BD4" w:rsidRDefault="00935BD4" w:rsidP="00935BD4">
      <w:pPr>
        <w:spacing w:before="120" w:after="120" w:line="360" w:lineRule="auto"/>
        <w:rPr>
          <w:lang w:val="it-IT" w:eastAsia="en-US"/>
        </w:rPr>
      </w:pPr>
      <w:r w:rsidRPr="00935BD4">
        <w:rPr>
          <w:lang w:val="it-IT" w:eastAsia="en-US"/>
        </w:rPr>
        <w:t>Wara li kkunsidraw il-proposta tal-Kummissjoni Ewropea,</w:t>
      </w:r>
    </w:p>
    <w:p w:rsidR="00935BD4" w:rsidRPr="00935BD4" w:rsidRDefault="00935BD4" w:rsidP="00935BD4">
      <w:pPr>
        <w:spacing w:before="120" w:after="120" w:line="360" w:lineRule="auto"/>
        <w:rPr>
          <w:lang w:val="it-IT" w:eastAsia="en-US"/>
        </w:rPr>
      </w:pPr>
      <w:r w:rsidRPr="00935BD4">
        <w:rPr>
          <w:lang w:val="it-IT" w:eastAsia="en-US"/>
        </w:rPr>
        <w:t>Wara li l-abbozz tal-att leġiżlattiv intbagħat lill-parlamenti nazzjonali,</w:t>
      </w:r>
    </w:p>
    <w:p w:rsidR="00935BD4" w:rsidRPr="00935BD4" w:rsidRDefault="00935BD4" w:rsidP="00935BD4">
      <w:pPr>
        <w:spacing w:before="120" w:after="120" w:line="360" w:lineRule="auto"/>
        <w:rPr>
          <w:lang w:val="it-IT" w:eastAsia="en-US"/>
        </w:rPr>
      </w:pPr>
      <w:r w:rsidRPr="00935BD4">
        <w:rPr>
          <w:lang w:val="it-IT" w:eastAsia="en-US"/>
        </w:rPr>
        <w:t>Wara li kkunsidraw l-opinjoni tal-Kumitat Ekonomiku u Soċjali Ewropew</w:t>
      </w:r>
      <w:r w:rsidRPr="00935BD4">
        <w:rPr>
          <w:vertAlign w:val="superscript"/>
          <w:lang w:val="en-GB" w:eastAsia="en-US"/>
        </w:rPr>
        <w:footnoteReference w:id="3"/>
      </w:r>
      <w:r w:rsidRPr="00935BD4">
        <w:rPr>
          <w:lang w:val="it-IT" w:eastAsia="en-US"/>
        </w:rPr>
        <w:t>,</w:t>
      </w:r>
    </w:p>
    <w:p w:rsidR="00935BD4" w:rsidRPr="00935BD4" w:rsidRDefault="00935BD4" w:rsidP="00935BD4">
      <w:pPr>
        <w:spacing w:before="120" w:after="120" w:line="360" w:lineRule="auto"/>
        <w:rPr>
          <w:lang w:val="it-IT" w:eastAsia="en-US"/>
        </w:rPr>
      </w:pPr>
      <w:r w:rsidRPr="00935BD4">
        <w:rPr>
          <w:lang w:val="it-IT" w:eastAsia="en-US"/>
        </w:rPr>
        <w:t>Filwaqt li jaġixxu skont il-proċedura leġiżlattiva ordinarja,</w:t>
      </w:r>
    </w:p>
    <w:p w:rsidR="00935BD4" w:rsidRDefault="00935BD4">
      <w:pPr>
        <w:widowControl/>
        <w:rPr>
          <w:lang w:val="it-IT" w:eastAsia="en-US"/>
        </w:rPr>
      </w:pPr>
      <w:r>
        <w:rPr>
          <w:lang w:val="it-IT" w:eastAsia="en-US"/>
        </w:rPr>
        <w:br w:type="page"/>
      </w:r>
    </w:p>
    <w:p w:rsidR="00935BD4" w:rsidRPr="00935BD4" w:rsidRDefault="00935BD4" w:rsidP="00935BD4">
      <w:pPr>
        <w:spacing w:before="120" w:after="120" w:line="360" w:lineRule="auto"/>
        <w:rPr>
          <w:lang w:val="it-IT" w:eastAsia="en-US"/>
        </w:rPr>
      </w:pPr>
      <w:r w:rsidRPr="00935BD4">
        <w:rPr>
          <w:lang w:val="it-IT" w:eastAsia="en-US"/>
        </w:rPr>
        <w:lastRenderedPageBreak/>
        <w:t>Billi:</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(1)</w:t>
      </w:r>
      <w:r w:rsidRPr="00935BD4">
        <w:rPr>
          <w:szCs w:val="24"/>
          <w:lang w:val="it-IT" w:eastAsia="en-US"/>
        </w:rPr>
        <w:tab/>
        <w:t>Ħafna mill-oġġetti u s-servizzi jiġu fornuti fi ħdan is-suq intern minn operaturi ekonomiċi lil operaturi ekonomiċi oħra u lil awtoritajiet pubbliċi abbażi ta’ ħlas differit b’mod li l-fornitur jagħti ċans lill-klijent tiegħu biex iħallas il-fattura, kif miftiehem bejn il-partijiet, kif stabbilit fil-fattura tal-fornitur jew kif stipulat fil-liġi.</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w:t>
      </w:r>
      <w:r w:rsidRPr="00935BD4">
        <w:rPr>
          <w:szCs w:val="24"/>
          <w:lang w:val="it-IT" w:eastAsia="en-US"/>
        </w:rPr>
        <w:tab/>
        <w:t>Ħafna mill-ħlasijiet fit-tranżazzjonijiet kummerċjali bejn l-operaturi ekonomiċi jew bejn l-operaturi ekonomiċi u l-awtoritajiet pubbliċi jsiru aktar tard minn meta miftiehem fil-kuntratt jew minn meta stipulat fil-kundizzjonijiet kummerċjali ġenerali jew fil-liġi</w:t>
      </w:r>
      <w:r w:rsidRPr="00935BD4">
        <w:rPr>
          <w:b/>
          <w:i/>
          <w:szCs w:val="24"/>
          <w:lang w:val="it-IT" w:eastAsia="en-US"/>
        </w:rPr>
        <w:t>, għalkemm l-oġġetti jiġu fornuti jew is-servizzi jiġu pprovduti</w:t>
      </w:r>
      <w:r w:rsidRPr="00935BD4">
        <w:rPr>
          <w:szCs w:val="24"/>
          <w:lang w:val="it-IT" w:eastAsia="en-US"/>
        </w:rPr>
        <w:t>.</w:t>
      </w:r>
      <w:r>
        <w:rPr>
          <w:b/>
          <w:szCs w:val="24"/>
          <w:lang w:val="it-IT" w:eastAsia="en-US"/>
        </w:rPr>
        <w:t xml:space="preserve"> [Em. 1]</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(3)</w:t>
      </w:r>
      <w:r w:rsidRPr="00935BD4">
        <w:rPr>
          <w:szCs w:val="24"/>
          <w:lang w:val="it-IT" w:eastAsia="en-US"/>
        </w:rPr>
        <w:tab/>
        <w:t>Il-ħlasijiet tard</w:t>
      </w:r>
      <w:r w:rsidRPr="00935BD4">
        <w:rPr>
          <w:b/>
          <w:i/>
          <w:szCs w:val="24"/>
          <w:lang w:val="it-IT" w:eastAsia="en-US"/>
        </w:rPr>
        <w:t xml:space="preserve"> u l-ħlasijiet differiti lil hinn mill-perjodi stabbiliti mil-liġi</w:t>
      </w:r>
      <w:r w:rsidRPr="00935BD4">
        <w:rPr>
          <w:szCs w:val="24"/>
          <w:lang w:val="it-IT" w:eastAsia="en-US"/>
        </w:rPr>
        <w:t xml:space="preserve"> jaffettwaw direttament il-likwidità u l-prevedibbiltà tal-flussi tal-flus, u b’hekk iżidu l-bżonnijiet tal-kapital operatorju u jikkompromettu </w:t>
      </w:r>
      <w:r w:rsidRPr="00935BD4">
        <w:rPr>
          <w:strike/>
          <w:szCs w:val="24"/>
          <w:lang w:val="it-IT" w:eastAsia="en-US"/>
        </w:rPr>
        <w:t>l-aċċess ta’ kumpanija għal</w:t>
      </w:r>
      <w:r w:rsidRPr="00935BD4">
        <w:rPr>
          <w:b/>
          <w:i/>
          <w:szCs w:val="24"/>
          <w:lang w:val="it-IT" w:eastAsia="en-US"/>
        </w:rPr>
        <w:t xml:space="preserve">l-profittabbiltà, </w:t>
      </w:r>
      <w:proofErr w:type="gramStart"/>
      <w:r w:rsidRPr="00935BD4">
        <w:rPr>
          <w:b/>
          <w:i/>
          <w:szCs w:val="24"/>
          <w:lang w:val="it-IT" w:eastAsia="en-US"/>
        </w:rPr>
        <w:t>meta l</w:t>
      </w:r>
      <w:proofErr w:type="gramEnd"/>
      <w:r w:rsidRPr="00935BD4">
        <w:rPr>
          <w:b/>
          <w:i/>
          <w:szCs w:val="24"/>
          <w:lang w:val="it-IT" w:eastAsia="en-US"/>
        </w:rPr>
        <w:t>-kreditur ikollu bżonn jikseb</w:t>
      </w:r>
      <w:r w:rsidRPr="00935BD4">
        <w:rPr>
          <w:szCs w:val="24"/>
          <w:lang w:val="it-IT" w:eastAsia="en-US"/>
        </w:rPr>
        <w:t xml:space="preserve"> finanzjament estern</w:t>
      </w:r>
      <w:r w:rsidRPr="00935BD4">
        <w:rPr>
          <w:b/>
          <w:i/>
          <w:szCs w:val="24"/>
          <w:lang w:val="it-IT" w:eastAsia="en-US"/>
        </w:rPr>
        <w:t xml:space="preserve"> minħabba ħlasijiet tard</w:t>
      </w:r>
      <w:r w:rsidRPr="00935BD4">
        <w:rPr>
          <w:szCs w:val="24"/>
          <w:lang w:val="it-IT" w:eastAsia="en-US"/>
        </w:rPr>
        <w:t>. Dan jaffettwa l-kompetittività, inaqqas</w:t>
      </w:r>
      <w:r w:rsidRPr="00935BD4">
        <w:rPr>
          <w:strike/>
          <w:szCs w:val="24"/>
          <w:lang w:val="it-IT" w:eastAsia="en-US"/>
        </w:rPr>
        <w:t xml:space="preserve"> il-produttività</w:t>
      </w:r>
      <w:r w:rsidRPr="00935BD4">
        <w:rPr>
          <w:szCs w:val="24"/>
          <w:lang w:val="it-IT" w:eastAsia="en-US"/>
        </w:rPr>
        <w:t>, iwassal għal sensji, iżid il-probabbiltà ta’ insolvenzi u fallimenti, u hu ostaklu kritiku għat-tkabbir</w:t>
      </w:r>
      <w:r w:rsidRPr="00935BD4">
        <w:rPr>
          <w:b/>
          <w:i/>
          <w:szCs w:val="24"/>
          <w:lang w:val="it-IT" w:eastAsia="en-US"/>
        </w:rPr>
        <w:t>, meta jitqies ukoll li l-inflazzjoni tnaqqas il-valur reali tal-krediti maż-żmien</w:t>
      </w:r>
      <w:r w:rsidRPr="00935BD4">
        <w:rPr>
          <w:szCs w:val="24"/>
          <w:lang w:val="it-IT" w:eastAsia="en-US"/>
        </w:rPr>
        <w:t>. L-effetti dannużi tal-ħlasijiet tard jinfirxu tul il-ktajjen tal-provvista, għax id-dewmien tal-ħlasijiet spiss jingħadda fuq il-fornituri. L-intrapriżi żgħar u medji (SMEs)</w:t>
      </w:r>
      <w:r w:rsidRPr="00935BD4">
        <w:rPr>
          <w:b/>
          <w:i/>
          <w:szCs w:val="24"/>
          <w:lang w:val="it-IT" w:eastAsia="en-US"/>
        </w:rPr>
        <w:t xml:space="preserve"> u b’mod partikolari l-mikrointrapriżi</w:t>
      </w:r>
      <w:r w:rsidRPr="00935BD4">
        <w:rPr>
          <w:szCs w:val="24"/>
          <w:lang w:val="it-IT" w:eastAsia="en-US"/>
        </w:rPr>
        <w:t>, li jiddependu fuq flussi regolari u prevedibbli tal-flus, huma affettwati ħafna minn dawk il-konsegwenzi negattivi. Għalhekk, il-ħlasijiet tard jirrappreżentaw problema għall-ekonomija tal-Unjoni minħabba l-konsegwenzi ekonomiċi u soċjali negattivi tagħhom.</w:t>
      </w:r>
      <w:r w:rsidRPr="00935BD4">
        <w:rPr>
          <w:b/>
          <w:i/>
          <w:szCs w:val="24"/>
          <w:lang w:val="it-IT" w:eastAsia="en-US"/>
        </w:rPr>
        <w:t xml:space="preserve"> Ir-riskju ta’ dawn l-effetti negattivi jiżdied ħafna f’perjodi ta’ kriżi ekonomika </w:t>
      </w:r>
      <w:proofErr w:type="gramStart"/>
      <w:r w:rsidRPr="00935BD4">
        <w:rPr>
          <w:b/>
          <w:i/>
          <w:szCs w:val="24"/>
          <w:lang w:val="it-IT" w:eastAsia="en-US"/>
        </w:rPr>
        <w:t>meta l</w:t>
      </w:r>
      <w:proofErr w:type="gramEnd"/>
      <w:r w:rsidRPr="00935BD4">
        <w:rPr>
          <w:b/>
          <w:i/>
          <w:szCs w:val="24"/>
          <w:lang w:val="it-IT" w:eastAsia="en-US"/>
        </w:rPr>
        <w:t>-aċċess għall-finanzjament huwa aktar diffiċli.</w:t>
      </w:r>
      <w:r>
        <w:rPr>
          <w:b/>
          <w:szCs w:val="24"/>
          <w:lang w:val="it-IT" w:eastAsia="en-US"/>
        </w:rPr>
        <w:t xml:space="preserve"> [Em. 2]</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(4)</w:t>
      </w:r>
      <w:r w:rsidRPr="00935BD4">
        <w:rPr>
          <w:szCs w:val="24"/>
          <w:lang w:val="it-IT" w:eastAsia="en-US"/>
        </w:rPr>
        <w:tab/>
        <w:t>Għalkemm it-talbiet ġudizzjarji relatati mal-ħlasijiet tard diġà huma ffaċilitati mir-Regolamenti (KE) Nru 805/2004</w:t>
      </w:r>
      <w:r w:rsidRPr="00935BD4">
        <w:rPr>
          <w:szCs w:val="24"/>
          <w:vertAlign w:val="superscript"/>
          <w:lang w:val="en-GB" w:eastAsia="en-US"/>
        </w:rPr>
        <w:footnoteReference w:id="4"/>
      </w:r>
      <w:r w:rsidRPr="00935BD4">
        <w:rPr>
          <w:szCs w:val="24"/>
          <w:lang w:val="it-IT" w:eastAsia="en-US"/>
        </w:rPr>
        <w:t>, (KE) Nru 1896/2006</w:t>
      </w:r>
      <w:r w:rsidRPr="00935BD4">
        <w:rPr>
          <w:szCs w:val="24"/>
          <w:vertAlign w:val="superscript"/>
          <w:lang w:val="en-GB" w:eastAsia="en-US"/>
        </w:rPr>
        <w:footnoteReference w:id="5"/>
      </w:r>
      <w:r w:rsidRPr="00935BD4">
        <w:rPr>
          <w:szCs w:val="24"/>
          <w:lang w:val="it-IT" w:eastAsia="en-US"/>
        </w:rPr>
        <w:t>, (KE) Nru 861/2007</w:t>
      </w:r>
      <w:r w:rsidRPr="00935BD4">
        <w:rPr>
          <w:szCs w:val="24"/>
          <w:vertAlign w:val="superscript"/>
          <w:lang w:val="en-GB" w:eastAsia="en-US"/>
        </w:rPr>
        <w:footnoteReference w:id="6"/>
      </w:r>
      <w:r w:rsidRPr="00935BD4">
        <w:rPr>
          <w:szCs w:val="24"/>
          <w:lang w:val="it-IT" w:eastAsia="en-US"/>
        </w:rPr>
        <w:t xml:space="preserve"> u (UE) Nru 1215/2012</w:t>
      </w:r>
      <w:r w:rsidRPr="00935BD4">
        <w:rPr>
          <w:szCs w:val="24"/>
          <w:vertAlign w:val="superscript"/>
          <w:lang w:val="en-GB" w:eastAsia="en-US"/>
        </w:rPr>
        <w:footnoteReference w:id="7"/>
      </w:r>
      <w:r w:rsidRPr="00935BD4">
        <w:rPr>
          <w:szCs w:val="24"/>
          <w:lang w:val="it-IT" w:eastAsia="en-US"/>
        </w:rPr>
        <w:t xml:space="preserve"> tal-Parlament Ewropew u tal-Kunsill, biex jiġu skoraġġuti l-ħlasijiet tard fit-tranżazzjonijiet kummerċjali, jeħtieġ jiġu stabbiliti dispożizzjonijiet kumplimentari.</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(5)</w:t>
      </w:r>
      <w:r w:rsidRPr="00935BD4">
        <w:rPr>
          <w:szCs w:val="24"/>
          <w:lang w:val="it-IT" w:eastAsia="en-US"/>
        </w:rPr>
        <w:tab/>
        <w:t>L-intrapriżi jenħtieġ li jkunu jistgħu jinnegozjaw fis-suq intern kollu b’kundizzjonijiet li jiżguraw li l-operazzjonijiet transfruntieri ma jkunux jinvolvu riskji akbar mill-bejgħ domestiku. Ikun hemm bosta distorsjonijiet tal-kompetizzjoni jekk jiġu applikati regoli sostanzjalment differenti bejn l-operazzjonijiet domestiċi u l-operazzjonijiet transfruntieri.</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(6)</w:t>
      </w:r>
      <w:r w:rsidRPr="00935BD4">
        <w:rPr>
          <w:szCs w:val="24"/>
          <w:lang w:val="it-IT" w:eastAsia="en-US"/>
        </w:rPr>
        <w:tab/>
        <w:t>Id-Direttiva 2011/7/UE tal-Parlament Ewropew u tal-Kunsill</w:t>
      </w:r>
      <w:r w:rsidRPr="00935BD4">
        <w:rPr>
          <w:szCs w:val="24"/>
          <w:vertAlign w:val="superscript"/>
          <w:lang w:val="en-GB" w:eastAsia="en-US"/>
        </w:rPr>
        <w:footnoteReference w:id="8"/>
      </w:r>
      <w:r w:rsidRPr="00935BD4">
        <w:rPr>
          <w:szCs w:val="24"/>
          <w:lang w:val="it-IT" w:eastAsia="en-US"/>
        </w:rPr>
        <w:t xml:space="preserve"> tistabbilixxi regoli li jiġġieldu kontra l-ħlasijiet tard fit-tranżazzjonijiet kummerċjali. Fl-2019, il-Parlament Ewropew identifika diversi nuqqasijiet f’dik id-Direttiva. L-Istrateġija għall-SMEs għal Ewropa sostenibbli u diġitali</w:t>
      </w:r>
      <w:r w:rsidRPr="00935BD4">
        <w:rPr>
          <w:szCs w:val="24"/>
          <w:vertAlign w:val="superscript"/>
          <w:lang w:val="en-GB" w:eastAsia="en-US"/>
        </w:rPr>
        <w:footnoteReference w:id="9"/>
      </w:r>
      <w:r w:rsidRPr="00935BD4">
        <w:rPr>
          <w:szCs w:val="24"/>
          <w:lang w:val="it-IT" w:eastAsia="en-US"/>
        </w:rPr>
        <w:t xml:space="preserve"> appellat biex ikun żgurat ambjent “mingħajr ħlasijiet tard” għall-SMEs u biex jissaħħaħ l-infurzar tad-Direttiva 2011/7/UE. Fl-2021, fl-opinjoni tagħha, il-Pjattaforma Fit for Future enfasizzat kwistjonijiet kritiċi fl-implimentazzjoni ta’ dik id-Direttiva. In-nuqqasijiet ewlenin identifikati f’dawn l-inizjattivi huma relatati ma’: id-dispożizzjonijiet ambigwi dwar “inġusti għall-aħħar” rigward l-iskadenzi għall-ħlasijiet fit-tranżazzjonijiet bejn in-negozji (B2B), il-prattiki inġusti tal-ħlas u l-iskadenzi għall-proċeduri tal-aċċettazzjoni u tal-verifika; il-kumpens b’tariffa fissa; l-assimetrija tar-regoli dwar il-perjodi tal-ħlas bejn it-tranżazzjonijiet G2B u B2B; </w:t>
      </w:r>
      <w:r w:rsidRPr="00935BD4">
        <w:rPr>
          <w:b/>
          <w:i/>
          <w:szCs w:val="24"/>
          <w:lang w:val="it-IT" w:eastAsia="en-US"/>
        </w:rPr>
        <w:t xml:space="preserve">l-asimetriji fis-setgħa ta’ negozjar bejn debituri kbar u aktar b’saħħithom u kredituri żgħar; </w:t>
      </w:r>
      <w:r w:rsidRPr="00935BD4">
        <w:rPr>
          <w:szCs w:val="24"/>
          <w:lang w:val="it-IT" w:eastAsia="en-US"/>
        </w:rPr>
        <w:t>in-nuqqas ta’ perjodu massimu tal-ħlas għat-tranżazzjonijiet kummerċjali fit-tranżazzjonijiet B2B; in-nuqqas ta’ monitoraġġ tal-konformità u tal-infurzar; in-nuqqas ta’ għodod li jsewwu l-asimmetriji tal-informazzjoni; kif ukoll għodod għall-kredituri biex jieħdu azzjoni kontra d-debituri tagħhom, u n-nuqqas ta’ sinerġiji mal-qafas tal-akkwist pubbliku.</w:t>
      </w:r>
      <w:r>
        <w:rPr>
          <w:b/>
          <w:szCs w:val="24"/>
          <w:lang w:val="it-IT" w:eastAsia="en-US"/>
        </w:rPr>
        <w:t xml:space="preserve"> [Em. 3]</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(7)</w:t>
      </w:r>
      <w:r w:rsidRPr="00935BD4">
        <w:rPr>
          <w:szCs w:val="24"/>
          <w:lang w:val="it-IT" w:eastAsia="en-US"/>
        </w:rPr>
        <w:tab/>
        <w:t>Biex jiġu indirizzati dawk in-nuqqasijiet, jenħtieġ li d-Direttiva 2011/7/UE tiġi sostitwita.</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(8)</w:t>
      </w:r>
      <w:r w:rsidRPr="00935BD4">
        <w:rPr>
          <w:szCs w:val="24"/>
          <w:lang w:val="it-IT" w:eastAsia="en-US"/>
        </w:rPr>
        <w:tab/>
        <w:t>Jenħtieġ li jiġu stabbiliti dispożizzjonijiet għall-prevenzjoni tal-ħlasijiet tard fit-tranżazzjonijiet kummerċjali, li jikkonsistu fit-twassil ta’ oġġetti jew fl-għoti ta’ servizzi bi ħlas, irrispettivament minn jekk dawn isirux bejn l-intrapriżi jew bejn intrapriżi u awtoritajiet/entitajiet kontraenti, meta dawn tal-aħħar ikunu d-debitur, peress li dawn l-awtoritajiet/entitajiet kontraenti jittrattaw volum konsiderevoli ta’ ħlasijiet lill-intrapriżi.</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(9)</w:t>
      </w:r>
      <w:r w:rsidRPr="00935BD4">
        <w:rPr>
          <w:szCs w:val="24"/>
          <w:lang w:val="it-IT" w:eastAsia="en-US"/>
        </w:rPr>
        <w:tab/>
        <w:t>Il-kuntratti tax-xogħlijiet pubbliċi, tax-xogħol tal-kostruzzjoni u tax-xogħol tal-inġinerija ċivili spiss ikunu soġġetti għal perjodi twal u dewmien fil-ħlasijiet. Għalhekk, dan ir-Regolament jenħtieġ li japplika wkoll għal dawn l-attivitajiet.</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(9a)</w:t>
      </w:r>
      <w:r w:rsidRPr="00935BD4">
        <w:rPr>
          <w:szCs w:val="24"/>
          <w:lang w:val="it-IT" w:eastAsia="en-US"/>
        </w:rPr>
        <w:tab/>
      </w:r>
      <w:r w:rsidRPr="00935BD4">
        <w:rPr>
          <w:b/>
          <w:i/>
          <w:szCs w:val="24"/>
          <w:lang w:val="it-IT" w:eastAsia="en-US"/>
        </w:rPr>
        <w:t>Id-diversità kulturali hija minquxa fl-Artikolu 167 tat-TFUE u trid tiġi protetta, u s-setturi ekonomiċi kulturali għandhom karatteristiċi speċifiċi, b’mod partikolari r-rotazzjoni bil-mod fil-kummerċ tal-kotba.</w:t>
      </w:r>
      <w:r>
        <w:rPr>
          <w:b/>
          <w:szCs w:val="24"/>
          <w:lang w:val="it-IT" w:eastAsia="en-US"/>
        </w:rPr>
        <w:t xml:space="preserve"> [Em. 92]</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(10)</w:t>
      </w:r>
      <w:r w:rsidRPr="00935BD4">
        <w:rPr>
          <w:szCs w:val="24"/>
          <w:lang w:val="it-IT" w:eastAsia="en-US"/>
        </w:rPr>
        <w:tab/>
        <w:t>It-tranżazzjonijiet mal-konsumaturi, il-ħlasijiet bħala kumpens għad-danni</w:t>
      </w:r>
      <w:r w:rsidRPr="00935BD4">
        <w:rPr>
          <w:strike/>
          <w:szCs w:val="24"/>
          <w:lang w:val="it-IT" w:eastAsia="en-US"/>
        </w:rPr>
        <w:t>, inkluż il-ħlasijiet minn kumpaniji tal-assigurazzjoni,</w:t>
      </w:r>
      <w:r w:rsidRPr="00935BD4">
        <w:rPr>
          <w:szCs w:val="24"/>
          <w:lang w:val="it-IT" w:eastAsia="en-US"/>
        </w:rPr>
        <w:t xml:space="preserve"> u l-obbligi tal-ħlas li jistgħu jiġu kkanċellati, posposti, jew rinunzjati skont jew b’rabta ma’ proċedimenti ta’ insolvenza jew proċedimenti ta’ ristrutturar, inkluż proċedimenti ta’ ristrutturar preventiv skont id-Direttiva (UE) 2019/1023</w:t>
      </w:r>
      <w:r w:rsidRPr="00935BD4">
        <w:rPr>
          <w:szCs w:val="24"/>
          <w:vertAlign w:val="superscript"/>
          <w:lang w:val="en-GB" w:eastAsia="en-US"/>
        </w:rPr>
        <w:footnoteReference w:id="10"/>
      </w:r>
      <w:r w:rsidRPr="00935BD4">
        <w:rPr>
          <w:szCs w:val="24"/>
          <w:lang w:val="it-IT" w:eastAsia="en-US"/>
        </w:rPr>
        <w:t xml:space="preserve"> tal-Parlament Ewropew u tal-Kunsill, jenħtieġ li jiġu esklużi mill-kamp ta’ applikazzjoni ta’ dan ir-Regolament.</w:t>
      </w:r>
      <w:r w:rsidRPr="00935BD4">
        <w:rPr>
          <w:b/>
          <w:i/>
          <w:szCs w:val="24"/>
          <w:lang w:val="it-IT" w:eastAsia="en-US"/>
        </w:rPr>
        <w:t xml:space="preserve"> Madankollu, il-ħlasijiet magħmula fit-twettiq tal-obbligi li joħorġu minn kuntratti tal-assigurazzjoni jenħtieġ li jkunu koperti b’dan ir-Regolament. B’mod partikolari, il-ħlasijiet magħmula fi tranżazzjonijiet bejn kumpaniji tal-assigurazzjoni u intrapriżi bi skambju għall-forniment ta’ oġġetti jew għall-provvista ta’ servizzi bi ħlas, inkluż bħala kumpens lil partijiet terzi oħra, jenħtieġ li jaqgħu fil-kamp ta’ applikazzjoni ta’ dan ir-Regolament.</w:t>
      </w:r>
      <w:r>
        <w:rPr>
          <w:b/>
          <w:szCs w:val="24"/>
          <w:lang w:val="it-IT" w:eastAsia="en-US"/>
        </w:rPr>
        <w:t xml:space="preserve"> [Em. 4]</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(11)</w:t>
      </w:r>
      <w:r w:rsidRPr="00935BD4">
        <w:rPr>
          <w:szCs w:val="24"/>
          <w:lang w:val="it-IT" w:eastAsia="en-US"/>
        </w:rPr>
        <w:tab/>
        <w:t xml:space="preserve">Il-ħlasijiet tard jikkostitwixxu ksur tal-kuntratt li jkun attraenti finanzjarjament għad-debituri, minħabba r-rati baxxi tal-imgħax, jew l-ebda rata tal-imgħax, fuq il-ħlasijiet tard jew minħabba d-dewmien fil-proċeduri tar-rimedju. Jeħtieġ issir bidla deċiżiva favur kultura ta’ ħlas fil-pront, inkluż dik li l-esklużjoni tad-dritt li jintalab imgħax għal ħlasijiet tard tkun nulla u bla effett, ħalli titreġġa’ lura din it-tendenza u jiġu skoraġġuti l-ħlasijiet tard. Għaldaqstant, il-perjodi tal-ħlas kuntrattwali jenħtieġ li jkunu limitati għal 30 jum kalendarju, kemm fit-tranżazzjonijiet B2B kif ukoll fit-tranżazzjonijiet G2B, </w:t>
      </w:r>
      <w:proofErr w:type="gramStart"/>
      <w:r w:rsidRPr="00935BD4">
        <w:rPr>
          <w:szCs w:val="24"/>
          <w:lang w:val="it-IT" w:eastAsia="en-US"/>
        </w:rPr>
        <w:t>meta l</w:t>
      </w:r>
      <w:proofErr w:type="gramEnd"/>
      <w:r w:rsidRPr="00935BD4">
        <w:rPr>
          <w:szCs w:val="24"/>
          <w:lang w:val="it-IT" w:eastAsia="en-US"/>
        </w:rPr>
        <w:t>-awtorità pubblika tkun id-debitur.</w:t>
      </w:r>
      <w:r w:rsidRPr="00935BD4">
        <w:rPr>
          <w:b/>
          <w:i/>
          <w:szCs w:val="24"/>
          <w:lang w:val="it-IT" w:eastAsia="en-US"/>
        </w:rPr>
        <w:t xml:space="preserve"> Din il-bidla hija meħtieġa wkoll biex jiġi limitat l-hekk imsejjaħ “fattur ta’ biża’” li l-intrapriżi mikro u żgħar isofru minnu meta jkollhom kreditu ma’ kumpaniji akbar u li spiss iwassal biex kredituri bħal dawn jaċċettaw perjodi itwal ta’ ħlas milli jkunu komdi bihom kontra l-wegħda ta’ negozju futur. Fl-istess ħin, jenħtieġ li tingħata flessibbiltà addizzjonali lill-impriżi sabiex ikunu jistgħu jibbenefikaw mil-libertà kuntrattwali u jinnegozjaw perjodu itwal ta’ ħlas sa 60 jum kalendarju. Dan il-perjodu estiż ta’ ħlas għandu jkun possibbli meta jkun ta’ benefiċċju reċiproku għall-kreditur </w:t>
      </w:r>
      <w:proofErr w:type="gramStart"/>
      <w:r w:rsidRPr="00935BD4">
        <w:rPr>
          <w:b/>
          <w:i/>
          <w:szCs w:val="24"/>
          <w:lang w:val="it-IT" w:eastAsia="en-US"/>
        </w:rPr>
        <w:t>u d</w:t>
      </w:r>
      <w:proofErr w:type="gramEnd"/>
      <w:r w:rsidRPr="00935BD4">
        <w:rPr>
          <w:b/>
          <w:i/>
          <w:szCs w:val="24"/>
          <w:lang w:val="it-IT" w:eastAsia="en-US"/>
        </w:rPr>
        <w:t>-debitur. Il-fatturar elettroniku jista’ jkun ukoll għodda ta’ għajnuna biex jitqassar il-perjodu ta’ ħlas, peress li jgħin lill-kredituri jagħtu prova tad-data li fiha tiġi riċevuta l-fattura f’każ ta’ dubju jew tilwima.</w:t>
      </w:r>
      <w:r>
        <w:rPr>
          <w:b/>
          <w:szCs w:val="24"/>
          <w:lang w:val="it-IT" w:eastAsia="en-US"/>
        </w:rPr>
        <w:t xml:space="preserve"> [Em. 5]</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lastRenderedPageBreak/>
        <w:t>(11a)</w:t>
      </w:r>
      <w:r w:rsidRPr="00935BD4">
        <w:rPr>
          <w:szCs w:val="24"/>
          <w:lang w:val="it-IT" w:eastAsia="en-US"/>
        </w:rPr>
        <w:tab/>
      </w:r>
      <w:r w:rsidRPr="00935BD4">
        <w:rPr>
          <w:b/>
          <w:i/>
          <w:szCs w:val="24"/>
          <w:lang w:val="it-IT" w:eastAsia="en-US"/>
        </w:rPr>
        <w:t xml:space="preserve">F’dan l-isfond, huwa neċessarju li tiġi rikonoxxuta l-eżistenza ta’ ċerti mudelli ta’ negozju u prattiki tal-industrija fis-settur tal-bejgħ bl-imnut li għandhom l-għan li jżommu perjodi ta’ ħlas kemxejn itwal. Peress li dawn il-prattiki jirriflettu rotazzjoni u staġjonalità baxxi ta’ ċerti kategoriji ta’ prodotti, kif ukoll ċikli operattivi uniċi ta’ xi oġġetti kulturali li jimxu bil-mod, bħal ġugarelli, ġojjellerija, tagħmir sportiv jew kotba, u huma ta’ benefiċċju reċiproku għall-kredituri </w:t>
      </w:r>
      <w:proofErr w:type="gramStart"/>
      <w:r w:rsidRPr="00935BD4">
        <w:rPr>
          <w:b/>
          <w:i/>
          <w:szCs w:val="24"/>
          <w:lang w:val="it-IT" w:eastAsia="en-US"/>
        </w:rPr>
        <w:t>u d</w:t>
      </w:r>
      <w:proofErr w:type="gramEnd"/>
      <w:r w:rsidRPr="00935BD4">
        <w:rPr>
          <w:b/>
          <w:i/>
          <w:szCs w:val="24"/>
          <w:lang w:val="it-IT" w:eastAsia="en-US"/>
        </w:rPr>
        <w:t>-debituri, huwa mixtieq li titħalla flessibbiltà limitata f’din il-kwistjoni sabiex il-partijiet kontraenti jkunu jistgħu jibbenefikaw minn perjodu ta’ ħlas ta’ mhux aktar minn 120 jum kalendarju.</w:t>
      </w:r>
      <w:r>
        <w:rPr>
          <w:b/>
          <w:szCs w:val="24"/>
          <w:lang w:val="it-IT" w:eastAsia="en-US"/>
        </w:rPr>
        <w:t xml:space="preserve"> [Em. 6]</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(12)</w:t>
      </w:r>
      <w:r w:rsidRPr="00935BD4">
        <w:rPr>
          <w:szCs w:val="24"/>
          <w:lang w:val="it-IT" w:eastAsia="en-US"/>
        </w:rPr>
        <w:tab/>
        <w:t xml:space="preserve">Il-proċeduri tal-aċċettazzjoni jew tal-verifika biex tiġi żgurata l-konformità tal-oġġetti jew tas-servizzi pprovduti mar-rekwiżiti tal-kuntratt, kif ukoll il-verifika tal-korrettezza u l-konformità tal-fattura, </w:t>
      </w:r>
      <w:r w:rsidRPr="00935BD4">
        <w:rPr>
          <w:b/>
          <w:i/>
          <w:szCs w:val="24"/>
          <w:lang w:val="it-IT" w:eastAsia="en-US"/>
        </w:rPr>
        <w:t xml:space="preserve">huma għodod utli ħafna f’ħafna tranżazzjonijiet kummerċjali, b’mod partikolari biex jiġu protetti l-interessi tal-bejjiegħ u jiġi evitat tilwim legali żejjed bejn il-partijiet. Dan ir-Regolament ma jfittixx li jillimita l-użu ta’ dawn l-għodod. Madankollu, dawn il-proċeduri </w:t>
      </w:r>
      <w:r w:rsidRPr="00935BD4">
        <w:rPr>
          <w:szCs w:val="24"/>
          <w:lang w:val="it-IT" w:eastAsia="en-US"/>
        </w:rPr>
        <w:t>spiss jintużaw biex idewmu intenzjonalment il-perjodu tal-ħlas. Għalhekk</w:t>
      </w:r>
      <w:r w:rsidRPr="00935BD4">
        <w:rPr>
          <w:b/>
          <w:i/>
          <w:szCs w:val="24"/>
          <w:lang w:val="it-IT" w:eastAsia="en-US"/>
        </w:rPr>
        <w:t>, fil-kuntest tal-istabbiliment tal-perjodu tal-ħlas,</w:t>
      </w:r>
      <w:r w:rsidRPr="00935BD4">
        <w:rPr>
          <w:szCs w:val="24"/>
          <w:lang w:val="it-IT" w:eastAsia="en-US"/>
        </w:rPr>
        <w:t xml:space="preserve"> jenħtieġ li l-inklużjoni tagħhom fil-kuntratt tiġi ġġustifikata oġġettivament min-natura partikolari tal-kuntratt inkwistjoni jew minn xi karatteristiċi tiegħu</w:t>
      </w:r>
      <w:r w:rsidRPr="00935BD4">
        <w:rPr>
          <w:szCs w:val="24"/>
          <w:vertAlign w:val="superscript"/>
          <w:lang w:val="en-GB" w:eastAsia="en-US"/>
        </w:rPr>
        <w:footnoteReference w:id="11"/>
      </w:r>
      <w:r w:rsidRPr="00935BD4">
        <w:rPr>
          <w:szCs w:val="24"/>
          <w:vertAlign w:val="superscript"/>
          <w:lang w:val="it-IT" w:eastAsia="en-US"/>
        </w:rPr>
        <w:t>.</w:t>
      </w:r>
      <w:r w:rsidRPr="00935BD4">
        <w:rPr>
          <w:szCs w:val="24"/>
          <w:lang w:val="it-IT" w:eastAsia="en-US"/>
        </w:rPr>
        <w:t>. Għalhekk jenħtieġ li jkun possibbli li dik il-proċedura tal-verifika jew tal-aċċettazzjoni f’kuntratt tiġi prevista biss meta dan ikun previst fil-liġi nazzjonali, meta meħtieġ, minħabba n-natura speċifika tal-oġġetti jew tas-servizzi. Biex ikun evitat li l-proċedura tal-aċċettazzjoni jew tal-verifika tintuża għall-estensjoni tal-perjodu tal-ħlas, il-kuntratt jenħtieġ li jkun jiddeskrivi b’mod ċar id-dettalji ta’ dik il-proċedura, inkluż it-tul tagħha. Għall-istess fini, id-debitur jenħtieġ li jibda l-proċedura tal-verifika jew tal-aċċettazzjoni minnufih malli jirċievi l-oġġetti u/jew is-servizzi mingħand il-kreditur li jkunu l-oġġett tat-tranżazzjoni kummerċjali, irrispettivament minn jekk il-kreditur ikunx ħareġ fattura jew talba ekwivalenti għall-ħlas. Biex ma tixxekkilx il-kisba tal-objettivi ta’ dan ir-Regolament, jixraq li jiġi stabbilit tul massimu tal-proċedura tal-aċċettazzjoni jew tal-verifika</w:t>
      </w:r>
      <w:r w:rsidRPr="00935BD4">
        <w:rPr>
          <w:b/>
          <w:i/>
          <w:szCs w:val="24"/>
          <w:lang w:val="it-IT" w:eastAsia="en-US"/>
        </w:rPr>
        <w:t xml:space="preserve"> għall-finijiet tal-istabbiliment tal-perjodu tal-ħlas</w:t>
      </w:r>
      <w:r w:rsidRPr="00935BD4">
        <w:rPr>
          <w:szCs w:val="24"/>
          <w:lang w:val="it-IT" w:eastAsia="en-US"/>
        </w:rPr>
        <w:t>.</w:t>
      </w:r>
      <w:r>
        <w:rPr>
          <w:b/>
          <w:szCs w:val="24"/>
          <w:lang w:val="it-IT" w:eastAsia="en-US"/>
        </w:rPr>
        <w:t xml:space="preserve"> [Em. 7]</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(13)</w:t>
      </w:r>
      <w:r w:rsidRPr="00935BD4">
        <w:rPr>
          <w:szCs w:val="24"/>
          <w:lang w:val="it-IT" w:eastAsia="en-US"/>
        </w:rPr>
        <w:tab/>
        <w:t>Dan ir-Regolament jenħtieġ li jkun mingħajr preġudizzju għal perjodi iqsar li jistgħu jkunu previsti fil-liġi nazzjonali, u li jkunu aktar favorevoli għall-kreditur.</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(14)</w:t>
      </w:r>
      <w:r w:rsidRPr="00935BD4">
        <w:rPr>
          <w:szCs w:val="24"/>
          <w:lang w:val="it-IT" w:eastAsia="en-US"/>
        </w:rPr>
        <w:tab/>
        <w:t xml:space="preserve">L-akkwist pubbliku jista’ jaqdi rwol sinifikanti biex titjieb il-prestazzjoni tal-ħlasijiet. Għaldaqstant jenħtieġ li jiġu stabbiliti sinerġiji aħjar bejn il-politiki u r-regoli tal-akkwist pubbliku u l-objettivi tal-ħlas fil-pront. B’mod partikolari fix-xogħlijiet tal-kostruzzjoni pubbliċi, is-sottokuntratturi ħafna drabi ma jitħallsux fil-ħin mill-kuntrattur ewlieni, anki </w:t>
      </w:r>
      <w:proofErr w:type="gramStart"/>
      <w:r w:rsidRPr="00935BD4">
        <w:rPr>
          <w:szCs w:val="24"/>
          <w:lang w:val="it-IT" w:eastAsia="en-US"/>
        </w:rPr>
        <w:t>meta l</w:t>
      </w:r>
      <w:proofErr w:type="gramEnd"/>
      <w:r w:rsidRPr="00935BD4">
        <w:rPr>
          <w:szCs w:val="24"/>
          <w:lang w:val="it-IT" w:eastAsia="en-US"/>
        </w:rPr>
        <w:t>-awtoritajiet kontraenti jew l-entitajiet kontraenti jkunu għaddewlu l-ħlasijiet kuntrattwali, u dan potenzjalment jikkaġuna effett domino dannuż fuq il-katina tal-provvista. Għalhekk jixraq li l-kuntratturi jipprovdu evidenza lill-awtoritajiet kontraenti u lill-entitajiet kontraenti li għamlu l-ħlasijiet lis-sottokuntratturi diretti tagħhom.</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(15)</w:t>
      </w:r>
      <w:r w:rsidRPr="00935BD4">
        <w:rPr>
          <w:szCs w:val="24"/>
          <w:lang w:val="it-IT" w:eastAsia="en-US"/>
        </w:rPr>
        <w:tab/>
        <w:t>Fl-interess tal-konsistenza mal-leġiżlazzjoni tal-Unjoni, id-definizzjni ta’ “awtoritajiet kontraenti” u ta’ “entitajiet kontraenti” fid-Direttivi 2014/23/UE</w:t>
      </w:r>
      <w:r w:rsidRPr="00935BD4">
        <w:rPr>
          <w:szCs w:val="24"/>
          <w:vertAlign w:val="superscript"/>
          <w:lang w:val="en-GB" w:eastAsia="en-US"/>
        </w:rPr>
        <w:footnoteReference w:id="12"/>
      </w:r>
      <w:r w:rsidRPr="00935BD4">
        <w:rPr>
          <w:szCs w:val="24"/>
          <w:lang w:val="it-IT" w:eastAsia="en-US"/>
        </w:rPr>
        <w:t>, 2014/24/UE</w:t>
      </w:r>
      <w:r w:rsidRPr="00935BD4">
        <w:rPr>
          <w:szCs w:val="24"/>
          <w:vertAlign w:val="superscript"/>
          <w:lang w:val="en-GB" w:eastAsia="en-US"/>
        </w:rPr>
        <w:footnoteReference w:id="13"/>
      </w:r>
      <w:r w:rsidRPr="00935BD4">
        <w:rPr>
          <w:szCs w:val="24"/>
          <w:lang w:val="it-IT" w:eastAsia="en-US"/>
        </w:rPr>
        <w:t>, 2014/25/UE</w:t>
      </w:r>
      <w:r w:rsidRPr="00935BD4">
        <w:rPr>
          <w:szCs w:val="24"/>
          <w:vertAlign w:val="superscript"/>
          <w:lang w:val="en-GB" w:eastAsia="en-US"/>
        </w:rPr>
        <w:footnoteReference w:id="14"/>
      </w:r>
      <w:r w:rsidRPr="00935BD4">
        <w:rPr>
          <w:szCs w:val="24"/>
          <w:lang w:val="it-IT" w:eastAsia="en-US"/>
        </w:rPr>
        <w:t xml:space="preserve"> u 2009/81/KE</w:t>
      </w:r>
      <w:r w:rsidRPr="00935BD4">
        <w:rPr>
          <w:szCs w:val="24"/>
          <w:vertAlign w:val="superscript"/>
          <w:lang w:val="en-GB" w:eastAsia="en-US"/>
        </w:rPr>
        <w:footnoteReference w:id="15"/>
      </w:r>
      <w:r w:rsidRPr="00935BD4">
        <w:rPr>
          <w:szCs w:val="24"/>
          <w:lang w:val="it-IT" w:eastAsia="en-US"/>
        </w:rPr>
        <w:t xml:space="preserve"> tal-Parlament Ewropew u tal-Kunsill jenħtieġ li japplikaw għall-finijiet ta’ dan ir-Regolament.</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(16)</w:t>
      </w:r>
      <w:r w:rsidRPr="00935BD4">
        <w:rPr>
          <w:szCs w:val="24"/>
          <w:lang w:val="it-IT" w:eastAsia="en-US"/>
        </w:rPr>
        <w:tab/>
        <w:t xml:space="preserve">L-imgħax dovut għall-ħlasijiet tard jenħtieġ li jiġi kkalkulat abbażi ta’ kull jum bħala imgħax sempliċi. L-imgħax għall-ħlasijiet tard jikkostitwixxi ammont aċċessorju għall-ammont dovut. Id-debitur għandu mbagħad jitqies li jkun issodisfa l-obbligi tiegħu biss </w:t>
      </w:r>
      <w:proofErr w:type="gramStart"/>
      <w:r w:rsidRPr="00935BD4">
        <w:rPr>
          <w:szCs w:val="24"/>
          <w:lang w:val="it-IT" w:eastAsia="en-US"/>
        </w:rPr>
        <w:t>meta l</w:t>
      </w:r>
      <w:proofErr w:type="gramEnd"/>
      <w:r w:rsidRPr="00935BD4">
        <w:rPr>
          <w:szCs w:val="24"/>
          <w:lang w:val="it-IT" w:eastAsia="en-US"/>
        </w:rPr>
        <w:t>-kreditur jirċievi l-ħlasijiet tal-ammont dovut, inkluż l-imgħax korrispondenti u l-kumpens b’tariffa fissa. L-ammont tal-imgħax għall-ħlasijiet tard jenħtieġ li jibqa’ jakkumula sakemm isir il-ħlas tal-ammont dovut lill-kreditur.</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(17)</w:t>
      </w:r>
      <w:r w:rsidRPr="00935BD4">
        <w:rPr>
          <w:szCs w:val="24"/>
          <w:lang w:val="it-IT" w:eastAsia="en-US"/>
        </w:rPr>
        <w:tab/>
        <w:t>Jenħtieġ li ma jkunx possibbli li l-kreditur jirrinunzja d-dritt tiegħu li jikseb l-imgħaxijiet għall-ħlasijiet tard, għax l-imgħaxijiet għall-ħlasijiet tard għandhom funzjoni doppja: biex jikkumpensaw parti mid-dannu mġarrab mill-kreditur minħabba d-dewmien, u biex jissanzjonaw lid-debitur għall-ksur tal-kuntratt. Biex tiġi ffaċilitata l-wasla tal-imgħax u tal-kumpens f’każ ta’ ħlasijiet tard għand il-kreditur, id-dritt li l-kreditur jiksibhom jenħtieġ li jkun awtomatiku, għajr meta d-debitur ma jkunx responsabbli għad-dewmien fil-ħlas.</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(18)</w:t>
      </w:r>
      <w:r w:rsidRPr="00935BD4">
        <w:rPr>
          <w:szCs w:val="24"/>
          <w:lang w:val="it-IT" w:eastAsia="en-US"/>
        </w:rPr>
        <w:tab/>
        <w:t>Il-kumpens ġust lill-kredituri għall-kostijiet tal-irkupru li jkunu ġarrbu minħabba l-ħlasijiet tard hu meħtieġ ħalli jiġu skoraġġuti l-ħlasijiet tard. Dawn il-kostijiet jenħtieġ li jkunu jinkludu l-irkupru tal-kostijiet amministrattivi u tal-kumpens għall-kostijiet interni mġarrba minħabba l-ħlas tard,</w:t>
      </w:r>
      <w:r w:rsidRPr="00935BD4">
        <w:rPr>
          <w:b/>
          <w:i/>
          <w:szCs w:val="24"/>
          <w:lang w:val="it-IT" w:eastAsia="en-US"/>
        </w:rPr>
        <w:t xml:space="preserve"> jenħtieġ li jiġu adattati għall-valur tal-fattura inkwistjoni</w:t>
      </w:r>
      <w:r w:rsidRPr="00935BD4">
        <w:rPr>
          <w:szCs w:val="24"/>
          <w:lang w:val="it-IT" w:eastAsia="en-US"/>
        </w:rPr>
        <w:t xml:space="preserve"> u jenħtieġ li jiġu akkumulati bl-imgħax għall-ħlasijiet tard għal kull tranżazzjoni kummerċjali li tkun tħallset tard kif iddeterminat mill-Qorti tal-Ġustizzja</w:t>
      </w:r>
      <w:r w:rsidRPr="00935BD4">
        <w:rPr>
          <w:szCs w:val="24"/>
          <w:vertAlign w:val="superscript"/>
          <w:lang w:val="en-GB" w:eastAsia="en-US"/>
        </w:rPr>
        <w:footnoteReference w:id="16"/>
      </w:r>
      <w:r w:rsidRPr="00935BD4">
        <w:rPr>
          <w:szCs w:val="24"/>
          <w:lang w:val="it-IT" w:eastAsia="en-US"/>
        </w:rPr>
        <w:t>. L-ammont minimu fiss tal-kumpens għall-kostijiet tal-irkupru jenħtieġ li jiġi determinat mingħajr preġudizzju għad-dispożizzjonijiet nazzjonali li skonthom qorti nazzjonali tista’ tagħti kumpens lill-kreditur għal xi dannu addizzjonali li jkun ġarrab minħabba l-ħlas tard tad-debitur.</w:t>
      </w:r>
      <w:r>
        <w:rPr>
          <w:b/>
          <w:szCs w:val="24"/>
          <w:lang w:val="it-IT" w:eastAsia="en-US"/>
        </w:rPr>
        <w:t xml:space="preserve"> [Em. 8]</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lastRenderedPageBreak/>
        <w:t>(18a)</w:t>
      </w:r>
      <w:r w:rsidRPr="00935BD4">
        <w:rPr>
          <w:szCs w:val="24"/>
          <w:lang w:val="it-IT" w:eastAsia="en-US"/>
        </w:rPr>
        <w:tab/>
      </w:r>
      <w:r w:rsidRPr="00935BD4">
        <w:rPr>
          <w:b/>
          <w:i/>
          <w:szCs w:val="24"/>
          <w:lang w:val="it-IT" w:eastAsia="en-US"/>
        </w:rPr>
        <w:t>Dan ir-Regolament jirrispetta l-libertà kontrattwali u l-implimentazzjoni tal-Artikolu 16 tal-Karta tad-Drittijiet Fundamentali rigward il-libertà ta’ intrapriża. Għal dan l-għan, dan ir-Regolament iħalli f’idejn il-partijiet kontraenti l-għażla tar-relazzjonijiet kuntrattwali, kif ukoll it-tip ta’ kuntratt u l-modalitajiet tiegħu. L-għażla ta’ tipi differenti ta’ kuntratti, inklużi kuntratti ta’ konsenja, fejn il-fattura tinħareġ f’punt ta’ żmien miftiehem wara l-konsenja tal-merkanzija, mhi ristretta bl-ebda mod. Fil-każ ta’ kuntratti ta’ konsenja jew tipi simili oħra ta’ kuntratti, l-iskadenzi speċifikati f’dan ir-Regolament jenħtieġ li jkunu applikabbli wara li tasal il-fattura. Peress li dan ir-Regolament jenfasizza l-perjodu ta’ ħlas wara l-ħruġ tal-fattura, u b’hekk jikkontribwixxi għat-titjib tal-kultura tal-ħlas b’mod ġenerali, u sempliċement jiżgura li l-ftehimiet dwar il-perjodu ta’ ħlas ma jabbużawx mil-libertà kuntrattwali għad-detriment tal-kreditur, jenħtieġ li jkun possibbli għall-partijiet li jibbenefikaw mil-libertà kuntrattwali u jagħtu l-kunsens għat-tip ta’ ftehim preferut tagħhom;</w:t>
      </w:r>
      <w:r>
        <w:rPr>
          <w:b/>
          <w:szCs w:val="24"/>
          <w:lang w:val="it-IT" w:eastAsia="en-US"/>
        </w:rPr>
        <w:t xml:space="preserve"> [Em.9]</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(19)</w:t>
      </w:r>
      <w:r w:rsidRPr="00935BD4">
        <w:rPr>
          <w:szCs w:val="24"/>
          <w:lang w:val="it-IT" w:eastAsia="en-US"/>
        </w:rPr>
        <w:tab/>
        <w:t>Jenħtieġ li jkun possibbli li jsiru ħlasijiet bin-nifs jew maqsuma. Madankollu, kull ħlas bin-nifs jew ħlas individwali jenħtieġ li jitħallas skont il-kundizzjonijiet miftiehma u jenħtieġ li jkun soġġett għar-regoli dwar il-ħlasijiet tard stipulati f’dan ir-Regolament.</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(20)</w:t>
      </w:r>
      <w:r w:rsidRPr="00935BD4">
        <w:rPr>
          <w:szCs w:val="24"/>
          <w:lang w:val="it-IT" w:eastAsia="en-US"/>
        </w:rPr>
        <w:tab/>
        <w:t>Minbarra li jkunu intitolati għal ammont fiss li jkopri l-kostijiet interni tal-irkupru, il-kredituri jenħtieġ li jkunu intitolati wkoll għal kumpens raġonevoli ta’ kostijiet tal-irkupru oħrajn li jġarrbu minħabba l-ħlasijiet tard mingħand id-debitur. Dawk il-kostijiet jenħtieġ li pereżempju jkunu jinkludu l-kostijiet imġarrba mill-kredituri biex iqabbdu avukat jew aġenzija tal-ġbir tad-djun.</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(21)</w:t>
      </w:r>
      <w:r w:rsidRPr="00935BD4">
        <w:rPr>
          <w:szCs w:val="24"/>
          <w:lang w:val="it-IT" w:eastAsia="en-US"/>
        </w:rPr>
        <w:tab/>
        <w:t xml:space="preserve">L-abbuż tal-libertà kuntrattwali għad-detriment tal-kreditur jenħtieġ li jkun evitat. Minħabba f’hekk, meta klawżola f’kuntratt jew prattika, li tkun relatata mad-data jew mal-perjodu tal-ħlas, il-ħlas jew ir-rata tal-imgħax għall-ħlasijiet tard, jew il-kumpens għall-kostijiet tal-irkupru, li </w:t>
      </w:r>
      <w:r w:rsidRPr="00935BD4">
        <w:rPr>
          <w:strike/>
          <w:szCs w:val="24"/>
          <w:lang w:val="it-IT" w:eastAsia="en-US"/>
        </w:rPr>
        <w:t xml:space="preserve">tkun </w:t>
      </w:r>
      <w:r w:rsidRPr="00935BD4">
        <w:rPr>
          <w:szCs w:val="24"/>
          <w:lang w:val="it-IT" w:eastAsia="en-US"/>
        </w:rPr>
        <w:t xml:space="preserve">testendi t-tul tal-proċedura tal-verifika jew tal-aċċettazzjoni jew li </w:t>
      </w:r>
      <w:r w:rsidRPr="00935BD4">
        <w:rPr>
          <w:strike/>
          <w:szCs w:val="24"/>
          <w:lang w:val="it-IT" w:eastAsia="en-US"/>
        </w:rPr>
        <w:t>tkun iddewwem jew tevita intenzjonalment il-mument</w:t>
      </w:r>
      <w:r w:rsidRPr="00935BD4">
        <w:rPr>
          <w:b/>
          <w:i/>
          <w:szCs w:val="24"/>
          <w:lang w:val="it-IT" w:eastAsia="en-US"/>
        </w:rPr>
        <w:t>tipprevjeni l-mument</w:t>
      </w:r>
      <w:r w:rsidRPr="00935BD4">
        <w:rPr>
          <w:szCs w:val="24"/>
          <w:lang w:val="it-IT" w:eastAsia="en-US"/>
        </w:rPr>
        <w:t xml:space="preserve"> meta tintbagħat il-fattura, ma tkunx konformi ma’ dan ir-Regolament, u għalhekk jenħtieġ li tkun nulla u bla effett</w:t>
      </w:r>
      <w:r w:rsidRPr="00935BD4">
        <w:rPr>
          <w:b/>
          <w:i/>
          <w:szCs w:val="24"/>
          <w:lang w:val="it-IT" w:eastAsia="en-US"/>
        </w:rPr>
        <w:t xml:space="preserve"> u fi kwalunkwe każ ipprojbita</w:t>
      </w:r>
      <w:r w:rsidRPr="00935BD4">
        <w:rPr>
          <w:szCs w:val="24"/>
          <w:lang w:val="it-IT" w:eastAsia="en-US"/>
        </w:rPr>
        <w:t>.</w:t>
      </w:r>
      <w:r w:rsidRPr="00935BD4">
        <w:rPr>
          <w:b/>
          <w:i/>
          <w:szCs w:val="24"/>
          <w:lang w:val="it-IT" w:eastAsia="en-US"/>
        </w:rPr>
        <w:t xml:space="preserve"> Bl-istess mod, ċerti prattiki li jwasslu għal abbuż tal-libertà kuntrattwali li jkun ta’ żvantaġġ għall-kreditur jenħtieġ li jiġu pprojbiti wkoll. Jenħtieġ li d-debitur ma jkunx jista’ jipprevjeni jew jirrestrinġi ċ-ċessjonijiet ta’ krediti lil partijiet terzi, jew l-użu mill-kreditur ta’ ordni eżekuttiva maħruġa minn qorti.</w:t>
      </w:r>
      <w:r>
        <w:rPr>
          <w:b/>
          <w:szCs w:val="24"/>
          <w:lang w:val="it-IT" w:eastAsia="en-US"/>
        </w:rPr>
        <w:t xml:space="preserve"> [Em. 10]</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(22)</w:t>
      </w:r>
      <w:r w:rsidRPr="00935BD4">
        <w:rPr>
          <w:szCs w:val="24"/>
          <w:lang w:val="it-IT" w:eastAsia="en-US"/>
        </w:rPr>
        <w:tab/>
        <w:t>Biex jissaħħu l-isforzi għall-prevenzjoni tal-abbuż tal-libertà kuntrattwali għad-detriment tal-kredituri, l-organizzazzjonijiet rikonoxxuti uffiċjalment biex jirrappreżentaw lill-kredituri jew l-organizzazzjonijiet b’interess leġittimu fir-rappreżentanza ta’ intrapriżi jenħtieġ li jkunu jistgħu jieħdu azzjoni quddiem il-qrati nazzjonali jew il-korpi amministrattivi biex jevitaw il-ħlasijiet tard</w:t>
      </w:r>
      <w:r w:rsidRPr="00935BD4">
        <w:rPr>
          <w:b/>
          <w:i/>
          <w:szCs w:val="24"/>
          <w:lang w:val="it-IT" w:eastAsia="en-US"/>
        </w:rPr>
        <w:t xml:space="preserve"> u jtemmu termini u prattiki kuntrattwali nulli u bla effett</w:t>
      </w:r>
      <w:r w:rsidRPr="00935BD4">
        <w:rPr>
          <w:szCs w:val="24"/>
          <w:lang w:val="it-IT" w:eastAsia="en-US"/>
        </w:rPr>
        <w:t>.</w:t>
      </w:r>
      <w:r>
        <w:rPr>
          <w:b/>
          <w:szCs w:val="24"/>
          <w:lang w:val="it-IT" w:eastAsia="en-US"/>
        </w:rPr>
        <w:t xml:space="preserve"> [Em. 11]</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(23)</w:t>
      </w:r>
      <w:r w:rsidRPr="00935BD4">
        <w:rPr>
          <w:szCs w:val="24"/>
          <w:lang w:val="it-IT" w:eastAsia="en-US"/>
        </w:rPr>
        <w:tab/>
        <w:t>Biex jiżguraw il-ħlas sħiħ tal-ammont dovut, hu importanti li jkun żgurat li l-bejjiegħ iżomm id-dritt għat-titolu tal-oġġetti sakemm ikunu tħallsu kollha kemm huma, jekk qabel il-forniment tal-oġġetti, ix-xerrej u l-bejjiegħ kienu ftiehmu espliċitament fuq klawżola ta’ żamma tat-titolu.</w:t>
      </w:r>
      <w:r w:rsidRPr="00935BD4">
        <w:rPr>
          <w:b/>
          <w:i/>
          <w:szCs w:val="24"/>
          <w:lang w:val="it-IT" w:eastAsia="en-US"/>
        </w:rPr>
        <w:t xml:space="preserve"> Sabiex jitqiesu l-ispeċifiċitajiet ta’ ċerti oġġetti kkaratterizzati mir-rotazzjoni bil-mod tagħhom, ir-ritenzjoni tat-titolu tista’ tintuża wkoll mill-bejjiegħa biex jipprovdu kreditu estiż lix-xerrejja tagħhom b’mod li jibqa’ konsistenti ma’ dan ir-Regolament, bħal pereżempju fil-bejgħ ta’ konsenji.</w:t>
      </w:r>
      <w:r>
        <w:rPr>
          <w:b/>
          <w:szCs w:val="24"/>
          <w:lang w:val="it-IT" w:eastAsia="en-US"/>
        </w:rPr>
        <w:t xml:space="preserve"> [Em. 12]</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(24)</w:t>
      </w:r>
      <w:r w:rsidRPr="00935BD4">
        <w:rPr>
          <w:szCs w:val="24"/>
          <w:lang w:val="it-IT" w:eastAsia="en-US"/>
        </w:rPr>
        <w:tab/>
        <w:t>Biex tkun żgurata l-applikazzjoni korretta ta’ dan ir-Regolament, huwa importanti li tingħata t-trasparenza rigward id-drittijiet u l-obbligi kif stabbiliti f’dan ir-Regolament. Biex ikun żgurat li jiġu applikati r-rati korretti tal-imgħax, huwa importanti li dawn jiġu ppubblikati mill-Istati Membri u mill-Kummissjoni.</w:t>
      </w:r>
      <w:r w:rsidRPr="00935BD4">
        <w:rPr>
          <w:b/>
          <w:i/>
          <w:szCs w:val="24"/>
          <w:lang w:val="it-IT" w:eastAsia="en-US"/>
        </w:rPr>
        <w:t xml:space="preserve"> Sabiex jikkontribwixxu għall-ilħuq tal-objettiv ta’ dan ir-Regolament, jenħtieġ li l-Istati Membri jżidu l-għarfien dwar ir-rimedji għall-ħlasijiet tard fost l-intrapriżi permezz ta’ pubblikazzjonijiet u kampanji u jenħtieġ li jrawmu t-tixrid ta’ prattiki tajbin.</w:t>
      </w:r>
      <w:r>
        <w:rPr>
          <w:b/>
          <w:szCs w:val="24"/>
          <w:lang w:val="it-IT" w:eastAsia="en-US"/>
        </w:rPr>
        <w:t xml:space="preserve"> [Em. 13]</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(25)</w:t>
      </w:r>
      <w:r w:rsidRPr="00935BD4">
        <w:rPr>
          <w:szCs w:val="24"/>
          <w:lang w:val="it-IT" w:eastAsia="en-US"/>
        </w:rPr>
        <w:tab/>
        <w:t xml:space="preserve">Is-sanzjonijiet tal-ħlasijiet tard jistgħu jkunu dissważivi biss jekk ikunu akkumpanjati minn proċeduri ta’ rimedju </w:t>
      </w:r>
      <w:r w:rsidRPr="00935BD4">
        <w:rPr>
          <w:strike/>
          <w:szCs w:val="24"/>
          <w:lang w:val="it-IT" w:eastAsia="en-US"/>
        </w:rPr>
        <w:t>malajr</w:t>
      </w:r>
      <w:r w:rsidRPr="00935BD4">
        <w:rPr>
          <w:b/>
          <w:i/>
          <w:szCs w:val="24"/>
          <w:lang w:val="it-IT" w:eastAsia="en-US"/>
        </w:rPr>
        <w:t>li jkunu rapidi</w:t>
      </w:r>
      <w:r w:rsidRPr="00935BD4">
        <w:rPr>
          <w:szCs w:val="24"/>
          <w:lang w:val="it-IT" w:eastAsia="en-US"/>
        </w:rPr>
        <w:t xml:space="preserve"> u effettivi għall-kreditur. Għalhekk għall-kredituri kollha stabbiliti fl-Unjoni jenħtieġ li jkun hemm disponibbli proċeduri ta’ rkupru </w:t>
      </w:r>
      <w:r w:rsidRPr="00935BD4">
        <w:rPr>
          <w:strike/>
          <w:szCs w:val="24"/>
          <w:lang w:val="it-IT" w:eastAsia="en-US"/>
        </w:rPr>
        <w:t>malajr</w:t>
      </w:r>
      <w:r w:rsidRPr="00935BD4">
        <w:rPr>
          <w:b/>
          <w:i/>
          <w:szCs w:val="24"/>
          <w:lang w:val="it-IT" w:eastAsia="en-US"/>
        </w:rPr>
        <w:t>rapidi</w:t>
      </w:r>
      <w:r w:rsidRPr="00935BD4">
        <w:rPr>
          <w:szCs w:val="24"/>
          <w:lang w:val="it-IT" w:eastAsia="en-US"/>
        </w:rPr>
        <w:t xml:space="preserve"> għat-talbiet mhux ikkontestati</w:t>
      </w:r>
      <w:r w:rsidRPr="00935BD4">
        <w:rPr>
          <w:b/>
          <w:i/>
          <w:szCs w:val="24"/>
          <w:lang w:val="it-IT" w:eastAsia="en-US"/>
        </w:rPr>
        <w:t>, f’konformità mal-prinċipju tan-nondiskriminazzjoni stabbilit fl-Artikolu 18 tat-Trattat dwar il-Funzjonament tal-Unjoni Ewropea (“TFUE”)</w:t>
      </w:r>
      <w:r w:rsidRPr="00935BD4">
        <w:rPr>
          <w:szCs w:val="24"/>
          <w:lang w:val="it-IT" w:eastAsia="en-US"/>
        </w:rPr>
        <w:t>.</w:t>
      </w:r>
      <w:r>
        <w:rPr>
          <w:b/>
          <w:szCs w:val="24"/>
          <w:lang w:val="it-IT" w:eastAsia="en-US"/>
        </w:rPr>
        <w:t xml:space="preserve"> [Em. 14]</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(26)</w:t>
      </w:r>
      <w:r w:rsidRPr="00935BD4">
        <w:rPr>
          <w:szCs w:val="24"/>
          <w:lang w:val="it-IT" w:eastAsia="en-US"/>
        </w:rPr>
        <w:tab/>
        <w:t>Biex tiġi ffaċilitata u żgurata l-konformità ma’ dan ir-Regolament, l-Istati Membri jenħtieġ li jiddeżinjaw awtoritajiet</w:t>
      </w:r>
      <w:r w:rsidRPr="00935BD4">
        <w:rPr>
          <w:b/>
          <w:i/>
          <w:szCs w:val="24"/>
          <w:lang w:val="it-IT" w:eastAsia="en-US"/>
        </w:rPr>
        <w:t xml:space="preserve"> indipendenti</w:t>
      </w:r>
      <w:r w:rsidRPr="00935BD4">
        <w:rPr>
          <w:szCs w:val="24"/>
          <w:lang w:val="it-IT" w:eastAsia="en-US"/>
        </w:rPr>
        <w:t xml:space="preserve"> responsabbli għall-infurzar tiegħu, li jaqdu dmirhom u xogħolhom b’mod oġġettiv u ġust, u jiżguraw it-trattament indaqs tal-impriżi privati u l-awtoritajiet pubbliċi. Dawk l-awtoritajiet tal-infurzar jenħtieġ li jwettqu investigazzjonijiet b’inizjattiva tagħhom stess, jaġixxu fuq l-ilmenti, </w:t>
      </w:r>
      <w:r w:rsidRPr="00935BD4">
        <w:rPr>
          <w:b/>
          <w:i/>
          <w:szCs w:val="24"/>
          <w:lang w:val="it-IT" w:eastAsia="en-US"/>
        </w:rPr>
        <w:t xml:space="preserve">inklużi lmenti u notifiki anonimi, </w:t>
      </w:r>
      <w:r w:rsidRPr="00935BD4">
        <w:rPr>
          <w:szCs w:val="24"/>
          <w:lang w:val="it-IT" w:eastAsia="en-US"/>
        </w:rPr>
        <w:t xml:space="preserve">u jingħataw is-setgħa fost l-oħrajn li jimponu sanzjonijiet u jippubblikaw id-deċiżjonijiet tagħhom b’mod regolari. Barra minn hekk, għal infurzar aktar effettiv, l-Istati Membri jenħtieġ li jużaw l-għodod diġitali </w:t>
      </w:r>
      <w:r w:rsidRPr="00935BD4">
        <w:rPr>
          <w:strike/>
          <w:szCs w:val="24"/>
          <w:lang w:val="it-IT" w:eastAsia="en-US"/>
        </w:rPr>
        <w:t>sa fejn ikun possibbli</w:t>
      </w:r>
      <w:r w:rsidRPr="00935BD4">
        <w:rPr>
          <w:b/>
          <w:i/>
          <w:szCs w:val="24"/>
          <w:lang w:val="it-IT" w:eastAsia="en-US"/>
        </w:rPr>
        <w:t>sabiex jiffaċilitaw dan il-proċess</w:t>
      </w:r>
      <w:r w:rsidRPr="00935BD4">
        <w:rPr>
          <w:szCs w:val="24"/>
          <w:lang w:val="it-IT" w:eastAsia="en-US"/>
        </w:rPr>
        <w:t>.</w:t>
      </w:r>
      <w:r w:rsidRPr="00935BD4">
        <w:rPr>
          <w:b/>
          <w:i/>
          <w:szCs w:val="24"/>
          <w:lang w:val="it-IT" w:eastAsia="en-US"/>
        </w:rPr>
        <w:t xml:space="preserve"> Jenħtieġ li l-Kummissjoni tivvaluta kif l-awtoritajiet tal-infurzar iwettqu l-kompiti mogħtija lilhom b’dan ir-Regolament.</w:t>
      </w:r>
      <w:r>
        <w:rPr>
          <w:b/>
          <w:szCs w:val="24"/>
          <w:lang w:val="it-IT" w:eastAsia="en-US"/>
        </w:rPr>
        <w:t xml:space="preserve"> [Em. 15]</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(27)</w:t>
      </w:r>
      <w:r w:rsidRPr="00935BD4">
        <w:rPr>
          <w:szCs w:val="24"/>
          <w:lang w:val="it-IT" w:eastAsia="en-US"/>
        </w:rPr>
        <w:tab/>
        <w:t>Biex ikunu żgurati mezzi ta’ rimedju faċli u aċċessibbli, l-Istati Membri jenħtieġ li jippromwovu l-użu volontarju ta’ mekkaniżmu alternattiv effettiv u indipendenti għar-riżoluzzjoni tat-tilwim biex isolvu t-tilwim dwar il-ħlasijiet fit-tranżazzjonijiet kummerċjali.</w:t>
      </w:r>
      <w:r w:rsidRPr="00935BD4">
        <w:rPr>
          <w:b/>
          <w:i/>
          <w:szCs w:val="24"/>
          <w:lang w:val="it-IT" w:eastAsia="en-US"/>
        </w:rPr>
        <w:t xml:space="preserve"> L-Istati Membri jistgħu jiddeżinjaw il-kmamar tal-kummerċ u l-industrija rispettivi tagħhom bħala korpi responsabbli għas-soluzzjoni alternattiva tat-tilwim, dment li jkunu jistgħu juru imparzjalità u indipendenza mill-partijiet. Filwaqt li l-partijiet jinvolvu ruħhom f’negozjati biex jilħqu riżoluzzjoni bonarja rigward id-dejn ikkontestat, tali riżoluzzjonijiet jistgħu jinvolvu l-aġġustament ta’ talbiet ta’ imgħax u ta’ kumpens, dment li dawn ikunu konformi mal-prinċipji ta’ ekwità u ma jkunux ta’ żvantaġġ żejjed għall-kreditur.</w:t>
      </w:r>
      <w:r>
        <w:rPr>
          <w:b/>
          <w:szCs w:val="24"/>
          <w:lang w:val="it-IT" w:eastAsia="en-US"/>
        </w:rPr>
        <w:t xml:space="preserve"> [Em. 16]</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lastRenderedPageBreak/>
        <w:t>(27a)</w:t>
      </w:r>
      <w:r w:rsidRPr="00935BD4">
        <w:rPr>
          <w:szCs w:val="24"/>
          <w:lang w:val="it-IT" w:eastAsia="en-US"/>
        </w:rPr>
        <w:tab/>
      </w:r>
      <w:r w:rsidRPr="00935BD4">
        <w:rPr>
          <w:b/>
          <w:i/>
          <w:szCs w:val="24"/>
          <w:lang w:val="it-IT" w:eastAsia="en-US"/>
        </w:rPr>
        <w:t>Fid-dawl tal-ħtieġa li jissaħħu t-trasparenza u l-obbligu ta’ rendikont fit-tranżazzjonijiet kummerċjali, u f’konformità mal-objettivi tal-promozzjoni ta’ ġestjoni finanzjarja responsabbli u prattiki kummerċjali ġusti, huwa imperattiv li jiġu introdotti obbligi speċifiċi ta’ rappurtar għall-awtoritajiet kontraenti kif deskritt fl-Artikolu 2(1) tad-Direttiva 2014/24/UE. L-awtoritajiet kontraenti għandhom jirrapportaw kull sena dwar il-prattiki ta’ ħlas tagħhom, filwaqt li jipprovdu għarfien dettaljat dwar il-prontezza tal-ħlasijiet tagħhom. Approċċ strutturat għar-rappurtar huwa neċessarju biex titrawwem trasparenza akbar fil-prattiki ta’ ħlas u biex jgħin fl-identifikazzjoni ta’ oqsma fejn huwa meħtieġ titjib. L-obbligu ta’ rappurtar jenħtieġ li jinkludi d-divulgazzjoni tal-ammonti, f’euro, imħallsa f’diversi perjodi ta’ żmien wara l-iskadenza tal-ħlas stabbilita f’dan ir-Regolament. Ir-rappurtar dettaljat jenħtieġ li jinkludi l-kategorizzazzjoni tal-ħlasijiet magħmula f’intervalli ta’ 1 u 30 jum, 31 sa 60 jum, 61 sa 90 jum, u ’l fuq minn 90 jum wara l-iskadenza stipulata għall-ħlas, u ż-żmien medju meħud biex titħallas fattura jenħtieġ li jkun parti mir-rapport. Sabiex jiġi żgurat li l-informazzjoni ma tintużax biss għall-konformità regolatorja iżda sservi wkoll bħala għodda għall-iskrutinju pubbliku u tinkoraġġixxi l-aħjar prattiki fid-dixxiplini tal-ħlas, ir-rapporti jenħtieġ li jsiru aċċessibbli għall-pubbliku u jenħtieġ li jiġu sottomessi f’format elettroniku lill-awtorità tal-infurzar rilevanti tal-Istat Membru.</w:t>
      </w:r>
      <w:r>
        <w:rPr>
          <w:b/>
          <w:szCs w:val="24"/>
          <w:lang w:val="it-IT" w:eastAsia="en-US"/>
        </w:rPr>
        <w:t xml:space="preserve"> [Em. 17]</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(28)</w:t>
      </w:r>
      <w:r w:rsidRPr="00935BD4">
        <w:rPr>
          <w:szCs w:val="24"/>
          <w:lang w:val="it-IT" w:eastAsia="en-US"/>
        </w:rPr>
        <w:tab/>
        <w:t>Il-fatturi jiskattaw it-talbiet għall-ħlas u huma dokumenti importanti fil-katina tat-tranżazzjonijiet tal-provvista tal-oġġetti u tas-servizzi, fost l-oħrajn, biex jiġu stabbiliti l-iskadenzi għall-ħlasijiet. Huwa importanti li jiġu promossi sistemi li jagħtu ċ-ċertezza legali rigward id-data eżatta tal-wasla tal-fatturi mid-debituri, inkluż fil-qasam tal-fatturazzjoni elettronika meta l-wasla tal-fatturi tista’ tiġġenera evidenza elettronika</w:t>
      </w:r>
      <w:r w:rsidRPr="00935BD4">
        <w:rPr>
          <w:b/>
          <w:i/>
          <w:szCs w:val="24"/>
          <w:lang w:val="it-IT" w:eastAsia="en-US"/>
        </w:rPr>
        <w:t xml:space="preserve"> u tista’ tgħin ukoll biex tittejjeb il-konformità mal-obbligi tal-VAT</w:t>
      </w:r>
      <w:r w:rsidRPr="00935BD4">
        <w:rPr>
          <w:szCs w:val="24"/>
          <w:lang w:val="it-IT" w:eastAsia="en-US"/>
        </w:rPr>
        <w:t>, u li hi regolata parzjalment mid-dispożizzjonijiet dwar il-fatturazzjoni li hemm fid-Direttiva tal-Kunsill 2006/112/KE</w:t>
      </w:r>
      <w:r w:rsidRPr="00935BD4">
        <w:rPr>
          <w:szCs w:val="24"/>
          <w:vertAlign w:val="superscript"/>
          <w:lang w:val="en-GB" w:eastAsia="en-US"/>
        </w:rPr>
        <w:footnoteReference w:id="17"/>
      </w:r>
      <w:r w:rsidRPr="00935BD4">
        <w:rPr>
          <w:szCs w:val="24"/>
          <w:lang w:val="it-IT" w:eastAsia="en-US"/>
        </w:rPr>
        <w:t xml:space="preserve"> u fid-Direttiva 2014/55/KE</w:t>
      </w:r>
      <w:r w:rsidRPr="00935BD4">
        <w:rPr>
          <w:szCs w:val="24"/>
          <w:vertAlign w:val="superscript"/>
          <w:lang w:val="en-GB" w:eastAsia="en-US"/>
        </w:rPr>
        <w:footnoteReference w:id="18"/>
      </w:r>
      <w:r w:rsidRPr="00935BD4">
        <w:rPr>
          <w:szCs w:val="24"/>
          <w:lang w:val="it-IT" w:eastAsia="en-US"/>
        </w:rPr>
        <w:t xml:space="preserve"> tal-Parlament Ewropew u tal-Kunsill.</w:t>
      </w:r>
      <w:r>
        <w:rPr>
          <w:b/>
          <w:szCs w:val="24"/>
          <w:lang w:val="it-IT" w:eastAsia="en-US"/>
        </w:rPr>
        <w:t xml:space="preserve"> [Em. 18]</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(28a)</w:t>
      </w:r>
      <w:r w:rsidRPr="00935BD4">
        <w:rPr>
          <w:szCs w:val="24"/>
          <w:lang w:val="it-IT" w:eastAsia="en-US"/>
        </w:rPr>
        <w:tab/>
      </w:r>
      <w:r w:rsidRPr="00935BD4">
        <w:rPr>
          <w:b/>
          <w:i/>
          <w:szCs w:val="24"/>
          <w:lang w:val="it-IT" w:eastAsia="en-US"/>
        </w:rPr>
        <w:t>L-introduzzjoni gradwali tal-fatturazzjoni elettronika obbligatorja tista’ tnaqqas iż-żmien tal-ħlasijiet, iżżid il-kontroll tal-ħlasijiet u tinkoraġġixxi t-tranżizzjoni diġitali tal-SMEs. L-awtoritajiet nazzjonali jenħtieġ li jappoġġaw lill-SMEs billi jiżguraw infrastruttura u appoġġ adegwati.</w:t>
      </w:r>
      <w:r>
        <w:rPr>
          <w:b/>
          <w:szCs w:val="24"/>
          <w:lang w:val="it-IT" w:eastAsia="en-US"/>
        </w:rPr>
        <w:t xml:space="preserve"> [Em. 19]</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(29)</w:t>
      </w:r>
      <w:r w:rsidRPr="00935BD4">
        <w:rPr>
          <w:szCs w:val="24"/>
          <w:lang w:val="it-IT" w:eastAsia="en-US"/>
        </w:rPr>
        <w:tab/>
        <w:t>L-aċċess effettiv tal-intrapriżi, speċjalment</w:t>
      </w:r>
      <w:r w:rsidRPr="00935BD4">
        <w:rPr>
          <w:b/>
          <w:i/>
          <w:szCs w:val="24"/>
          <w:lang w:val="it-IT" w:eastAsia="en-US"/>
        </w:rPr>
        <w:t xml:space="preserve"> tal-mikrointrapriżi u</w:t>
      </w:r>
      <w:r w:rsidRPr="00935BD4">
        <w:rPr>
          <w:szCs w:val="24"/>
          <w:lang w:val="it-IT" w:eastAsia="en-US"/>
        </w:rPr>
        <w:t xml:space="preserve"> tal-SMEs, għat-taħriġ fil-ġestjoni tal-kreditu</w:t>
      </w:r>
      <w:r w:rsidRPr="00935BD4">
        <w:rPr>
          <w:b/>
          <w:i/>
          <w:szCs w:val="24"/>
          <w:lang w:val="it-IT" w:eastAsia="en-US"/>
        </w:rPr>
        <w:t>, inklużi s-servizzi finanzjarji,</w:t>
      </w:r>
      <w:r w:rsidRPr="00935BD4">
        <w:rPr>
          <w:szCs w:val="24"/>
          <w:lang w:val="it-IT" w:eastAsia="en-US"/>
        </w:rPr>
        <w:t xml:space="preserve"> u fil-litteriżmu finanzjarju jista’ jħalli impatt importanti biex jonqos id-dewmien tal-ħlasijiet, jinżammu flussi tal-flus ottimali, jonqos ir-riskju ta’ inadempjenza u jiżdied il-potenzjal tat-tkabbir. Madankollu, </w:t>
      </w:r>
      <w:r w:rsidRPr="00935BD4">
        <w:rPr>
          <w:b/>
          <w:i/>
          <w:szCs w:val="24"/>
          <w:lang w:val="it-IT" w:eastAsia="en-US"/>
        </w:rPr>
        <w:t xml:space="preserve">il-mikrointrapriżi u </w:t>
      </w:r>
      <w:r w:rsidRPr="00935BD4">
        <w:rPr>
          <w:szCs w:val="24"/>
          <w:lang w:val="it-IT" w:eastAsia="en-US"/>
        </w:rPr>
        <w:t xml:space="preserve">l-SMEs ħafna drabi ma jkollhomx il-kapaċità biex jinvestu f’taħriġ bħal dan, filwaqt li d-disponibbiltà attwali ta’ taħriġ u materjal tat-taħriġ li jiffokaw fuq it-tisħiħ tal-għarfien </w:t>
      </w:r>
      <w:r w:rsidRPr="00935BD4">
        <w:rPr>
          <w:b/>
          <w:i/>
          <w:szCs w:val="24"/>
          <w:lang w:val="it-IT" w:eastAsia="en-US"/>
        </w:rPr>
        <w:t xml:space="preserve">tal-mikrointrapriżi u </w:t>
      </w:r>
      <w:r w:rsidRPr="00935BD4">
        <w:rPr>
          <w:szCs w:val="24"/>
          <w:lang w:val="it-IT" w:eastAsia="en-US"/>
        </w:rPr>
        <w:t xml:space="preserve">tal-SMEs fil-ġestjoni tal-kreditu u tal-fatturi hija limitata ħafna. Għalhekk jixraq </w:t>
      </w:r>
      <w:r w:rsidRPr="00935BD4">
        <w:rPr>
          <w:b/>
          <w:i/>
          <w:szCs w:val="24"/>
          <w:lang w:val="it-IT" w:eastAsia="en-US"/>
        </w:rPr>
        <w:t xml:space="preserve">li </w:t>
      </w:r>
      <w:r w:rsidRPr="00935BD4">
        <w:rPr>
          <w:szCs w:val="24"/>
          <w:lang w:val="it-IT" w:eastAsia="en-US"/>
        </w:rPr>
        <w:t xml:space="preserve">jiġi previst li l-Istati Membri </w:t>
      </w:r>
      <w:r w:rsidRPr="00935BD4">
        <w:rPr>
          <w:strike/>
          <w:szCs w:val="24"/>
          <w:lang w:val="it-IT" w:eastAsia="en-US"/>
        </w:rPr>
        <w:t xml:space="preserve">jeħtieġ </w:t>
      </w:r>
      <w:r w:rsidRPr="00935BD4">
        <w:rPr>
          <w:szCs w:val="24"/>
          <w:lang w:val="it-IT" w:eastAsia="en-US"/>
        </w:rPr>
        <w:t xml:space="preserve">jiżguraw li </w:t>
      </w:r>
      <w:r w:rsidRPr="00935BD4">
        <w:rPr>
          <w:strike/>
          <w:szCs w:val="24"/>
          <w:lang w:val="it-IT" w:eastAsia="en-US"/>
        </w:rPr>
        <w:t>t-taħriġ fil-ġestjoni</w:t>
      </w:r>
      <w:r w:rsidRPr="00935BD4">
        <w:rPr>
          <w:b/>
          <w:i/>
          <w:szCs w:val="24"/>
          <w:lang w:val="it-IT" w:eastAsia="en-US"/>
        </w:rPr>
        <w:t>l-ġestjoni tal-fatturi, l-għodod tal-ġestjoni</w:t>
      </w:r>
      <w:r w:rsidRPr="00935BD4">
        <w:rPr>
          <w:szCs w:val="24"/>
          <w:lang w:val="it-IT" w:eastAsia="en-US"/>
        </w:rPr>
        <w:t xml:space="preserve"> tal-kreditu</w:t>
      </w:r>
      <w:r w:rsidRPr="00935BD4">
        <w:rPr>
          <w:b/>
          <w:i/>
          <w:szCs w:val="24"/>
          <w:lang w:val="it-IT" w:eastAsia="en-US"/>
        </w:rPr>
        <w:t>, inkluż it-taħriġ fil-fatturament</w:t>
      </w:r>
      <w:r w:rsidRPr="00935BD4">
        <w:rPr>
          <w:szCs w:val="24"/>
          <w:lang w:val="it-IT" w:eastAsia="en-US"/>
        </w:rPr>
        <w:t xml:space="preserve"> u fil-litteriżmu finanzjarju jkun disponibbli u aċċessibbli</w:t>
      </w:r>
      <w:r w:rsidRPr="00935BD4">
        <w:rPr>
          <w:b/>
          <w:i/>
          <w:szCs w:val="24"/>
          <w:lang w:val="it-IT" w:eastAsia="en-US"/>
        </w:rPr>
        <w:t xml:space="preserve"> għall-mikrointrapriżi u</w:t>
      </w:r>
      <w:r w:rsidRPr="00935BD4">
        <w:rPr>
          <w:szCs w:val="24"/>
          <w:lang w:val="it-IT" w:eastAsia="en-US"/>
        </w:rPr>
        <w:t xml:space="preserve"> għall-SMEs, inkluż it-taħriġ fl-użu tal-għodod diġitali għal ħlas fil-ħin</w:t>
      </w:r>
      <w:r w:rsidRPr="00935BD4">
        <w:rPr>
          <w:b/>
          <w:i/>
          <w:szCs w:val="24"/>
          <w:lang w:val="it-IT" w:eastAsia="en-US"/>
        </w:rPr>
        <w:t xml:space="preserve"> u s-servizzi finanzjarji</w:t>
      </w:r>
      <w:r w:rsidRPr="00935BD4">
        <w:rPr>
          <w:szCs w:val="24"/>
          <w:lang w:val="it-IT" w:eastAsia="en-US"/>
        </w:rPr>
        <w:t>.</w:t>
      </w:r>
      <w:r>
        <w:rPr>
          <w:b/>
          <w:szCs w:val="24"/>
          <w:lang w:val="it-IT" w:eastAsia="en-US"/>
        </w:rPr>
        <w:t xml:space="preserve"> [Em. 20]</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lastRenderedPageBreak/>
        <w:t>(29a)</w:t>
      </w:r>
      <w:r w:rsidRPr="00935BD4">
        <w:rPr>
          <w:szCs w:val="24"/>
          <w:lang w:val="it-IT" w:eastAsia="en-US"/>
        </w:rPr>
        <w:tab/>
      </w:r>
      <w:r w:rsidRPr="00935BD4">
        <w:rPr>
          <w:b/>
          <w:i/>
          <w:szCs w:val="24"/>
          <w:lang w:val="it-IT" w:eastAsia="en-US"/>
        </w:rPr>
        <w:t xml:space="preserve">Filwaqt li tirrikonoxxi l-impatt kritiku tal-prattiki ta’ ħlas tard fuq l-ambjent ekonomiku tal-Unjoni Ewropea u sabiex ittejjeb it-trasparenza, il-konformità u l-aħjar prattiki, jenħtieġ li l-Kummissjoni tistabbilixxi l-Osservatorju Ewropew tal-Ħlasijiet Tard (“l-Osservatorju”). L-Osservatorju jenħtieġ li jkun element ewlieni fil-monitoraġġ, l-analiżi u l-kondiviżjoni tal-għarfien dwar l-imġiba tal-ħlas madwar l-Unjoni b’funzjoni primarja li jimmonitorja kemm il-prattiki ta’ ħlas f’waqthom kif ukoll dawk ittardjati, jiġbor u jxerred l-għarfien espert, jidentifika l-aħjar prattiki u potenzjalment dannużi, u jevalwa l-effettività tal-awtoritajiet tal-infurzar fir-rwoli regolatorji tagħhom. L-enfasi tal-Osservatorju għandha tkun li jipprovdi lill-Kummissjoni b’pariri u għarfien espert kontinwi kruċjali għall-fehim </w:t>
      </w:r>
      <w:proofErr w:type="gramStart"/>
      <w:r w:rsidRPr="00935BD4">
        <w:rPr>
          <w:b/>
          <w:i/>
          <w:szCs w:val="24"/>
          <w:lang w:val="it-IT" w:eastAsia="en-US"/>
        </w:rPr>
        <w:t>u t</w:t>
      </w:r>
      <w:proofErr w:type="gramEnd"/>
      <w:r w:rsidRPr="00935BD4">
        <w:rPr>
          <w:b/>
          <w:i/>
          <w:szCs w:val="24"/>
          <w:lang w:val="it-IT" w:eastAsia="en-US"/>
        </w:rPr>
        <w:t>-tiswir tal-evoluzzjoni tal-prattiki ta’ ħlas u tal-ħlasijiet tard fl-Unjoni. Sabiex jiġu ffaċilitati l-monitoraġġ komprensiv u l-funzjonament effettiv, l-Istati Membri għandhom jikkomunikaw informazzjoni essenzjali lill-Osservatorju, inklużi listi ta’ prodotti u servizzi soġġetti għal proċeduri ta’ ħlas speċifiċi, data aggregata minn artikoli rilevanti, u dettalji dwar azzjonijiet u eżiti ta’ infurzar. L-Osservatorju, ippresedut mill-Kummissjoni u magħmul minn rappreżentanza bbilanċjata ta’ esperti u partijiet ikkonċernati, jenħtieġ li joħroġ rapporti annwali, opinjonijiet, u kontributi pertinenti għall-implimentazzjoni u l-infurzar ta’ dan ir-Regolament. Jenħtieġ li l-outputs jirriflettu l-istat tal-prattiki ta’ ħlas u joffru linji gwida u rakkomandazzjonijiet għat-tisħiħ tal-effettività u l-ekwità tal-qafas regolatorju li jirregola l-ħlasijiet tard.</w:t>
      </w:r>
      <w:r>
        <w:rPr>
          <w:b/>
          <w:szCs w:val="24"/>
          <w:lang w:val="it-IT" w:eastAsia="en-US"/>
        </w:rPr>
        <w:t xml:space="preserve"> [Em. 21]</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lastRenderedPageBreak/>
        <w:t>(29b)</w:t>
      </w:r>
      <w:r w:rsidRPr="00935BD4">
        <w:rPr>
          <w:szCs w:val="24"/>
          <w:lang w:val="it-IT" w:eastAsia="en-US"/>
        </w:rPr>
        <w:tab/>
      </w:r>
      <w:r w:rsidRPr="00935BD4">
        <w:rPr>
          <w:b/>
          <w:i/>
          <w:szCs w:val="24"/>
          <w:lang w:val="it-IT" w:eastAsia="en-US"/>
        </w:rPr>
        <w:t>Sabiex tivvaluta u tiżgura l-effettività ta’ dan ir-Regolament, jenħtieġ li l-Kummissjoni tevalwa b’mod komprensiv l-implimentazzjoni u l-impatt tiegħu permezz ta’ rapport komprensiv. Minħabba n-natura dinamika tat-tranżazzjonijiet kummerċjali u l-kundizzjonijiet tas-suq li qed jevolvu, jenħtieġ li r-rapport ikun għodda kruċjali biex wieħed jifhem l-effettività tar-Regolament u jidentifika oqsma għal titjib. Il-Kummissjoni, abbażi tas-sejbiet tar-rapport, jenħtieġ li tkun lesta li takkumpanjah bi proposta leġiżlattiva jekk titqies neċessarja u xierqa, filwaqt li tiżgura li r-Regolament jibqa’ rilevanti, effettiv, u allinjat biex jippromwovi prattiki ta’ ħlas ġusti u effiċjenti fl-Unjoni. Għalhekk, erba’ snin wara d-dħul fis-seħħ ta’ dan ir-Regolament, u sussegwentement kull tliet snin, jenħtieġ li l-Kummissjoni tissottometti rapport lill-Parlament Ewropew u lill-Kunsill, li jżomm it-trasparenza, jevalwa l-progress, u jagħmel l-aġġustamenti neċessarji fir-Regolament. Ir-rapport jenħtieġ li jeżamina l-impatt tal-kamp ta’ applikazzjoni ta’ dan ir-Regolament, filwaqt li jiffoka fuq l-effetti tiegħu f’setturi u mudelli ta’ negozju speċifiċi, u jipprovdi għarfien dwar kif ir-Regolament jinfluwenza diversi ambjenti kummerċjali. Ir-rapport jenħtieġ li jevalwa l-impatt tal-miżuri implimentati, speċjalment dawk relatati mal-perjodi ta’ ħlas, fuq it-titjib tal-fluss tal-flus u l-likwidità fis-suq biex jixħet dawl fuq l-effettività prattika ta’ dawn il-miżuri fit-titjib tad-dinamika finanzjarja. Ir-rapport jenħtieġ li jivvaluta wkoll l-effettività tal-awtoritajiet tal-infurzar biex tiġi żgurata l-konformità u jiġu indirizzati kwistjonijiet ta’ ħlas. Aspett addizzjonali tar-rapport jenħtieġ li jesplora l-benefiċċji potenzjali tal-introduzzjoni ta’ fatturazzjoni elettronika fl-Unjoni kollha u r-rwol tiegħu fit-tqassir tal-perjodi ta’ ħlas. Sabiex tiġi ffaċilitata din l-evalwazzjoni komprensiva, jenħtieġ li l-Istati Membri jipprovdu l-informazzjoni neċessarja lill-Kummissjoni, inklużi d-dettalji tal-azzjonijiet u l-eżiti tal-infurzar. Ir-rapport għandu jinkludi wkoll valutazzjoni tal-impatt ġenerali ta’ dan ir-Regolament fuq it-tranżazzjonijiet kummerċjali u l-effettività tal-Osservatorju Ewropew tal-Ħlasijiet Tard fil-monitoraġġ tal-prattiki ta’ ħlas fl-Unjoni.</w:t>
      </w:r>
      <w:r>
        <w:rPr>
          <w:b/>
          <w:szCs w:val="24"/>
          <w:lang w:val="it-IT" w:eastAsia="en-US"/>
        </w:rPr>
        <w:t xml:space="preserve"> [Em. 22]</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(30)</w:t>
      </w:r>
      <w:r w:rsidRPr="00935BD4">
        <w:rPr>
          <w:szCs w:val="24"/>
          <w:lang w:val="it-IT" w:eastAsia="en-US"/>
        </w:rPr>
        <w:tab/>
        <w:t>Ċerti dispożizzjonijiet ta’ dan ir-Regolament huma marbuta mad-dispożizzjonijiet tad-Direttiva (UE) 2019/633 tal-Parlament Ewropew u tal-Kunsill</w:t>
      </w:r>
      <w:r w:rsidRPr="00935BD4">
        <w:rPr>
          <w:szCs w:val="24"/>
          <w:vertAlign w:val="superscript"/>
          <w:lang w:val="en-GB" w:eastAsia="en-US"/>
        </w:rPr>
        <w:footnoteReference w:id="19"/>
      </w:r>
      <w:r w:rsidRPr="00935BD4">
        <w:rPr>
          <w:szCs w:val="24"/>
          <w:lang w:val="it-IT" w:eastAsia="en-US"/>
        </w:rPr>
        <w:t>. Ir-relazzjoni bejn id-Direttivi 2011/7/UE u (UE) 2019/633 hi spjegata fil-premessi (17) u (18) u fl-Artikolu 3(1) tad-Direttiva (UE) 2019/633. Peress li dan ir-Regolament jissostitwixxi d-Direttiva 2011/7/UE, dan jenħtieġ li ma jkunx jaffettwa r-regoli stabbiliti fid-Direttiva (UE) 2019/633, inkluż id-dispożizzjonijiet applikabbli għall-ħlasijiet li jsiru fil-kuntest tal-iskema tal-iskejjel</w:t>
      </w:r>
      <w:r w:rsidRPr="00935BD4">
        <w:rPr>
          <w:szCs w:val="24"/>
          <w:vertAlign w:val="superscript"/>
          <w:lang w:val="en-GB" w:eastAsia="en-US"/>
        </w:rPr>
        <w:footnoteReference w:id="20"/>
      </w:r>
      <w:r w:rsidRPr="00935BD4">
        <w:rPr>
          <w:szCs w:val="24"/>
          <w:lang w:val="it-IT" w:eastAsia="en-US"/>
        </w:rPr>
        <w:t>, il-ftehimiet dwar il-kondiviżjoni tal-valur</w:t>
      </w:r>
      <w:r w:rsidRPr="00935BD4">
        <w:rPr>
          <w:szCs w:val="24"/>
          <w:vertAlign w:val="superscript"/>
          <w:lang w:val="en-GB" w:eastAsia="en-US"/>
        </w:rPr>
        <w:footnoteReference w:id="21"/>
      </w:r>
      <w:r w:rsidRPr="00935BD4">
        <w:rPr>
          <w:szCs w:val="24"/>
          <w:lang w:val="it-IT" w:eastAsia="en-US"/>
        </w:rPr>
        <w:t xml:space="preserve"> u ċerti ħlasijiet għall-bejgħ tal-għeneb, tal-most u tal-inbid bl-ingrossa fis-settur tal-inbid</w:t>
      </w:r>
      <w:r w:rsidRPr="00935BD4">
        <w:rPr>
          <w:szCs w:val="24"/>
          <w:vertAlign w:val="superscript"/>
          <w:lang w:val="en-GB" w:eastAsia="en-US"/>
        </w:rPr>
        <w:footnoteReference w:id="22"/>
      </w:r>
      <w:r w:rsidRPr="00935BD4">
        <w:rPr>
          <w:strike/>
          <w:szCs w:val="24"/>
          <w:lang w:val="it-IT" w:eastAsia="en-US"/>
        </w:rPr>
        <w:t>, għajr għall-iskadenzi applikabbli għall-perjodi massimi tal-ħlas dwar il-provvista tal-prodotti agrikoli u alimentari li ma jitħassrux</w:t>
      </w:r>
      <w:r w:rsidRPr="00935BD4">
        <w:rPr>
          <w:szCs w:val="24"/>
          <w:lang w:val="it-IT" w:eastAsia="en-US"/>
        </w:rPr>
        <w:t>. Madankollu, dan ir-Regolament ma jwaqqafx lill-Istati Membri milli jintroduċu jew iżommu dispożizzjonijiet nazzjonali applikabbli għas-settur agrikolu u alimentari li jkunu jipprevedu perjodi tal-ħlas aktar stretti, jew kalkolu differenti tal-perjodi tal-ħlas, dies a quo u proċeduri ta’ verifika u aċċettazzjoni għall-fornituri tal-prodotti agrikoli u alimentari li jkunu aktar favorevoli għall-kreditur.</w:t>
      </w:r>
      <w:r>
        <w:rPr>
          <w:b/>
          <w:szCs w:val="24"/>
          <w:lang w:val="it-IT" w:eastAsia="en-US"/>
        </w:rPr>
        <w:t xml:space="preserve"> [Em. 23]</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(31)</w:t>
      </w:r>
      <w:r w:rsidRPr="00935BD4">
        <w:rPr>
          <w:szCs w:val="24"/>
          <w:lang w:val="it-IT" w:eastAsia="en-US"/>
        </w:rPr>
        <w:tab/>
        <w:t>Dan ir-Regolament għandu l-objettivi li jiġġieled kontra l-ħlasijiet tard fit-tranżazzjonijiet kummerċjali ħalli jkun żgurat il-funzjonament xieraq tas-suq intern u b’hekk titrawwem il-kompetittività tal-intrapriżi u, b’mod partikolari</w:t>
      </w:r>
      <w:r w:rsidRPr="00935BD4">
        <w:rPr>
          <w:strike/>
          <w:szCs w:val="24"/>
          <w:lang w:val="it-IT" w:eastAsia="en-US"/>
        </w:rPr>
        <w:t>,</w:t>
      </w:r>
      <w:r w:rsidRPr="00935BD4">
        <w:rPr>
          <w:b/>
          <w:i/>
          <w:szCs w:val="24"/>
          <w:lang w:val="it-IT" w:eastAsia="en-US"/>
        </w:rPr>
        <w:t xml:space="preserve"> tal-mikrointrapriżi u</w:t>
      </w:r>
      <w:r w:rsidRPr="00935BD4">
        <w:rPr>
          <w:szCs w:val="24"/>
          <w:lang w:val="it-IT" w:eastAsia="en-US"/>
        </w:rPr>
        <w:t xml:space="preserve"> tal-SMEs. Dawk l-objettivi ma jistgħux jintlaħqu biżżejjed mill-Istati Membri għax l-implimentazzjoni tas-soluzzjonijiet nazzjonali aktarx li toħloq regoli mhux uniformi, frammentazzjoni fis-suq uniku u kostijiet akbar għall-kumpaniji li jinnegozjaw bejn il-fruntieri. Għalhekk, dawk l-objettivi jistgħu jintlaħqu aħjar fil-livell tal-Unjoni. Għaldaqstant l-Unjoni tista’ tadotta miżuri f’konformità mal-prinċipju tas-sussidjarjetà kif stabbilit fl-Artikolu 5 tat-Trattat dwar l-Unjoni Ewropea. F’konformità mal-prinċipju tal-proporzjonalità kif stabbilit f’dan l-Artikolu, dan ir-Regolament ma jmurx lil hinn minn dak meħtieġ biex jintlaħqu dawk l-objettivi.</w:t>
      </w:r>
      <w:r>
        <w:rPr>
          <w:b/>
          <w:szCs w:val="24"/>
          <w:lang w:val="it-IT" w:eastAsia="en-US"/>
        </w:rPr>
        <w:t xml:space="preserve"> [Em. 24]</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(32)</w:t>
      </w:r>
      <w:r w:rsidRPr="00935BD4">
        <w:rPr>
          <w:szCs w:val="24"/>
          <w:lang w:val="it-IT" w:eastAsia="en-US"/>
        </w:rPr>
        <w:tab/>
        <w:t>Biex jingħata biżżejjed żmien lill-atturi rilevanti kollha ħalli jistabbilixxu l-arranġamenti meħtieġa għall-konformità ma’ dan ir-Regolament, jenħtieġ li l-applikazzjoni tiegħu tiġi differita. Madankollu, biex tkun żgurata protezzjoni aħjar tal-kredituri, it-tranżazzjonijiet kummerċjali li jridu jitħallsu wara d-data tad-dħul fis-seħħ ta’ dan ir-Regolament</w:t>
      </w:r>
      <w:r w:rsidRPr="00935BD4">
        <w:rPr>
          <w:strike/>
          <w:szCs w:val="24"/>
          <w:lang w:val="it-IT" w:eastAsia="en-US"/>
        </w:rPr>
        <w:t>, għandhom ikunu</w:t>
      </w:r>
      <w:r w:rsidRPr="00935BD4">
        <w:rPr>
          <w:b/>
          <w:i/>
          <w:szCs w:val="24"/>
          <w:lang w:val="it-IT" w:eastAsia="en-US"/>
        </w:rPr>
        <w:t xml:space="preserve"> jenħtieġ li jkunu</w:t>
      </w:r>
      <w:r w:rsidRPr="00935BD4">
        <w:rPr>
          <w:szCs w:val="24"/>
          <w:lang w:val="it-IT" w:eastAsia="en-US"/>
        </w:rPr>
        <w:t xml:space="preserve"> soġġetti għad-dispożizzjonijiet tiegħu, anki jekk il-kuntratt rilevanti jkun ġie ffirmat qabel id-data tal-applikazzjoni tiegħu,</w:t>
      </w:r>
      <w:r w:rsidRPr="00935BD4">
        <w:rPr>
          <w:b/>
          <w:i/>
          <w:szCs w:val="24"/>
          <w:lang w:val="it-IT" w:eastAsia="en-US"/>
        </w:rPr>
        <w:t xml:space="preserve"> Fil-każ ta’ mikrointrapriżi li jiltaqgħu mal-akbar sfidi f’termini ta’ fluss tal-flus, l-applikazzjoni ta’ dan ir-Regolament f’sitwazzjonijiet fejn ikunu debituri jenħtieġ li tiġi differita għal 12-il xahar ieħor.</w:t>
      </w:r>
      <w:r>
        <w:rPr>
          <w:b/>
          <w:szCs w:val="24"/>
          <w:lang w:val="it-IT" w:eastAsia="en-US"/>
        </w:rPr>
        <w:t xml:space="preserve"> [Em. 25]</w:t>
      </w:r>
    </w:p>
    <w:p w:rsidR="00935BD4" w:rsidRDefault="00935BD4">
      <w:pPr>
        <w:widowControl/>
        <w:rPr>
          <w:szCs w:val="24"/>
          <w:lang w:val="it-IT" w:eastAsia="en-US"/>
        </w:rPr>
      </w:pPr>
    </w:p>
    <w:p w:rsidR="00935BD4" w:rsidRPr="00935BD4" w:rsidRDefault="00935BD4" w:rsidP="00935BD4">
      <w:pPr>
        <w:keepNext/>
        <w:widowControl/>
        <w:spacing w:before="120" w:after="120" w:line="360" w:lineRule="auto"/>
        <w:rPr>
          <w:szCs w:val="24"/>
          <w:lang w:val="it-IT" w:eastAsia="en-US"/>
        </w:rPr>
      </w:pPr>
      <w:r w:rsidRPr="00935BD4">
        <w:rPr>
          <w:szCs w:val="24"/>
          <w:lang w:val="it-IT" w:eastAsia="en-US"/>
        </w:rPr>
        <w:t>ADOTTAW DAN IR-REGOLAMENT:</w:t>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t>Artikolu 1</w:t>
      </w:r>
      <w:r w:rsidRPr="00935BD4">
        <w:rPr>
          <w:szCs w:val="24"/>
          <w:lang w:val="it-IT" w:eastAsia="en-US"/>
        </w:rPr>
        <w:br/>
        <w:t>Kamp ta’ applikazzjoni</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-1.</w:t>
      </w:r>
      <w:r w:rsidRPr="00935BD4">
        <w:rPr>
          <w:szCs w:val="24"/>
          <w:lang w:val="it-IT" w:eastAsia="en-US"/>
        </w:rPr>
        <w:tab/>
      </w:r>
      <w:r w:rsidRPr="00935BD4">
        <w:rPr>
          <w:b/>
          <w:i/>
          <w:szCs w:val="24"/>
          <w:lang w:val="it-IT" w:eastAsia="en-US"/>
        </w:rPr>
        <w:t>L-għan ta’ dan ir-Regolament huwa li jiġġieled kontra l-ħlasijiet tard fit-tranżazzjonijiet kummerċjali sabiex ikun żgurat il-funzjonament xieraq tas-suq intern u b’hekk titrawwem il-kompetittività tal-intrapriżi u, b’mod partikolari, tal-SMEs.</w:t>
      </w:r>
      <w:r>
        <w:rPr>
          <w:b/>
          <w:szCs w:val="24"/>
          <w:lang w:val="it-IT" w:eastAsia="en-US"/>
        </w:rPr>
        <w:t xml:space="preserve"> [Em. 26]</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1.</w:t>
      </w:r>
      <w:r w:rsidRPr="00935BD4">
        <w:rPr>
          <w:szCs w:val="24"/>
          <w:lang w:val="it-IT" w:eastAsia="en-US"/>
        </w:rPr>
        <w:tab/>
        <w:t xml:space="preserve">Dan ir-Regolament għandu japplika għall-ħlasijiet li jsiru fit-tranżazzjonijiet bejn l-intrapriżi jew bejn impriżi u awtoritajiet pubbliċi, </w:t>
      </w:r>
      <w:proofErr w:type="gramStart"/>
      <w:r w:rsidRPr="00935BD4">
        <w:rPr>
          <w:szCs w:val="24"/>
          <w:lang w:val="it-IT" w:eastAsia="en-US"/>
        </w:rPr>
        <w:t>meta l</w:t>
      </w:r>
      <w:proofErr w:type="gramEnd"/>
      <w:r w:rsidRPr="00935BD4">
        <w:rPr>
          <w:szCs w:val="24"/>
          <w:lang w:val="it-IT" w:eastAsia="en-US"/>
        </w:rPr>
        <w:t>-awtorità pubblika tkun id-debitur, li jwasslu għal konsenji ta’ oġġetti jew għal għoti ta’ servizzi bi ħlas (“tranżazzjonijiet kummerċjali”).</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2.</w:t>
      </w:r>
      <w:r w:rsidRPr="00935BD4">
        <w:rPr>
          <w:szCs w:val="24"/>
          <w:lang w:val="it-IT" w:eastAsia="en-US"/>
        </w:rPr>
        <w:tab/>
        <w:t xml:space="preserve">Il-konsenji tal-oġġetti jew l-għoti tas-servizzi msemmija fil-paragrafu 1 għandhom jinkludu d-disinn </w:t>
      </w:r>
      <w:proofErr w:type="gramStart"/>
      <w:r w:rsidRPr="00935BD4">
        <w:rPr>
          <w:szCs w:val="24"/>
          <w:lang w:val="it-IT" w:eastAsia="en-US"/>
        </w:rPr>
        <w:t>u t</w:t>
      </w:r>
      <w:proofErr w:type="gramEnd"/>
      <w:r w:rsidRPr="00935BD4">
        <w:rPr>
          <w:szCs w:val="24"/>
          <w:lang w:val="it-IT" w:eastAsia="en-US"/>
        </w:rPr>
        <w:t>-twettiq tax-xogħlijiet pubbliċi, u tax-xogħol tal-kostruzzjoni u tax-xogħol tal-inġinerija ċivili.</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3.</w:t>
      </w:r>
      <w:r w:rsidRPr="00935BD4">
        <w:rPr>
          <w:szCs w:val="24"/>
          <w:lang w:val="it-IT" w:eastAsia="en-US"/>
        </w:rPr>
        <w:tab/>
        <w:t>Dan ir-Regolament ma għandhux japplika għal dawn il-ħlasijiet li ġejjin:</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(a)</w:t>
      </w:r>
      <w:r w:rsidRPr="00935BD4">
        <w:rPr>
          <w:szCs w:val="24"/>
          <w:lang w:val="it-IT" w:eastAsia="en-US"/>
        </w:rPr>
        <w:tab/>
        <w:t>il-ħlasijiet għat-tranżazzjonijiet mal-konsumaturi;</w:t>
      </w:r>
    </w:p>
    <w:p w:rsidR="00935BD4" w:rsidRPr="00935BD4" w:rsidRDefault="00935BD4" w:rsidP="00935BD4">
      <w:pPr>
        <w:spacing w:before="120" w:after="120" w:line="360" w:lineRule="auto"/>
        <w:ind w:left="1416" w:hanging="566"/>
        <w:rPr>
          <w:b/>
          <w:szCs w:val="24"/>
          <w:lang w:val="it-IT" w:eastAsia="en-US"/>
        </w:rPr>
      </w:pPr>
      <w:r w:rsidRPr="00935BD4">
        <w:rPr>
          <w:szCs w:val="24"/>
          <w:lang w:val="it-IT" w:eastAsia="en-US"/>
        </w:rPr>
        <w:t>(b)</w:t>
      </w:r>
      <w:r w:rsidRPr="00935BD4">
        <w:rPr>
          <w:szCs w:val="24"/>
          <w:lang w:val="it-IT" w:eastAsia="en-US"/>
        </w:rPr>
        <w:tab/>
        <w:t>il-ħlasijiet bħala kumpens għad-danni</w:t>
      </w:r>
      <w:r w:rsidRPr="00935BD4">
        <w:rPr>
          <w:strike/>
          <w:szCs w:val="24"/>
          <w:lang w:val="it-IT" w:eastAsia="en-US"/>
        </w:rPr>
        <w:t>, inkluż il-ħlasijiet minn kumpaniji tal-assigurazzjoni</w:t>
      </w:r>
      <w:r w:rsidRPr="00935BD4">
        <w:rPr>
          <w:szCs w:val="24"/>
          <w:lang w:val="it-IT" w:eastAsia="en-US"/>
        </w:rPr>
        <w:t>;</w:t>
      </w:r>
      <w:r>
        <w:rPr>
          <w:b/>
          <w:szCs w:val="24"/>
          <w:lang w:val="it-IT" w:eastAsia="en-US"/>
        </w:rPr>
        <w:t xml:space="preserve"> [Em. 27]</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(c)</w:t>
      </w:r>
      <w:r w:rsidRPr="00935BD4">
        <w:rPr>
          <w:szCs w:val="24"/>
          <w:lang w:val="it-IT" w:eastAsia="en-US"/>
        </w:rPr>
        <w:tab/>
        <w:t>il-ħlasijiet li jirriżultaw minn obbligi li jistgħu jiġu kkanċellati, posposti, jew rinunzjati skont jew b’rabta ma’ proċedimenti ta’ insolvenza jew proċedimenti ta’ ristrutturar, inkluż proċedimenti ta’ ristrutturar preventiv skont id-Direttiva (UE) 2019/1023</w:t>
      </w:r>
      <w:r w:rsidRPr="00935BD4">
        <w:rPr>
          <w:szCs w:val="24"/>
          <w:vertAlign w:val="superscript"/>
          <w:lang w:val="en-GB" w:eastAsia="en-US"/>
        </w:rPr>
        <w:footnoteReference w:id="23"/>
      </w:r>
      <w:r w:rsidRPr="00935BD4">
        <w:rPr>
          <w:szCs w:val="24"/>
          <w:lang w:val="it-IT" w:eastAsia="en-US"/>
        </w:rPr>
        <w:t xml:space="preserve"> tal-Parlament Ewropew u tal-Kunsill.</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1416" w:hanging="566"/>
        <w:rPr>
          <w:b/>
          <w:szCs w:val="24"/>
          <w:lang w:val="it-IT" w:eastAsia="en-US"/>
        </w:rPr>
      </w:pPr>
      <w:r w:rsidRPr="00935BD4">
        <w:rPr>
          <w:b/>
          <w:i/>
          <w:szCs w:val="24"/>
          <w:lang w:val="it-IT" w:eastAsia="en-US"/>
        </w:rPr>
        <w:lastRenderedPageBreak/>
        <w:t>(ca)</w:t>
      </w:r>
      <w:r w:rsidRPr="00935BD4">
        <w:rPr>
          <w:szCs w:val="24"/>
          <w:lang w:val="it-IT" w:eastAsia="en-US"/>
        </w:rPr>
        <w:tab/>
      </w:r>
      <w:r w:rsidRPr="00935BD4">
        <w:rPr>
          <w:b/>
          <w:i/>
          <w:szCs w:val="24"/>
          <w:lang w:val="it-IT" w:eastAsia="en-US"/>
        </w:rPr>
        <w:t>Il-ħlasijiet li jirriżultaw mix-xiri, il-bejgħ, il-konsenji, il-kummissjonijiet jew l-operazzjonijiet ta’ aġenzija li jikkontribwixxu għall-manifattura tal-kotba, kif ukoll għall-provvista tal-karta u konsumabbli oħra dedikati għall-istampar, il-legatura jew il-pubblikazzjoni tal-kotba fil-pożizzjoni speċjali tagħhom bħala prodotti kulturali li jimxu bil-mod fejn it-termini tal-ħlas għandhom jiġu ddefiniti bi ftehim bejn il-partijiet ikkonċernati.</w:t>
      </w:r>
      <w:r>
        <w:rPr>
          <w:b/>
          <w:szCs w:val="24"/>
          <w:lang w:val="it-IT" w:eastAsia="en-US"/>
        </w:rPr>
        <w:t xml:space="preserve"> [Em. 109]</w:t>
      </w:r>
    </w:p>
    <w:p w:rsidR="00935BD4" w:rsidRPr="00935BD4" w:rsidRDefault="00935BD4" w:rsidP="00935BD4">
      <w:pPr>
        <w:spacing w:before="120" w:after="120" w:line="360" w:lineRule="auto"/>
        <w:ind w:left="850"/>
        <w:rPr>
          <w:b/>
          <w:szCs w:val="24"/>
          <w:lang w:val="it-IT" w:eastAsia="en-US"/>
        </w:rPr>
      </w:pPr>
      <w:r w:rsidRPr="00935BD4">
        <w:rPr>
          <w:b/>
          <w:i/>
          <w:szCs w:val="24"/>
          <w:lang w:val="it-IT" w:eastAsia="en-US"/>
        </w:rPr>
        <w:t>Minkejja l-punt (b), il-ħlasijiet magħmula bi twettiq tal-obbligi li joħorġu minn kuntratti ta’ assigurazzjoni huma koperti b’dan ir-Regolament.</w:t>
      </w:r>
      <w:r w:rsidR="003D3C7C">
        <w:rPr>
          <w:b/>
          <w:szCs w:val="24"/>
          <w:lang w:val="it-IT" w:eastAsia="en-US"/>
        </w:rPr>
        <w:t xml:space="preserve"> [Em. 28</w:t>
      </w:r>
      <w:r>
        <w:rPr>
          <w:b/>
          <w:szCs w:val="24"/>
          <w:lang w:val="it-IT" w:eastAsia="en-US"/>
        </w:rPr>
        <w:t>]</w:t>
      </w:r>
    </w:p>
    <w:p w:rsidR="00935BD4" w:rsidRPr="003D3C7C" w:rsidRDefault="00935BD4" w:rsidP="00935BD4">
      <w:pPr>
        <w:spacing w:before="120" w:after="120" w:line="360" w:lineRule="auto"/>
        <w:ind w:left="850" w:hanging="850"/>
        <w:rPr>
          <w:b/>
          <w:szCs w:val="24"/>
          <w:lang w:val="it-IT" w:eastAsia="en-US"/>
        </w:rPr>
      </w:pPr>
      <w:r w:rsidRPr="00935BD4">
        <w:rPr>
          <w:szCs w:val="24"/>
          <w:lang w:val="it-IT" w:eastAsia="en-US"/>
        </w:rPr>
        <w:t>4.</w:t>
      </w:r>
      <w:r w:rsidRPr="00935BD4">
        <w:rPr>
          <w:szCs w:val="24"/>
          <w:lang w:val="it-IT" w:eastAsia="en-US"/>
        </w:rPr>
        <w:tab/>
      </w:r>
      <w:r w:rsidRPr="00935BD4">
        <w:rPr>
          <w:strike/>
          <w:szCs w:val="24"/>
          <w:lang w:val="it-IT" w:eastAsia="en-US"/>
        </w:rPr>
        <w:t xml:space="preserve">Għajr għall-Artikolu 3(1), </w:t>
      </w:r>
      <w:r w:rsidRPr="00935BD4">
        <w:rPr>
          <w:szCs w:val="24"/>
          <w:lang w:val="it-IT" w:eastAsia="en-US"/>
        </w:rPr>
        <w:t>Dan ir-Regolament ma għandux jaffettwa d-dispożizzjonijiet stabbiliti fid-Direttiva (UE) 2019/633.</w:t>
      </w:r>
      <w:r w:rsidR="003D3C7C">
        <w:rPr>
          <w:b/>
          <w:szCs w:val="24"/>
          <w:lang w:val="it-IT" w:eastAsia="en-US"/>
        </w:rPr>
        <w:t xml:space="preserve"> [Em. 29]</w:t>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t>Artikolu 2</w:t>
      </w:r>
      <w:r w:rsidRPr="00935BD4">
        <w:rPr>
          <w:szCs w:val="24"/>
          <w:lang w:val="it-IT" w:eastAsia="en-US"/>
        </w:rPr>
        <w:br/>
        <w:t>Definizzjonijiet</w:t>
      </w:r>
    </w:p>
    <w:p w:rsidR="00935BD4" w:rsidRPr="00935BD4" w:rsidRDefault="00935BD4" w:rsidP="00935BD4">
      <w:pPr>
        <w:spacing w:before="120" w:after="120" w:line="360" w:lineRule="auto"/>
        <w:rPr>
          <w:szCs w:val="24"/>
          <w:lang w:val="it-IT" w:eastAsia="en-US"/>
        </w:rPr>
      </w:pPr>
      <w:r w:rsidRPr="00935BD4">
        <w:rPr>
          <w:szCs w:val="24"/>
          <w:lang w:val="it-IT" w:eastAsia="en-US"/>
        </w:rPr>
        <w:t>Għall-finijiet ta’ dan ir-Regolament, għandhom japplikaw id-definizzjonijiet li ġejjin:</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(-1)</w:t>
      </w:r>
      <w:r w:rsidRPr="00935BD4">
        <w:rPr>
          <w:szCs w:val="24"/>
          <w:lang w:val="it-IT" w:eastAsia="en-US"/>
        </w:rPr>
        <w:tab/>
      </w:r>
      <w:r w:rsidRPr="00935BD4">
        <w:rPr>
          <w:b/>
          <w:i/>
          <w:szCs w:val="24"/>
          <w:lang w:val="it-IT" w:eastAsia="en-US"/>
        </w:rPr>
        <w:t>“tranżazzjonijiet kummerċjali” tfisser tranżazzjonijiet bejn l-intrapriżi jew bejn l-intrapriżi u l-awtoritajiet pubbliċi li jwasslu għall-forniment ta’ oġġetti jew l-għoti ta’ servizzi għar-remunerazzjoni;</w:t>
      </w:r>
      <w:r>
        <w:rPr>
          <w:b/>
          <w:szCs w:val="24"/>
          <w:lang w:val="it-IT" w:eastAsia="en-US"/>
        </w:rPr>
        <w:t xml:space="preserve"> [Em. 30]</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(1)</w:t>
      </w:r>
      <w:r w:rsidRPr="00935BD4">
        <w:rPr>
          <w:szCs w:val="24"/>
          <w:lang w:val="it-IT" w:eastAsia="en-US"/>
        </w:rPr>
        <w:tab/>
        <w:t>“intrapriża” tfisser organizzazzjoni, irrispettivament mill-forma u l-mod tal-finanzjament tagħha, li twettaq attività ekonomika jew professjonali b’mod indipendenti;</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w:t>
      </w:r>
      <w:r w:rsidRPr="00935BD4">
        <w:rPr>
          <w:szCs w:val="24"/>
          <w:lang w:val="it-IT" w:eastAsia="en-US"/>
        </w:rPr>
        <w:tab/>
        <w:t>“awtorità kontraenti” tfisser awtorità kontraenti kif definit fl-Artikolu 6(1) tad-Direttiva 2014/23/UE, fl-Artikolu 2(1), il-punt (1), tad-Direttiva 2014/24/UE jew fl-Artikolu 3(1) tad-Direttiva 2014/25/UE</w:t>
      </w:r>
      <w:r w:rsidRPr="00935BD4">
        <w:rPr>
          <w:b/>
          <w:i/>
          <w:szCs w:val="24"/>
          <w:lang w:val="it-IT" w:eastAsia="en-US"/>
        </w:rPr>
        <w:t>, irrispettivament mis-suġġett jew il-valur tal-kuntratt</w:t>
      </w:r>
      <w:r w:rsidRPr="00935BD4">
        <w:rPr>
          <w:szCs w:val="24"/>
          <w:lang w:val="it-IT" w:eastAsia="en-US"/>
        </w:rPr>
        <w:t>;</w:t>
      </w:r>
      <w:r>
        <w:rPr>
          <w:b/>
          <w:szCs w:val="24"/>
          <w:lang w:val="it-IT" w:eastAsia="en-US"/>
        </w:rPr>
        <w:t xml:space="preserve"> [Em. 31]</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(3)</w:t>
      </w:r>
      <w:r w:rsidRPr="00935BD4">
        <w:rPr>
          <w:szCs w:val="24"/>
          <w:lang w:val="it-IT" w:eastAsia="en-US"/>
        </w:rPr>
        <w:tab/>
        <w:t>“Ħlas tard” tfisser ħlas</w:t>
      </w:r>
      <w:r w:rsidRPr="00935BD4">
        <w:rPr>
          <w:b/>
          <w:i/>
          <w:szCs w:val="24"/>
          <w:lang w:val="it-IT" w:eastAsia="en-US"/>
        </w:rPr>
        <w:t xml:space="preserve"> ta’ ammont dovut</w:t>
      </w:r>
      <w:r w:rsidRPr="00935BD4">
        <w:rPr>
          <w:szCs w:val="24"/>
          <w:lang w:val="it-IT" w:eastAsia="en-US"/>
        </w:rPr>
        <w:t xml:space="preserve"> li ma jsirx fil-perjodu tal-ħlas kuntrattwali jew statutorju kif stabbilit fl-Artikolu 3;</w:t>
      </w:r>
      <w:r>
        <w:rPr>
          <w:b/>
          <w:szCs w:val="24"/>
          <w:lang w:val="it-IT" w:eastAsia="en-US"/>
        </w:rPr>
        <w:t xml:space="preserve"> [Em. 32]</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(4)</w:t>
      </w:r>
      <w:r w:rsidRPr="00935BD4">
        <w:rPr>
          <w:szCs w:val="24"/>
          <w:lang w:val="it-IT" w:eastAsia="en-US"/>
        </w:rPr>
        <w:tab/>
        <w:t>“ammont dovut” tfisser l-ammont li kellu jitħallas fil-perjodu tal-ħlas kuntrattwali jew statutorju, kif stabbilit fl-Artikolu 3, inkluż it-taxxi, id-dazji, l-imposti jew il-miżati applikabbli speċifikati fil-fattura jew fit-talba ekwivalenti għall-ħlas;</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(5)</w:t>
      </w:r>
      <w:r w:rsidRPr="00935BD4">
        <w:rPr>
          <w:szCs w:val="24"/>
          <w:lang w:val="it-IT" w:eastAsia="en-US"/>
        </w:rPr>
        <w:tab/>
        <w:t>“titolu infurzabbli” tfisser deċiżjoni, sentenza jew ordni għal ħlas maħruġin minn qorti jew awtorità kompetenti oħra, skrittura privata jew xi dokument ieħor maħruġ, inkluż dawk li huma infurzabbli b’mod provviżorju, sew għal ħlas immedjat u sew għall-ħlas bin-nifs, li jippermettu li t-talba tal-kreditur kontra d-debitur titwettaq b’eżekuzzjoni.</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(6)</w:t>
      </w:r>
      <w:r w:rsidRPr="00935BD4">
        <w:rPr>
          <w:szCs w:val="24"/>
          <w:lang w:val="it-IT" w:eastAsia="en-US"/>
        </w:rPr>
        <w:tab/>
        <w:t>“żamma tat-titolu” tfisser il-ftehim kuntrattwali li skontu l-bejjiegħ iżomm id-dritt għat-titolu tal-oġġetti kkonċernati sakemm ikun tħallas il-prezz kollu;</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(7)</w:t>
      </w:r>
      <w:r w:rsidRPr="00935BD4">
        <w:rPr>
          <w:szCs w:val="24"/>
          <w:lang w:val="it-IT" w:eastAsia="en-US"/>
        </w:rPr>
        <w:tab/>
        <w:t>“proċedura tal-aċċettazzjoni jew tal-verifika” tfisser il-proċedura biex tiġi żgurata l-konformità tal-oġġetti fornuti jew tas-servizzi mogħtija mar-rekwiżiti tal-kuntratt</w:t>
      </w:r>
      <w:r w:rsidRPr="00935BD4">
        <w:rPr>
          <w:b/>
          <w:i/>
          <w:szCs w:val="24"/>
          <w:lang w:val="it-IT" w:eastAsia="en-US"/>
        </w:rPr>
        <w:t xml:space="preserve"> kif ukoll il-verifika tal-korrettezza u l-konformità tal-fattura u l-konformità tagħha ma’ dawk ir-rekwiżiti</w:t>
      </w:r>
      <w:r w:rsidRPr="00935BD4">
        <w:rPr>
          <w:szCs w:val="24"/>
          <w:lang w:val="it-IT" w:eastAsia="en-US"/>
        </w:rPr>
        <w:t>;</w:t>
      </w:r>
      <w:r>
        <w:rPr>
          <w:b/>
          <w:szCs w:val="24"/>
          <w:lang w:val="it-IT" w:eastAsia="en-US"/>
        </w:rPr>
        <w:t xml:space="preserve"> [Em. 33]</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(8)</w:t>
      </w:r>
      <w:r w:rsidRPr="00935BD4">
        <w:rPr>
          <w:szCs w:val="24"/>
          <w:lang w:val="it-IT" w:eastAsia="en-US"/>
        </w:rPr>
        <w:tab/>
        <w:t>“debitur” tfisser</w:t>
      </w:r>
      <w:r w:rsidRPr="00935BD4">
        <w:rPr>
          <w:b/>
          <w:i/>
          <w:szCs w:val="24"/>
          <w:lang w:val="it-IT" w:eastAsia="en-US"/>
        </w:rPr>
        <w:t xml:space="preserve"> kwalunkwe</w:t>
      </w:r>
      <w:r w:rsidRPr="00935BD4">
        <w:rPr>
          <w:szCs w:val="24"/>
          <w:lang w:val="it-IT" w:eastAsia="en-US"/>
        </w:rPr>
        <w:t xml:space="preserve"> persuna fiżika jew ġuridika, jew </w:t>
      </w:r>
      <w:r w:rsidRPr="00935BD4">
        <w:rPr>
          <w:b/>
          <w:i/>
          <w:szCs w:val="24"/>
          <w:lang w:val="it-IT" w:eastAsia="en-US"/>
        </w:rPr>
        <w:t xml:space="preserve">kwalunkwe </w:t>
      </w:r>
      <w:r w:rsidRPr="00935BD4">
        <w:rPr>
          <w:szCs w:val="24"/>
          <w:lang w:val="it-IT" w:eastAsia="en-US"/>
        </w:rPr>
        <w:t>awtorità pubblika</w:t>
      </w:r>
      <w:r w:rsidRPr="00935BD4">
        <w:rPr>
          <w:strike/>
          <w:szCs w:val="24"/>
          <w:lang w:val="it-IT" w:eastAsia="en-US"/>
        </w:rPr>
        <w:t>, li trid</w:t>
      </w:r>
      <w:r w:rsidRPr="00935BD4">
        <w:rPr>
          <w:b/>
          <w:i/>
          <w:szCs w:val="24"/>
          <w:lang w:val="it-IT" w:eastAsia="en-US"/>
        </w:rPr>
        <w:t xml:space="preserve"> li jeħtiġilha</w:t>
      </w:r>
      <w:r w:rsidRPr="00935BD4">
        <w:rPr>
          <w:szCs w:val="24"/>
          <w:lang w:val="it-IT" w:eastAsia="en-US"/>
        </w:rPr>
        <w:t xml:space="preserve"> tħallas għal </w:t>
      </w:r>
      <w:r w:rsidRPr="00935BD4">
        <w:rPr>
          <w:strike/>
          <w:szCs w:val="24"/>
          <w:lang w:val="it-IT" w:eastAsia="en-US"/>
        </w:rPr>
        <w:t>prodott</w:t>
      </w:r>
      <w:r w:rsidRPr="00935BD4">
        <w:rPr>
          <w:b/>
          <w:i/>
          <w:szCs w:val="24"/>
          <w:lang w:val="it-IT" w:eastAsia="en-US"/>
        </w:rPr>
        <w:t>oġġett li jiġi fornut, jew li jrid jiġi fornut,</w:t>
      </w:r>
      <w:r w:rsidRPr="00935BD4">
        <w:rPr>
          <w:szCs w:val="24"/>
          <w:lang w:val="it-IT" w:eastAsia="en-US"/>
        </w:rPr>
        <w:t xml:space="preserve"> jew servizz mogħti</w:t>
      </w:r>
      <w:r w:rsidRPr="00935BD4">
        <w:rPr>
          <w:b/>
          <w:i/>
          <w:szCs w:val="24"/>
          <w:lang w:val="it-IT" w:eastAsia="en-US"/>
        </w:rPr>
        <w:t>, jew li jrid jingħata</w:t>
      </w:r>
      <w:r w:rsidRPr="00935BD4">
        <w:rPr>
          <w:szCs w:val="24"/>
          <w:lang w:val="it-IT" w:eastAsia="en-US"/>
        </w:rPr>
        <w:t>;</w:t>
      </w:r>
      <w:r>
        <w:rPr>
          <w:b/>
          <w:szCs w:val="24"/>
          <w:lang w:val="it-IT" w:eastAsia="en-US"/>
        </w:rPr>
        <w:t xml:space="preserve"> [Em. 34]</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(9)</w:t>
      </w:r>
      <w:r w:rsidRPr="00935BD4">
        <w:rPr>
          <w:szCs w:val="24"/>
          <w:lang w:val="it-IT" w:eastAsia="en-US"/>
        </w:rPr>
        <w:tab/>
        <w:t>“kreditur” tfisser</w:t>
      </w:r>
      <w:r w:rsidRPr="00935BD4">
        <w:rPr>
          <w:b/>
          <w:i/>
          <w:szCs w:val="24"/>
          <w:lang w:val="it-IT" w:eastAsia="en-US"/>
        </w:rPr>
        <w:t xml:space="preserve"> kwalunkwe</w:t>
      </w:r>
      <w:r w:rsidRPr="00935BD4">
        <w:rPr>
          <w:szCs w:val="24"/>
          <w:lang w:val="it-IT" w:eastAsia="en-US"/>
        </w:rPr>
        <w:t xml:space="preserve"> persuna fiżika jew ġuridika</w:t>
      </w:r>
      <w:r w:rsidRPr="00935BD4">
        <w:rPr>
          <w:strike/>
          <w:szCs w:val="24"/>
          <w:lang w:val="it-IT" w:eastAsia="en-US"/>
        </w:rPr>
        <w:t>, jew awtorità pubblika,</w:t>
      </w:r>
      <w:r w:rsidRPr="00935BD4">
        <w:rPr>
          <w:szCs w:val="24"/>
          <w:lang w:val="it-IT" w:eastAsia="en-US"/>
        </w:rPr>
        <w:t xml:space="preserve"> li forniet</w:t>
      </w:r>
      <w:r w:rsidRPr="00935BD4">
        <w:rPr>
          <w:b/>
          <w:i/>
          <w:szCs w:val="24"/>
          <w:lang w:val="it-IT" w:eastAsia="en-US"/>
        </w:rPr>
        <w:t>, jew li hija obbligata tforni,</w:t>
      </w:r>
      <w:r w:rsidRPr="00935BD4">
        <w:rPr>
          <w:szCs w:val="24"/>
          <w:lang w:val="it-IT" w:eastAsia="en-US"/>
        </w:rPr>
        <w:t xml:space="preserve"> oġġetti </w:t>
      </w:r>
      <w:r w:rsidRPr="00935BD4">
        <w:rPr>
          <w:b/>
          <w:i/>
          <w:szCs w:val="24"/>
          <w:lang w:val="it-IT" w:eastAsia="en-US"/>
        </w:rPr>
        <w:t xml:space="preserve">lil debitur jew li tat, jew li hija obbligata li </w:t>
      </w:r>
      <w:proofErr w:type="gramStart"/>
      <w:r w:rsidRPr="00935BD4">
        <w:rPr>
          <w:b/>
          <w:i/>
          <w:szCs w:val="24"/>
          <w:lang w:val="it-IT" w:eastAsia="en-US"/>
        </w:rPr>
        <w:t>tagħti,</w:t>
      </w:r>
      <w:r w:rsidRPr="00935BD4">
        <w:rPr>
          <w:strike/>
          <w:szCs w:val="24"/>
          <w:lang w:val="it-IT" w:eastAsia="en-US"/>
        </w:rPr>
        <w:t>jew</w:t>
      </w:r>
      <w:proofErr w:type="gramEnd"/>
      <w:r w:rsidRPr="00935BD4">
        <w:rPr>
          <w:strike/>
          <w:szCs w:val="24"/>
          <w:lang w:val="it-IT" w:eastAsia="en-US"/>
        </w:rPr>
        <w:t xml:space="preserve"> tat</w:t>
      </w:r>
      <w:r w:rsidRPr="00935BD4">
        <w:rPr>
          <w:szCs w:val="24"/>
          <w:lang w:val="it-IT" w:eastAsia="en-US"/>
        </w:rPr>
        <w:t xml:space="preserve"> servizzi lil debitur.</w:t>
      </w:r>
      <w:r>
        <w:rPr>
          <w:b/>
          <w:szCs w:val="24"/>
          <w:lang w:val="it-IT" w:eastAsia="en-US"/>
        </w:rPr>
        <w:t xml:space="preserve"> [Em. 35]</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(9a)</w:t>
      </w:r>
      <w:r w:rsidRPr="00935BD4">
        <w:rPr>
          <w:szCs w:val="24"/>
          <w:lang w:val="it-IT" w:eastAsia="en-US"/>
        </w:rPr>
        <w:tab/>
      </w:r>
      <w:r w:rsidRPr="00935BD4">
        <w:rPr>
          <w:b/>
          <w:i/>
          <w:szCs w:val="24"/>
          <w:lang w:val="it-IT" w:eastAsia="en-US"/>
        </w:rPr>
        <w:t>“intrapriża kbira” tfisser “intrapriża” kif definita fl-Artikolu 3, il-punt (4), tad-Direttiva 2013/34/UE;</w:t>
      </w:r>
      <w:r>
        <w:rPr>
          <w:b/>
          <w:szCs w:val="24"/>
          <w:lang w:val="it-IT" w:eastAsia="en-US"/>
        </w:rPr>
        <w:t xml:space="preserve"> [Em. 36]</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lastRenderedPageBreak/>
        <w:t>(9b)</w:t>
      </w:r>
      <w:r w:rsidRPr="00935BD4">
        <w:rPr>
          <w:szCs w:val="24"/>
          <w:lang w:val="it-IT" w:eastAsia="en-US"/>
        </w:rPr>
        <w:tab/>
      </w:r>
      <w:r w:rsidRPr="00935BD4">
        <w:rPr>
          <w:b/>
          <w:i/>
          <w:szCs w:val="24"/>
          <w:lang w:val="it-IT" w:eastAsia="en-US"/>
        </w:rPr>
        <w:t>“oġġetti li ma jinbigħux malajr” tfisser oġġetti fil-pussess tal-bejjiegħ bl-imnut, mill-forniment effettiv mill-manifattur jew mill-bejjiegħ bl-ingrossa sal-bejgħ finali bl-imnut, għal aktar minn 60 jum bħala medja;</w:t>
      </w:r>
      <w:r>
        <w:rPr>
          <w:b/>
          <w:szCs w:val="24"/>
          <w:lang w:val="it-IT" w:eastAsia="en-US"/>
        </w:rPr>
        <w:t xml:space="preserve"> [Em. 37]</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(9c)</w:t>
      </w:r>
      <w:r w:rsidRPr="00935BD4">
        <w:rPr>
          <w:szCs w:val="24"/>
          <w:lang w:val="it-IT" w:eastAsia="en-US"/>
        </w:rPr>
        <w:tab/>
      </w:r>
      <w:r w:rsidRPr="00935BD4">
        <w:rPr>
          <w:b/>
          <w:i/>
          <w:szCs w:val="24"/>
          <w:lang w:val="it-IT" w:eastAsia="en-US"/>
        </w:rPr>
        <w:t>“oġġetti staġjonali” tfisser oġġetti li d-domanda għalihom tiżdied b’mod sinifikanti regolarment f’ċerti żminijiet jew staġuni tas-sena;</w:t>
      </w:r>
      <w:r>
        <w:rPr>
          <w:b/>
          <w:szCs w:val="24"/>
          <w:lang w:val="it-IT" w:eastAsia="en-US"/>
        </w:rPr>
        <w:t xml:space="preserve"> [Em. 38]</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(9d)</w:t>
      </w:r>
      <w:r w:rsidRPr="00935BD4">
        <w:rPr>
          <w:szCs w:val="24"/>
          <w:lang w:val="it-IT" w:eastAsia="en-US"/>
        </w:rPr>
        <w:tab/>
      </w:r>
      <w:r w:rsidRPr="00935BD4">
        <w:rPr>
          <w:b/>
          <w:i/>
          <w:szCs w:val="24"/>
          <w:lang w:val="it-IT" w:eastAsia="en-US"/>
        </w:rPr>
        <w:t>“katina tal-kotba” tfisser l-atturi u l-fornituri kollha involuti fil-proċess tal-produzzjoni u tal-kummerċjalizzazzjoni tal-kotba stampati jew diġitali, u b’mod partikolari, l-atturi fl-industrija tal-kotba (l-awtur, il-pubblikatur, l-istampatur, id-distributur, il-ħanut tal-kotba) u l-fornituri tagħhom.</w:t>
      </w:r>
      <w:r>
        <w:rPr>
          <w:b/>
          <w:szCs w:val="24"/>
          <w:lang w:val="it-IT" w:eastAsia="en-US"/>
        </w:rPr>
        <w:t xml:space="preserve"> [Em. 94]</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lastRenderedPageBreak/>
        <w:t>Artikolu 3</w:t>
      </w:r>
      <w:r w:rsidRPr="00935BD4">
        <w:rPr>
          <w:szCs w:val="24"/>
          <w:lang w:val="it-IT" w:eastAsia="en-US"/>
        </w:rPr>
        <w:br/>
        <w:t>Perjodi tal-ħlas</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1.</w:t>
      </w:r>
      <w:r w:rsidRPr="00935BD4">
        <w:rPr>
          <w:szCs w:val="24"/>
          <w:lang w:val="it-IT" w:eastAsia="en-US"/>
        </w:rPr>
        <w:tab/>
        <w:t>Fit-tranżazzjonijiet kummerċjali, il-perjodu tal-ħlas ma għandux jaqbeż it-30 jum kalendarju, mid-data tal-wasla tal-fattura jew ta’ talba ekwivalenti għall-ħlas mingħand id-debitur, diment li d-debitur ikun irċieva l-oġġetti jew is-servizzi</w:t>
      </w:r>
      <w:r w:rsidRPr="00935BD4">
        <w:rPr>
          <w:b/>
          <w:i/>
          <w:szCs w:val="24"/>
          <w:lang w:val="it-IT" w:eastAsia="en-US"/>
        </w:rPr>
        <w:t xml:space="preserve"> f’konformità mal-ftehim kuntrattwali. Meta d-data tal-wasla tal-fattura jew it-talba ekwivalenti għall-ħlas tkun inċerta, il-perjodu tal-ħlas ma għandux jaqbeż 30 jum kalendarju mid-data meta tal-wasla tal-oġġetti jew l-għoti tas-servizzi</w:t>
      </w:r>
      <w:r w:rsidRPr="00935BD4">
        <w:rPr>
          <w:szCs w:val="24"/>
          <w:lang w:val="it-IT" w:eastAsia="en-US"/>
        </w:rPr>
        <w:t xml:space="preserve">. Dan il-perjodu għandu japplika kemm għat-tranżazzjonijiet bejn l-intrapriżi u </w:t>
      </w:r>
      <w:r w:rsidRPr="00935BD4">
        <w:rPr>
          <w:strike/>
          <w:szCs w:val="24"/>
          <w:lang w:val="it-IT" w:eastAsia="en-US"/>
        </w:rPr>
        <w:t>anki</w:t>
      </w:r>
      <w:r w:rsidRPr="00935BD4">
        <w:rPr>
          <w:b/>
          <w:i/>
          <w:szCs w:val="24"/>
          <w:lang w:val="it-IT" w:eastAsia="en-US"/>
        </w:rPr>
        <w:t>anke</w:t>
      </w:r>
      <w:r w:rsidRPr="00935BD4">
        <w:rPr>
          <w:szCs w:val="24"/>
          <w:lang w:val="it-IT" w:eastAsia="en-US"/>
        </w:rPr>
        <w:t xml:space="preserve"> bejn l-awtoritajiet pubbliċi u l-intrapriżi.</w:t>
      </w:r>
      <w:r w:rsidRPr="00935BD4">
        <w:rPr>
          <w:strike/>
          <w:szCs w:val="24"/>
          <w:lang w:val="it-IT" w:eastAsia="en-US"/>
        </w:rPr>
        <w:t xml:space="preserve"> L-istess perjodu tal-ħlas għandu japplika wkoll għall-provvista tal-prodotti agrikoli u alimentari li ma jitħassrux b’bażi regolari u mhux regolari kif imsemmi fl-Artikolu 3(1)(a), il-punt (i), it-tieni inċiż u fl-Artikolu 3(1)(a), il-punt (ii), it-tieni inċiż tad-Direttiva (UE) 2019/633, sakemm l-Istat Membru ma jkunx jipprevedi perjodu iqsar tal-ħlas għal dawk il-prodotti.</w:t>
      </w:r>
      <w:r w:rsidRPr="00935BD4">
        <w:rPr>
          <w:b/>
          <w:szCs w:val="24"/>
          <w:lang w:val="it-IT" w:eastAsia="en-US"/>
        </w:rPr>
        <w:t xml:space="preserve"> [Em. 39]</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1a.</w:t>
      </w:r>
      <w:r w:rsidRPr="00935BD4">
        <w:rPr>
          <w:szCs w:val="24"/>
          <w:lang w:val="it-IT" w:eastAsia="en-US"/>
        </w:rPr>
        <w:tab/>
      </w:r>
      <w:r w:rsidRPr="00935BD4">
        <w:rPr>
          <w:b/>
          <w:i/>
          <w:szCs w:val="24"/>
          <w:lang w:val="it-IT" w:eastAsia="en-US"/>
        </w:rPr>
        <w:t>Fi tranżazzjonijiet kummerċjali bejn impriżi, meta jkun ġie miftiehem espressament fil-kuntratt, il-perjodu tal-ħlas imsemmi fil-paragrafu 1 jista’ jiġi estiż sa 60 jum kalendarju.</w:t>
      </w:r>
      <w:r>
        <w:rPr>
          <w:b/>
          <w:szCs w:val="24"/>
          <w:lang w:val="it-IT" w:eastAsia="en-US"/>
        </w:rPr>
        <w:t xml:space="preserve"> [Em. 40]</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lastRenderedPageBreak/>
        <w:t>1b.</w:t>
      </w:r>
      <w:r w:rsidRPr="00935BD4">
        <w:rPr>
          <w:szCs w:val="24"/>
          <w:lang w:val="it-IT" w:eastAsia="en-US"/>
        </w:rPr>
        <w:tab/>
      </w:r>
      <w:r w:rsidRPr="00935BD4">
        <w:rPr>
          <w:b/>
          <w:i/>
          <w:szCs w:val="24"/>
          <w:lang w:val="it-IT" w:eastAsia="en-US"/>
        </w:rPr>
        <w:t>B’deroga mill-paragrafu 1, fit-tranżazzjonijiet bejn l-intrapriżi għax-xiri ta’ oġġetti li ma jinbigħux malajr jew oġġetti staġjonali, il-perjodu tal-ħlas jista’ jiġi estiż sa 120 jum kalendarju mid-data tal-wasla tal-fattura jew ta’ talba ekwivalenti għall-ħlas mid-debitur, dment li d-debitur ikun irċieva l-oġġetti.</w:t>
      </w:r>
    </w:p>
    <w:p w:rsidR="00935BD4" w:rsidRPr="00935BD4" w:rsidRDefault="00935BD4" w:rsidP="00935BD4">
      <w:pPr>
        <w:spacing w:before="120" w:after="120" w:line="360" w:lineRule="auto"/>
        <w:ind w:left="850"/>
        <w:rPr>
          <w:b/>
          <w:szCs w:val="24"/>
          <w:lang w:val="it-IT" w:eastAsia="en-US"/>
        </w:rPr>
      </w:pPr>
      <w:r w:rsidRPr="00935BD4">
        <w:rPr>
          <w:b/>
          <w:i/>
          <w:szCs w:val="24"/>
          <w:lang w:val="it-IT" w:eastAsia="en-US"/>
        </w:rPr>
        <w:t xml:space="preserve">Qabel id-data tal-applikazzjoni ta’ dan ir-Regolament, il-Kummissjoni għandha tadotta u tippubblika dokumentazzjoni ta’ gwida teknika dwar id-dettalji prattiċi għall-applikazzjoni ta’ dan il-paragrafu fir-rigward tal-oġġetti li jaqgħu taħt id-definizzjoni ta’ oġġetti li ma jinbigħux malajr stabbilita fl-Artikolu 2(9b) </w:t>
      </w:r>
      <w:proofErr w:type="gramStart"/>
      <w:r w:rsidRPr="00935BD4">
        <w:rPr>
          <w:b/>
          <w:i/>
          <w:szCs w:val="24"/>
          <w:lang w:val="it-IT" w:eastAsia="en-US"/>
        </w:rPr>
        <w:t>u d</w:t>
      </w:r>
      <w:proofErr w:type="gramEnd"/>
      <w:r w:rsidRPr="00935BD4">
        <w:rPr>
          <w:b/>
          <w:i/>
          <w:szCs w:val="24"/>
          <w:lang w:val="it-IT" w:eastAsia="en-US"/>
        </w:rPr>
        <w:t>-definizzjoni ta’ oġġetti staġjonali stabbilita fl-Artikolu 2(9c). Tali dokumentazzjoni ta’ gwida teknika għandha b’mod partikolari tindirizza prattiki diverġenti ta’ ħlas stabbiliti minn operaturi ekonomiċi differenti li jikkonsistu f’riskju ta’ frammentazzjoni tas-suq intern.</w:t>
      </w:r>
      <w:r>
        <w:rPr>
          <w:b/>
          <w:szCs w:val="24"/>
          <w:lang w:val="it-IT" w:eastAsia="en-US"/>
        </w:rPr>
        <w:t xml:space="preserve"> [Em. 41]</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w:t>
      </w:r>
      <w:r w:rsidRPr="00935BD4">
        <w:rPr>
          <w:szCs w:val="24"/>
          <w:lang w:val="it-IT" w:eastAsia="en-US"/>
        </w:rPr>
        <w:tab/>
        <w:t xml:space="preserve">Proċedura tal-aċċettazzjoni jew tal-verifika </w:t>
      </w:r>
      <w:r w:rsidRPr="00935BD4">
        <w:rPr>
          <w:b/>
          <w:i/>
          <w:szCs w:val="24"/>
          <w:lang w:val="it-IT" w:eastAsia="en-US"/>
        </w:rPr>
        <w:t xml:space="preserve">li permezz tagħha l-konformità tal-oġġetti jew tas-servizzi mal-kuntratt trid tiġi aċċertata, </w:t>
      </w:r>
      <w:r w:rsidRPr="00935BD4">
        <w:rPr>
          <w:szCs w:val="24"/>
          <w:lang w:val="it-IT" w:eastAsia="en-US"/>
        </w:rPr>
        <w:t xml:space="preserve">tista’ tkun prevista </w:t>
      </w:r>
      <w:r w:rsidRPr="00935BD4">
        <w:rPr>
          <w:strike/>
          <w:szCs w:val="24"/>
          <w:lang w:val="it-IT" w:eastAsia="en-US"/>
        </w:rPr>
        <w:t xml:space="preserve">b’mod eċċezzjonali </w:t>
      </w:r>
      <w:r w:rsidRPr="00935BD4">
        <w:rPr>
          <w:szCs w:val="24"/>
          <w:lang w:val="it-IT" w:eastAsia="en-US"/>
        </w:rPr>
        <w:t>fil-liġi nazzjonali</w:t>
      </w:r>
      <w:r w:rsidRPr="00935BD4">
        <w:rPr>
          <w:strike/>
          <w:szCs w:val="24"/>
          <w:lang w:val="it-IT" w:eastAsia="en-US"/>
        </w:rPr>
        <w:t xml:space="preserve"> biss</w:t>
      </w:r>
      <w:r w:rsidRPr="00935BD4">
        <w:rPr>
          <w:b/>
          <w:i/>
          <w:szCs w:val="24"/>
          <w:lang w:val="it-IT" w:eastAsia="en-US"/>
        </w:rPr>
        <w:t>,</w:t>
      </w:r>
      <w:r w:rsidRPr="00935BD4">
        <w:rPr>
          <w:szCs w:val="24"/>
          <w:lang w:val="it-IT" w:eastAsia="en-US"/>
        </w:rPr>
        <w:t xml:space="preserve"> meta strettament meħtieġ minħabba n-natura speċifika tal-oġġetti jew tas-servizzi. F’dak il-każ, il-kuntratt għandu jiddeskrivi d-dettalji tal-proċedura tal-aċċettazzjoni jew tal-verifika, inkluż it-tul tagħha.</w:t>
      </w:r>
      <w:r>
        <w:rPr>
          <w:b/>
          <w:szCs w:val="24"/>
          <w:lang w:val="it-IT" w:eastAsia="en-US"/>
        </w:rPr>
        <w:t xml:space="preserve"> [Em. 42]</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3.</w:t>
      </w:r>
      <w:r w:rsidRPr="00935BD4">
        <w:rPr>
          <w:szCs w:val="24"/>
          <w:lang w:val="it-IT" w:eastAsia="en-US"/>
        </w:rPr>
        <w:tab/>
      </w:r>
      <w:proofErr w:type="gramStart"/>
      <w:r w:rsidRPr="00935BD4">
        <w:rPr>
          <w:szCs w:val="24"/>
          <w:lang w:val="it-IT" w:eastAsia="en-US"/>
        </w:rPr>
        <w:t>Meta l</w:t>
      </w:r>
      <w:proofErr w:type="gramEnd"/>
      <w:r w:rsidRPr="00935BD4">
        <w:rPr>
          <w:szCs w:val="24"/>
          <w:lang w:val="it-IT" w:eastAsia="en-US"/>
        </w:rPr>
        <w:t>-kuntratt jipprevedi proċedura tal-aċċettazzjoni jew tal-verifika, f’konformità mal-paragrafu 2</w:t>
      </w:r>
      <w:r w:rsidRPr="00935BD4">
        <w:rPr>
          <w:b/>
          <w:i/>
          <w:szCs w:val="24"/>
          <w:lang w:val="it-IT" w:eastAsia="en-US"/>
        </w:rPr>
        <w:t>, għall-finijiet ta’ dan ir-Regolament</w:t>
      </w:r>
      <w:r w:rsidRPr="00935BD4">
        <w:rPr>
          <w:szCs w:val="24"/>
          <w:lang w:val="it-IT" w:eastAsia="en-US"/>
        </w:rPr>
        <w:t xml:space="preserve">, it-tul massimu ta’ dik il-proċedura ma għandux jaqbeż it-30 jum kalendarju mid-data tal-wasla tal-oġġetti jew tas-servizzi mingħand id-debitur, anki jekk dawk il-oġġetti jew is-servizzi jkunu ngħataw qabel il-ħruġ tal-fattura jew ta’ talba ekwivalenti għall-ħlas. F’dan il-każ, id-debitur għandu jibda l-proċedura tal-aċċettazzjoni jew tal-verifika minnufih malli jirċievi l-oġġetti u/jew is-servizzi mingħand il-kreditur li jkunu l-oġġett tat-tranżazzjoni kummerċjali. Il-perjodu tal-ħlas ma għandux jaqbeż it-30 jum kalendarju wara li tkun </w:t>
      </w:r>
      <w:r w:rsidRPr="00935BD4">
        <w:rPr>
          <w:strike/>
          <w:szCs w:val="24"/>
          <w:lang w:val="it-IT" w:eastAsia="en-US"/>
        </w:rPr>
        <w:t>saret</w:t>
      </w:r>
      <w:r w:rsidRPr="00935BD4">
        <w:rPr>
          <w:b/>
          <w:i/>
          <w:szCs w:val="24"/>
          <w:lang w:val="it-IT" w:eastAsia="en-US"/>
        </w:rPr>
        <w:t>ġiet konkluża</w:t>
      </w:r>
      <w:r w:rsidRPr="00935BD4">
        <w:rPr>
          <w:szCs w:val="24"/>
          <w:lang w:val="it-IT" w:eastAsia="en-US"/>
        </w:rPr>
        <w:t xml:space="preserve"> dik il-proċedura</w:t>
      </w:r>
      <w:r w:rsidRPr="00935BD4">
        <w:rPr>
          <w:b/>
          <w:i/>
          <w:szCs w:val="24"/>
          <w:lang w:val="it-IT" w:eastAsia="en-US"/>
        </w:rPr>
        <w:t xml:space="preserve"> jew wara l-wasla tal-fattura, jew talba ekwivalenti għall-ħlas, jekk din tal-aħħar isseħħ aktar tard</w:t>
      </w:r>
      <w:r w:rsidRPr="00935BD4">
        <w:rPr>
          <w:szCs w:val="24"/>
          <w:lang w:val="it-IT" w:eastAsia="en-US"/>
        </w:rPr>
        <w:t>.</w:t>
      </w:r>
      <w:r>
        <w:rPr>
          <w:b/>
          <w:szCs w:val="24"/>
          <w:lang w:val="it-IT" w:eastAsia="en-US"/>
        </w:rPr>
        <w:t xml:space="preserve"> [Em. 43]</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4.</w:t>
      </w:r>
      <w:r w:rsidRPr="00935BD4">
        <w:rPr>
          <w:szCs w:val="24"/>
          <w:lang w:val="it-IT" w:eastAsia="en-US"/>
        </w:rPr>
        <w:tab/>
        <w:t xml:space="preserve">Il-perjodu tal-ħlas stabbilit </w:t>
      </w:r>
      <w:r w:rsidRPr="00935BD4">
        <w:rPr>
          <w:strike/>
          <w:szCs w:val="24"/>
          <w:lang w:val="it-IT" w:eastAsia="en-US"/>
        </w:rPr>
        <w:t>fil-paragrafu 1</w:t>
      </w:r>
      <w:r w:rsidRPr="00935BD4">
        <w:rPr>
          <w:b/>
          <w:i/>
          <w:szCs w:val="24"/>
          <w:lang w:val="it-IT" w:eastAsia="en-US"/>
        </w:rPr>
        <w:t>fil-paragrafi 1, 1a u 1b</w:t>
      </w:r>
      <w:r w:rsidRPr="00935BD4">
        <w:rPr>
          <w:szCs w:val="24"/>
          <w:lang w:val="it-IT" w:eastAsia="en-US"/>
        </w:rPr>
        <w:t xml:space="preserve"> huwa l-perjodu massimu tal-ħlas u huwa mingħajr preġudizzju għal perjodu iqsar li jista’ jkun previst fil-liġi nazzjonali.</w:t>
      </w:r>
      <w:r>
        <w:rPr>
          <w:b/>
          <w:szCs w:val="24"/>
          <w:lang w:val="it-IT" w:eastAsia="en-US"/>
        </w:rPr>
        <w:t xml:space="preserve"> [Em. 44]</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4a.</w:t>
      </w:r>
      <w:r w:rsidRPr="00935BD4">
        <w:rPr>
          <w:szCs w:val="24"/>
          <w:lang w:val="it-IT" w:eastAsia="en-US"/>
        </w:rPr>
        <w:tab/>
      </w:r>
      <w:r w:rsidRPr="00935BD4">
        <w:rPr>
          <w:b/>
          <w:i/>
          <w:szCs w:val="24"/>
          <w:lang w:val="it-IT" w:eastAsia="en-US"/>
        </w:rPr>
        <w:t>L-Istati Membri għandhom jintroduċu miżuri xierqa biex itejbu l-prattiki ta’ ħlas tal-awtoritajiet pubbliċi lejn l-impriżi. F’dan ir-rigward, l-Istati Membri għandhom iqisu l-introduzzjoni ta’ miżuri biex jiżguraw li intrapriża li hija kreditur skont it-tifsira tal-Artikolu 2(9) tkun tista’ tikseb fuq talba lill-awtorità pubblika li ma tkunx ħallset l-ammont dovut fil-perjodu massimu ta’ ħlas stabbilit fil-paragrafu 1, it-tpaċija tal-ammont dovut ma’ kull ammont pendenti li l-kreditur ikollu lejn l-istess awtorità pubblika.</w:t>
      </w:r>
      <w:r>
        <w:rPr>
          <w:b/>
          <w:szCs w:val="24"/>
          <w:lang w:val="it-IT" w:eastAsia="en-US"/>
        </w:rPr>
        <w:t xml:space="preserve"> [Em. 45]</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lastRenderedPageBreak/>
        <w:t>Artikolu 4</w:t>
      </w:r>
      <w:r w:rsidRPr="00935BD4">
        <w:rPr>
          <w:szCs w:val="24"/>
          <w:lang w:val="it-IT" w:eastAsia="en-US"/>
        </w:rPr>
        <w:br/>
        <w:t>Ħlasijiet lis-sottokuntratturi fl-akkwist pubbliku</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1.</w:t>
      </w:r>
      <w:r w:rsidRPr="00935BD4">
        <w:rPr>
          <w:szCs w:val="24"/>
          <w:lang w:val="it-IT" w:eastAsia="en-US"/>
        </w:rPr>
        <w:tab/>
        <w:t>Għall-kuntratti tax-xogħlijiet pubbliċi li huma fil-kamp ta’ applikazzjoni tad-Direttivi 2014/23/UE, 2014/24/UE, 2014/25/UE, u 2009/81/KE</w:t>
      </w:r>
      <w:r w:rsidRPr="00935BD4">
        <w:rPr>
          <w:szCs w:val="24"/>
          <w:vertAlign w:val="superscript"/>
          <w:lang w:val="en-GB" w:eastAsia="en-US"/>
        </w:rPr>
        <w:footnoteReference w:id="24"/>
      </w:r>
      <w:r w:rsidRPr="00935BD4">
        <w:rPr>
          <w:szCs w:val="24"/>
          <w:lang w:val="it-IT" w:eastAsia="en-US"/>
        </w:rPr>
        <w:t xml:space="preserve"> tal-Parlament Ewropew u tal-Kunsill, il-kuntratturi għandhom jipprovdu evidenza lill-awtoritajiet kontraenti jew lill-entitajiet kontraenti skont it-tifsira ta’ dawk id-Direttivi li, meta applikabbli, dawn ikunu ħallsu lis-sottokuntratturi diretti tagħhom involuti fit-twettiq tal-kuntratt sal-iskadenzi u bil-kundizzjonijiet stabbiliti f’dan ir-Regolament. L-evidenza tista’ tieħu l-forma ta’ dikjarazzjoni bil-miktub mill-kuntrattur u għandha tingħata mill-kuntrattur lill-awtorità kontraenti jew lill-entità kontraenti qabel, jew l-aktar tard flimkien ma’, kwalunkwe talba għall-ħlas.</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2.</w:t>
      </w:r>
      <w:r w:rsidRPr="00935BD4">
        <w:rPr>
          <w:szCs w:val="24"/>
          <w:lang w:val="it-IT" w:eastAsia="en-US"/>
        </w:rPr>
        <w:tab/>
      </w:r>
      <w:proofErr w:type="gramStart"/>
      <w:r w:rsidRPr="00935BD4">
        <w:rPr>
          <w:szCs w:val="24"/>
          <w:lang w:val="it-IT" w:eastAsia="en-US"/>
        </w:rPr>
        <w:t>Meta l</w:t>
      </w:r>
      <w:proofErr w:type="gramEnd"/>
      <w:r w:rsidRPr="00935BD4">
        <w:rPr>
          <w:szCs w:val="24"/>
          <w:lang w:val="it-IT" w:eastAsia="en-US"/>
        </w:rPr>
        <w:t>-awtorità kontraenti jew l-entità kontraenti ma tkunx irċeviet l-evidenza kif previst fil-paragrafu 1 jew ikollha informazzjoni dwar ħlasijiet tard mill-kuntrattur ewlieni lis-sottokuntratturi diretti tiegħu, l-awtorità kontraenti jew l-entità kontraenti għandha tinnotifika lill-awtorità tal-infurzar tal-Istat Membru tagħha dwar dan mingħajr dewmien.</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lastRenderedPageBreak/>
        <w:t>Artikolu 5</w:t>
      </w:r>
      <w:r w:rsidRPr="00935BD4">
        <w:rPr>
          <w:szCs w:val="24"/>
          <w:lang w:val="it-IT" w:eastAsia="en-US"/>
        </w:rPr>
        <w:br/>
        <w:t>Imgħax għall-ħlasijiet tard</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1.</w:t>
      </w:r>
      <w:r w:rsidRPr="00935BD4">
        <w:rPr>
          <w:szCs w:val="24"/>
          <w:lang w:val="it-IT" w:eastAsia="en-US"/>
        </w:rPr>
        <w:tab/>
        <w:t>F’każ ta’ ħlas tard, id-debitur għandu jkun responsabbli li jħallas l-imgħax għall-ħlas tard</w:t>
      </w:r>
      <w:r w:rsidRPr="00935BD4">
        <w:rPr>
          <w:b/>
          <w:i/>
          <w:szCs w:val="24"/>
          <w:lang w:val="it-IT" w:eastAsia="en-US"/>
        </w:rPr>
        <w:t xml:space="preserve"> lill-kreditur</w:t>
      </w:r>
      <w:r w:rsidRPr="00935BD4">
        <w:rPr>
          <w:szCs w:val="24"/>
          <w:lang w:val="it-IT" w:eastAsia="en-US"/>
        </w:rPr>
        <w:t>, għajr meta d-debitur ma jkunx responsabbli għad-dewmien tal-ħlas.</w:t>
      </w:r>
      <w:r>
        <w:rPr>
          <w:b/>
          <w:szCs w:val="24"/>
          <w:lang w:val="it-IT" w:eastAsia="en-US"/>
        </w:rPr>
        <w:t xml:space="preserve"> [Em. 46]</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2.</w:t>
      </w:r>
      <w:r w:rsidRPr="00935BD4">
        <w:rPr>
          <w:szCs w:val="24"/>
          <w:lang w:val="it-IT" w:eastAsia="en-US"/>
        </w:rPr>
        <w:tab/>
        <w:t xml:space="preserve">L-imgħax għall-ħlasijiet tard għandu jkun dovut awtomatikament mid-debitur lill-kreditur, mingħajr </w:t>
      </w:r>
      <w:proofErr w:type="gramStart"/>
      <w:r w:rsidRPr="00935BD4">
        <w:rPr>
          <w:szCs w:val="24"/>
          <w:lang w:val="it-IT" w:eastAsia="en-US"/>
        </w:rPr>
        <w:t>ma l</w:t>
      </w:r>
      <w:proofErr w:type="gramEnd"/>
      <w:r w:rsidRPr="00935BD4">
        <w:rPr>
          <w:szCs w:val="24"/>
          <w:lang w:val="it-IT" w:eastAsia="en-US"/>
        </w:rPr>
        <w:t>-kreditur ikollu għalfejn jibgħat tfakkira, meta jiġu ssodisfati l-kundizzjonijiet li ġejjin:</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(a)</w:t>
      </w:r>
      <w:r w:rsidRPr="00935BD4">
        <w:rPr>
          <w:szCs w:val="24"/>
          <w:lang w:val="it-IT" w:eastAsia="en-US"/>
        </w:rPr>
        <w:tab/>
        <w:t>il-kreditur ikun issodisfa l-obbligi kuntrattwali tiegħu u l-obbligi previsti fil-liġi;</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(b)</w:t>
      </w:r>
      <w:r w:rsidRPr="00935BD4">
        <w:rPr>
          <w:szCs w:val="24"/>
          <w:lang w:val="it-IT" w:eastAsia="en-US"/>
        </w:rPr>
        <w:tab/>
        <w:t>id-debitur ikun irċieva l-fattura jew talba ekwivalenti għall-ħlas;</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(c)</w:t>
      </w:r>
      <w:r w:rsidRPr="00935BD4">
        <w:rPr>
          <w:szCs w:val="24"/>
          <w:lang w:val="it-IT" w:eastAsia="en-US"/>
        </w:rPr>
        <w:tab/>
        <w:t>il-kreditur ma jkunx irċieva l-ammont dovut speċifikat fil-fattura jew fit-talba ekwivalenti għall-ħlas, fil-perjodu tal-ħlas kuntrattwali jew statutorju kif stabbilit fl-Artikolu 3.</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3.</w:t>
      </w:r>
      <w:r w:rsidRPr="00935BD4">
        <w:rPr>
          <w:szCs w:val="24"/>
          <w:lang w:val="it-IT" w:eastAsia="en-US"/>
        </w:rPr>
        <w:tab/>
        <w:t xml:space="preserve">Ma għandux ikun possibbli li l-kreditur jirrinunzja </w:t>
      </w:r>
      <w:r w:rsidRPr="00935BD4">
        <w:rPr>
          <w:strike/>
          <w:szCs w:val="24"/>
          <w:lang w:val="it-IT" w:eastAsia="en-US"/>
        </w:rPr>
        <w:t>d-dritt</w:t>
      </w:r>
      <w:r w:rsidRPr="00935BD4">
        <w:rPr>
          <w:b/>
          <w:i/>
          <w:szCs w:val="24"/>
          <w:lang w:val="it-IT" w:eastAsia="en-US"/>
        </w:rPr>
        <w:t>għad-dritt</w:t>
      </w:r>
      <w:r w:rsidRPr="00935BD4">
        <w:rPr>
          <w:szCs w:val="24"/>
          <w:lang w:val="it-IT" w:eastAsia="en-US"/>
        </w:rPr>
        <w:t xml:space="preserve"> tiegħu li jikseb l-imgħax għall-ħlasijiet tard</w:t>
      </w:r>
      <w:r w:rsidRPr="00935BD4">
        <w:rPr>
          <w:b/>
          <w:i/>
          <w:szCs w:val="24"/>
          <w:lang w:val="it-IT" w:eastAsia="en-US"/>
        </w:rPr>
        <w:t xml:space="preserve"> meta d-debitur ikun awtorità pubblika jew intrapriża kbira</w:t>
      </w:r>
      <w:r w:rsidRPr="00935BD4">
        <w:rPr>
          <w:szCs w:val="24"/>
          <w:lang w:val="it-IT" w:eastAsia="en-US"/>
        </w:rPr>
        <w:t>.</w:t>
      </w:r>
      <w:r>
        <w:rPr>
          <w:b/>
          <w:szCs w:val="24"/>
          <w:lang w:val="it-IT" w:eastAsia="en-US"/>
        </w:rPr>
        <w:t xml:space="preserve"> [Em. 47]</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lastRenderedPageBreak/>
        <w:t>4.</w:t>
      </w:r>
      <w:r w:rsidRPr="00935BD4">
        <w:rPr>
          <w:szCs w:val="24"/>
          <w:lang w:val="it-IT" w:eastAsia="en-US"/>
        </w:rPr>
        <w:tab/>
        <w:t>Id-data tal-wasla tal-fattura jew ta’ talba ekwivalenti għall-ħlas ma għandhiex tkun soġġetta għal ftehim kuntrattwali bejn id-debitur u l-kreditur.</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5.</w:t>
      </w:r>
      <w:r w:rsidRPr="00935BD4">
        <w:rPr>
          <w:szCs w:val="24"/>
          <w:lang w:val="it-IT" w:eastAsia="en-US"/>
        </w:rPr>
        <w:tab/>
        <w:t>Id-debitur għandu jipprovdi l-informazzjoni rilevanti kollha lill-kreditur biex jiżgura li l-fattura tal-kreditur jew it-talba ekwivalenti għall-ħlas tiġi aċċettata u pproċessata mid-debitur malli jirċeviha.</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6.</w:t>
      </w:r>
      <w:r w:rsidRPr="00935BD4">
        <w:rPr>
          <w:szCs w:val="24"/>
          <w:lang w:val="it-IT" w:eastAsia="en-US"/>
        </w:rPr>
        <w:tab/>
        <w:t xml:space="preserve">Meta l-kundizzjonijiet stabbiliti fil-paragrafu 2 jiġu ssodisfati, l-imgħax għall-ħlasijiet tard għandu jibda jakkumula </w:t>
      </w:r>
      <w:r w:rsidRPr="00935BD4">
        <w:rPr>
          <w:strike/>
          <w:szCs w:val="24"/>
          <w:lang w:val="it-IT" w:eastAsia="en-US"/>
        </w:rPr>
        <w:t xml:space="preserve">mill-aħħar avveniment minn dawn li </w:t>
      </w:r>
      <w:proofErr w:type="gramStart"/>
      <w:r w:rsidRPr="00935BD4">
        <w:rPr>
          <w:strike/>
          <w:szCs w:val="24"/>
          <w:lang w:val="it-IT" w:eastAsia="en-US"/>
        </w:rPr>
        <w:t>ġejjin:</w:t>
      </w:r>
      <w:r w:rsidRPr="00935BD4">
        <w:rPr>
          <w:b/>
          <w:i/>
          <w:szCs w:val="24"/>
          <w:lang w:val="it-IT" w:eastAsia="en-US"/>
        </w:rPr>
        <w:t>mill</w:t>
      </w:r>
      <w:proofErr w:type="gramEnd"/>
      <w:r w:rsidRPr="00935BD4">
        <w:rPr>
          <w:b/>
          <w:i/>
          <w:szCs w:val="24"/>
          <w:lang w:val="it-IT" w:eastAsia="en-US"/>
        </w:rPr>
        <w:t>-jum wara li l-perjodu tal-ħlas kuntrattwali jew statutorju jiskadi u f’konformità mal-Artikolu 3.</w:t>
      </w:r>
    </w:p>
    <w:p w:rsidR="00935BD4" w:rsidRPr="00935BD4" w:rsidRDefault="00935BD4" w:rsidP="00935BD4">
      <w:pPr>
        <w:spacing w:before="120" w:after="120" w:line="360" w:lineRule="auto"/>
        <w:ind w:left="1416" w:hanging="566"/>
        <w:rPr>
          <w:szCs w:val="24"/>
          <w:lang w:val="it-IT" w:eastAsia="en-US"/>
        </w:rPr>
      </w:pPr>
      <w:r w:rsidRPr="00935BD4">
        <w:rPr>
          <w:strike/>
          <w:szCs w:val="24"/>
          <w:lang w:val="it-IT" w:eastAsia="en-US"/>
        </w:rPr>
        <w:t>(a)</w:t>
      </w:r>
      <w:r w:rsidRPr="00935BD4">
        <w:rPr>
          <w:szCs w:val="24"/>
          <w:lang w:val="it-IT" w:eastAsia="en-US"/>
        </w:rPr>
        <w:tab/>
      </w:r>
      <w:r w:rsidRPr="00935BD4">
        <w:rPr>
          <w:strike/>
          <w:szCs w:val="24"/>
          <w:lang w:val="it-IT" w:eastAsia="en-US"/>
        </w:rPr>
        <w:t>il-wasla tal-fattura jew ta’ talba ekwivalenti għall-ħlas għand id-debitur;</w:t>
      </w:r>
    </w:p>
    <w:p w:rsidR="00935BD4" w:rsidRPr="00935BD4" w:rsidRDefault="00935BD4" w:rsidP="00935BD4">
      <w:pPr>
        <w:spacing w:before="120" w:after="120" w:line="360" w:lineRule="auto"/>
        <w:ind w:left="1416" w:hanging="566"/>
        <w:rPr>
          <w:b/>
          <w:szCs w:val="24"/>
          <w:lang w:val="it-IT" w:eastAsia="en-US"/>
        </w:rPr>
      </w:pPr>
      <w:r w:rsidRPr="00935BD4">
        <w:rPr>
          <w:strike/>
          <w:szCs w:val="24"/>
          <w:lang w:val="it-IT" w:eastAsia="en-US"/>
        </w:rPr>
        <w:t>(b)</w:t>
      </w:r>
      <w:r w:rsidRPr="00935BD4">
        <w:rPr>
          <w:szCs w:val="24"/>
          <w:lang w:val="it-IT" w:eastAsia="en-US"/>
        </w:rPr>
        <w:tab/>
      </w:r>
      <w:r w:rsidRPr="00935BD4">
        <w:rPr>
          <w:strike/>
          <w:szCs w:val="24"/>
          <w:lang w:val="it-IT" w:eastAsia="en-US"/>
        </w:rPr>
        <w:t>il-wasla tal-oġġetti jew tas-servizzi għand id-debitur.</w:t>
      </w:r>
      <w:r w:rsidRPr="00935BD4">
        <w:rPr>
          <w:b/>
          <w:szCs w:val="24"/>
          <w:lang w:val="it-IT" w:eastAsia="en-US"/>
        </w:rPr>
        <w:t xml:space="preserve"> [Em. 48]</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7.</w:t>
      </w:r>
      <w:r w:rsidRPr="00935BD4">
        <w:rPr>
          <w:szCs w:val="24"/>
          <w:lang w:val="it-IT" w:eastAsia="en-US"/>
        </w:rPr>
        <w:tab/>
        <w:t xml:space="preserve">L-imgħax għall-ħlasijiet tard għandu jakkumula sakemm </w:t>
      </w:r>
      <w:r w:rsidRPr="00935BD4">
        <w:rPr>
          <w:strike/>
          <w:szCs w:val="24"/>
          <w:lang w:val="it-IT" w:eastAsia="en-US"/>
        </w:rPr>
        <w:t>jitħallas l-ammont</w:t>
      </w:r>
      <w:r w:rsidRPr="00935BD4">
        <w:rPr>
          <w:b/>
          <w:i/>
          <w:szCs w:val="24"/>
          <w:lang w:val="it-IT" w:eastAsia="en-US"/>
        </w:rPr>
        <w:t>il-kreditur jirċievi l-ħlas tal-ammont</w:t>
      </w:r>
      <w:r w:rsidRPr="00935BD4">
        <w:rPr>
          <w:szCs w:val="24"/>
          <w:lang w:val="it-IT" w:eastAsia="en-US"/>
        </w:rPr>
        <w:t xml:space="preserve"> dovut.</w:t>
      </w:r>
      <w:r>
        <w:rPr>
          <w:b/>
          <w:szCs w:val="24"/>
          <w:lang w:val="it-IT" w:eastAsia="en-US"/>
        </w:rPr>
        <w:t xml:space="preserve"> [Em. 49]</w:t>
      </w:r>
    </w:p>
    <w:p w:rsidR="00935BD4" w:rsidRPr="00974F93" w:rsidRDefault="00935BD4">
      <w:pPr>
        <w:widowControl/>
        <w:rPr>
          <w:szCs w:val="24"/>
          <w:lang w:val="it-IT" w:eastAsia="en-US"/>
        </w:rPr>
      </w:pPr>
      <w:r w:rsidRPr="00974F93">
        <w:rPr>
          <w:szCs w:val="24"/>
          <w:lang w:val="it-IT" w:eastAsia="en-US"/>
        </w:rPr>
        <w:br w:type="page"/>
      </w:r>
    </w:p>
    <w:p w:rsidR="00935BD4" w:rsidRPr="00974F93" w:rsidRDefault="00935BD4" w:rsidP="00935BD4">
      <w:pPr>
        <w:spacing w:before="120" w:after="120" w:line="360" w:lineRule="auto"/>
        <w:jc w:val="center"/>
        <w:rPr>
          <w:szCs w:val="24"/>
          <w:lang w:val="it-IT" w:eastAsia="en-US"/>
        </w:rPr>
      </w:pPr>
      <w:r w:rsidRPr="00974F93">
        <w:rPr>
          <w:szCs w:val="24"/>
          <w:lang w:val="it-IT" w:eastAsia="en-US"/>
        </w:rPr>
        <w:lastRenderedPageBreak/>
        <w:t>Artikolu 6</w:t>
      </w:r>
      <w:r w:rsidRPr="00974F93">
        <w:rPr>
          <w:szCs w:val="24"/>
          <w:lang w:val="it-IT" w:eastAsia="en-US"/>
        </w:rPr>
        <w:br/>
        <w:t>Rata tal-imgħax għall-ħlasijiet tard</w:t>
      </w:r>
    </w:p>
    <w:p w:rsidR="00935BD4" w:rsidRPr="00974F93" w:rsidRDefault="00935BD4" w:rsidP="00935BD4">
      <w:pPr>
        <w:spacing w:before="120" w:after="120" w:line="360" w:lineRule="auto"/>
        <w:ind w:left="850" w:hanging="850"/>
        <w:rPr>
          <w:szCs w:val="24"/>
          <w:lang w:val="it-IT" w:eastAsia="en-US"/>
        </w:rPr>
      </w:pPr>
      <w:r w:rsidRPr="00974F93">
        <w:rPr>
          <w:szCs w:val="24"/>
          <w:lang w:val="it-IT" w:eastAsia="en-US"/>
        </w:rPr>
        <w:t>1.</w:t>
      </w:r>
      <w:r w:rsidRPr="00974F93">
        <w:rPr>
          <w:szCs w:val="24"/>
          <w:lang w:val="it-IT" w:eastAsia="en-US"/>
        </w:rPr>
        <w:tab/>
        <w:t>L-imgħax għall-ħlasijiet tard għandu daqs ir-rata ta’ referenza miżjuda bi 8 punti perċentwali.</w:t>
      </w:r>
    </w:p>
    <w:p w:rsidR="00935BD4" w:rsidRPr="00974F93" w:rsidRDefault="00935BD4" w:rsidP="00935BD4">
      <w:pPr>
        <w:spacing w:before="120" w:after="120" w:line="360" w:lineRule="auto"/>
        <w:ind w:left="850" w:hanging="850"/>
        <w:rPr>
          <w:szCs w:val="24"/>
          <w:lang w:val="it-IT" w:eastAsia="en-US"/>
        </w:rPr>
      </w:pPr>
      <w:r w:rsidRPr="00974F93">
        <w:rPr>
          <w:szCs w:val="24"/>
          <w:lang w:val="it-IT" w:eastAsia="en-US"/>
        </w:rPr>
        <w:t>2.</w:t>
      </w:r>
      <w:r w:rsidRPr="00974F93">
        <w:rPr>
          <w:szCs w:val="24"/>
          <w:lang w:val="it-IT" w:eastAsia="en-US"/>
        </w:rPr>
        <w:tab/>
        <w:t>L-Istati Membri li l-valuta tagħhom hi l-euro għandhom jiżguraw li r-rata ta’ referenza tkun tikkorrispondi għal waħda minn dawn li ġejjin:</w:t>
      </w:r>
    </w:p>
    <w:p w:rsidR="00935BD4" w:rsidRPr="00974F93" w:rsidRDefault="00935BD4" w:rsidP="00935BD4">
      <w:pPr>
        <w:spacing w:before="120" w:after="120" w:line="360" w:lineRule="auto"/>
        <w:ind w:left="1416" w:hanging="566"/>
        <w:rPr>
          <w:szCs w:val="24"/>
          <w:lang w:val="it-IT" w:eastAsia="en-US"/>
        </w:rPr>
      </w:pPr>
      <w:r w:rsidRPr="00974F93">
        <w:rPr>
          <w:szCs w:val="24"/>
          <w:lang w:val="it-IT" w:eastAsia="en-US"/>
        </w:rPr>
        <w:t>(a)</w:t>
      </w:r>
      <w:r w:rsidRPr="00974F93">
        <w:rPr>
          <w:szCs w:val="24"/>
          <w:lang w:val="it-IT" w:eastAsia="en-US"/>
        </w:rPr>
        <w:tab/>
        <w:t>ir-rata tal-imgħax applikata mill-Bank Ċentrali Ewropew għall-operazzjonijiet ewlenin ta’ rifinanzjament tiegħu.</w:t>
      </w:r>
    </w:p>
    <w:p w:rsidR="00935BD4" w:rsidRPr="00974F93" w:rsidRDefault="00935BD4" w:rsidP="00935BD4">
      <w:pPr>
        <w:spacing w:before="120" w:after="120" w:line="360" w:lineRule="auto"/>
        <w:ind w:left="1416" w:hanging="566"/>
        <w:rPr>
          <w:szCs w:val="24"/>
          <w:lang w:val="it-IT" w:eastAsia="en-US"/>
        </w:rPr>
      </w:pPr>
      <w:r w:rsidRPr="00974F93">
        <w:rPr>
          <w:szCs w:val="24"/>
          <w:lang w:val="it-IT" w:eastAsia="en-US"/>
        </w:rPr>
        <w:t>(b)</w:t>
      </w:r>
      <w:r w:rsidRPr="00974F93">
        <w:rPr>
          <w:szCs w:val="24"/>
          <w:lang w:val="it-IT" w:eastAsia="en-US"/>
        </w:rPr>
        <w:tab/>
        <w:t>ir-rata tal-imgħax marġinali li tirriżulta mill-proċeduri tas-sejħiet għall-offerti b’rata varjabbli għall-aktar operazzjonijiet ewlenin riċenti ta’ rifinanzjament tal-Bank Ċentrali Ewropew;</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3.</w:t>
      </w:r>
      <w:r w:rsidRPr="00935BD4">
        <w:rPr>
          <w:szCs w:val="24"/>
          <w:lang w:val="it-IT" w:eastAsia="en-US"/>
        </w:rPr>
        <w:tab/>
        <w:t>Fl-Istati Membri li l-valuta tagħhom mhix l-euro, ir-rata ta’ referenza ekwivalenti stabbilita mill-bank ċentrali nazzjonali tagħhom;</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4.</w:t>
      </w:r>
      <w:r w:rsidRPr="00935BD4">
        <w:rPr>
          <w:szCs w:val="24"/>
          <w:lang w:val="it-IT" w:eastAsia="en-US"/>
        </w:rPr>
        <w:tab/>
        <w:t>Ir-rata ta’ referenza għall-ewwel semestru tas-sena kkonċernata għandha tkun ir-rata kif determinabbli fl-1 ta’ Jannar ta’ dik is-sena; Ir-rata ta’ referenza għat-tieni semestru tas-sena kkonċernata għandha tkun ir-rata kif determinabbli fl-1 ta’ Lulju ta’ dik is-sena.</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lastRenderedPageBreak/>
        <w:t>Artikolu 7</w:t>
      </w:r>
      <w:r w:rsidRPr="00935BD4">
        <w:rPr>
          <w:szCs w:val="24"/>
          <w:lang w:val="it-IT" w:eastAsia="en-US"/>
        </w:rPr>
        <w:br/>
        <w:t>Skedi tal-ħlas</w:t>
      </w:r>
    </w:p>
    <w:p w:rsidR="00935BD4" w:rsidRPr="00935BD4" w:rsidRDefault="00935BD4" w:rsidP="00935BD4">
      <w:pPr>
        <w:spacing w:before="120" w:after="120" w:line="360" w:lineRule="auto"/>
        <w:rPr>
          <w:szCs w:val="24"/>
          <w:lang w:val="it-IT" w:eastAsia="en-US"/>
        </w:rPr>
      </w:pPr>
      <w:proofErr w:type="gramStart"/>
      <w:r w:rsidRPr="00935BD4">
        <w:rPr>
          <w:szCs w:val="24"/>
          <w:lang w:val="it-IT" w:eastAsia="en-US"/>
        </w:rPr>
        <w:t>Meta l</w:t>
      </w:r>
      <w:proofErr w:type="gramEnd"/>
      <w:r w:rsidRPr="00935BD4">
        <w:rPr>
          <w:szCs w:val="24"/>
          <w:lang w:val="it-IT" w:eastAsia="en-US"/>
        </w:rPr>
        <w:t>-ħlas isir skont skedi li jipprevedu ħlasijiet bin-nifs, u xi wieħed mill-ħlasijiet bin-nifs ma jitħallasx sad-data miftiehma, l-imgħax għall-ħlasijiet tard imsemmi fl-Artikolu 5 għandu jiġi kkalkulat abbażi tal-arretrati kollha. Il-kumpens għandu jitħallas ukoll f’konformità mal-Artikolu 8.</w:t>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t>Artikolu 8</w:t>
      </w:r>
      <w:r w:rsidRPr="00935BD4">
        <w:rPr>
          <w:szCs w:val="24"/>
          <w:lang w:val="it-IT" w:eastAsia="en-US"/>
        </w:rPr>
        <w:br/>
        <w:t>Kumpens għall-kostijiet tal-irkupru</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1.</w:t>
      </w:r>
      <w:r w:rsidRPr="00935BD4">
        <w:rPr>
          <w:szCs w:val="24"/>
          <w:lang w:val="it-IT" w:eastAsia="en-US"/>
        </w:rPr>
        <w:tab/>
      </w:r>
      <w:proofErr w:type="gramStart"/>
      <w:r w:rsidRPr="00935BD4">
        <w:rPr>
          <w:szCs w:val="24"/>
          <w:lang w:val="it-IT" w:eastAsia="en-US"/>
        </w:rPr>
        <w:t>Meta l</w:t>
      </w:r>
      <w:proofErr w:type="gramEnd"/>
      <w:r w:rsidRPr="00935BD4">
        <w:rPr>
          <w:szCs w:val="24"/>
          <w:lang w:val="it-IT" w:eastAsia="en-US"/>
        </w:rPr>
        <w:t>-imgħax għall-ħlasijiet tard isir pagabbli f’konformità mal-Artikolu 5, kull kumpens b’tariffa fissa għall-kostijiet tal-irkupru għandu jkun dovut b’mod awtomatiku mid-debitur lill-kreditur u għandu jammonta għal ammont fiss ta’ EUR 50 għal kull tranżazzjoni kummerċjali</w:t>
      </w:r>
      <w:r w:rsidRPr="00935BD4">
        <w:rPr>
          <w:b/>
          <w:i/>
          <w:szCs w:val="24"/>
          <w:lang w:val="it-IT" w:eastAsia="en-US"/>
        </w:rPr>
        <w:t xml:space="preserve"> ta’ valur bejn EUR 0 u EUR 1 500, EUR 100 għal kull tranżazzjoni kummerċjali unika ta’ valur bejn EUR 1 501 u EUR 15 000, u EUR 150 għal kull tranżazzjoni kummerċjali unika ’l fuq minn EUR 15 000</w:t>
      </w:r>
      <w:r w:rsidRPr="00935BD4">
        <w:rPr>
          <w:szCs w:val="24"/>
          <w:lang w:val="it-IT" w:eastAsia="en-US"/>
        </w:rPr>
        <w:t>.</w:t>
      </w:r>
      <w:r>
        <w:rPr>
          <w:b/>
          <w:szCs w:val="24"/>
          <w:lang w:val="it-IT" w:eastAsia="en-US"/>
        </w:rPr>
        <w:t xml:space="preserve"> [Em. 50]</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w:t>
      </w:r>
      <w:r w:rsidRPr="00935BD4">
        <w:rPr>
          <w:szCs w:val="24"/>
          <w:lang w:val="it-IT" w:eastAsia="en-US"/>
        </w:rPr>
        <w:tab/>
        <w:t>Il-kumpens b’tariffa fissa msemmi fil-paragrafu 1 għandu jkun pagabbli mid-debitur lill-kreditur bħala kumpens għall-kostijiet tal-irkupru tal-kreditur stess</w:t>
      </w:r>
      <w:r w:rsidRPr="00935BD4">
        <w:rPr>
          <w:strike/>
          <w:szCs w:val="24"/>
          <w:lang w:val="it-IT" w:eastAsia="en-US"/>
        </w:rPr>
        <w:t>, mingħajr il-bżonn ta’ tfakkira</w:t>
      </w:r>
      <w:r w:rsidRPr="00935BD4">
        <w:rPr>
          <w:szCs w:val="24"/>
          <w:lang w:val="it-IT" w:eastAsia="en-US"/>
        </w:rPr>
        <w:t>.</w:t>
      </w:r>
      <w:r>
        <w:rPr>
          <w:b/>
          <w:szCs w:val="24"/>
          <w:lang w:val="it-IT" w:eastAsia="en-US"/>
        </w:rPr>
        <w:t xml:space="preserve"> [Em. 51]</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lastRenderedPageBreak/>
        <w:t>3.</w:t>
      </w:r>
      <w:r w:rsidRPr="00935BD4">
        <w:rPr>
          <w:szCs w:val="24"/>
          <w:lang w:val="it-IT" w:eastAsia="en-US"/>
        </w:rPr>
        <w:tab/>
        <w:t>Ma għandux ikun possibbli li l-kreditur jirrinunzja d-dritt tiegħu li jikseb il-kumpens b’tariffa fissa stabbilit fil-paragrafu 1</w:t>
      </w:r>
      <w:r w:rsidRPr="00935BD4">
        <w:rPr>
          <w:b/>
          <w:i/>
          <w:szCs w:val="24"/>
          <w:lang w:val="it-IT" w:eastAsia="en-US"/>
        </w:rPr>
        <w:t>, meta d-debitur ikun awtorità pubblika jew intrapriża kbira</w:t>
      </w:r>
      <w:r w:rsidRPr="00935BD4">
        <w:rPr>
          <w:szCs w:val="24"/>
          <w:lang w:val="it-IT" w:eastAsia="en-US"/>
        </w:rPr>
        <w:t>.</w:t>
      </w:r>
      <w:r>
        <w:rPr>
          <w:b/>
          <w:szCs w:val="24"/>
          <w:lang w:val="it-IT" w:eastAsia="en-US"/>
        </w:rPr>
        <w:t xml:space="preserve"> [Em. 52]</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4.</w:t>
      </w:r>
      <w:r w:rsidRPr="00935BD4">
        <w:rPr>
          <w:szCs w:val="24"/>
          <w:lang w:val="it-IT" w:eastAsia="en-US"/>
        </w:rPr>
        <w:tab/>
        <w:t>Minbarra l-kumpens b’tariffa fissa msemmi fil-paragrafu 1, il-kreditur għandu jkun intitolat li jikseb kumpens raġonevoli mingħand id-debitur għal kull kost tal-irkupru li jaqbeż dak il-kumpens b’tariffa fissa u mġarrab minħabba l-ħlas tard tad-debitur.</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5.</w:t>
      </w:r>
      <w:r w:rsidRPr="00935BD4">
        <w:rPr>
          <w:szCs w:val="24"/>
          <w:lang w:val="it-IT" w:eastAsia="en-US"/>
        </w:rPr>
        <w:tab/>
        <w:t>Dan l-Artikolu għandu japplika mingħajr preġudizzju għad-drittijiet tal-kreditur li jirċievi kumpens ieħor.</w:t>
      </w:r>
    </w:p>
    <w:p w:rsidR="00935BD4" w:rsidRPr="00935BD4" w:rsidRDefault="00935BD4" w:rsidP="00935BD4">
      <w:pPr>
        <w:spacing w:before="120" w:after="120" w:line="360" w:lineRule="auto"/>
        <w:jc w:val="center"/>
        <w:rPr>
          <w:b/>
          <w:szCs w:val="24"/>
          <w:lang w:val="it-IT" w:eastAsia="en-US"/>
        </w:rPr>
      </w:pPr>
      <w:r w:rsidRPr="00935BD4">
        <w:rPr>
          <w:szCs w:val="24"/>
          <w:lang w:val="it-IT" w:eastAsia="en-US"/>
        </w:rPr>
        <w:t>Artikolu 9</w:t>
      </w:r>
      <w:r w:rsidRPr="00935BD4">
        <w:rPr>
          <w:szCs w:val="24"/>
          <w:lang w:val="it-IT" w:eastAsia="en-US"/>
        </w:rPr>
        <w:br/>
      </w:r>
      <w:r w:rsidRPr="00935BD4">
        <w:rPr>
          <w:b/>
          <w:i/>
          <w:szCs w:val="24"/>
          <w:lang w:val="it-IT" w:eastAsia="en-US"/>
        </w:rPr>
        <w:t xml:space="preserve">Projbizzjoni ta’ ċerti </w:t>
      </w:r>
      <w:r w:rsidRPr="00935BD4">
        <w:rPr>
          <w:szCs w:val="24"/>
          <w:lang w:val="it-IT" w:eastAsia="en-US"/>
        </w:rPr>
        <w:t>termini u prattiki kuntrattwali</w:t>
      </w:r>
      <w:r w:rsidRPr="00935BD4">
        <w:rPr>
          <w:strike/>
          <w:szCs w:val="24"/>
          <w:lang w:val="it-IT" w:eastAsia="en-US"/>
        </w:rPr>
        <w:t xml:space="preserve"> nulli u bla effett</w:t>
      </w:r>
      <w:r w:rsidRPr="00935BD4">
        <w:rPr>
          <w:b/>
          <w:szCs w:val="24"/>
          <w:lang w:val="it-IT" w:eastAsia="en-US"/>
        </w:rPr>
        <w:t xml:space="preserve"> [Em. 53]</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1.</w:t>
      </w:r>
      <w:r w:rsidRPr="00935BD4">
        <w:rPr>
          <w:szCs w:val="24"/>
          <w:lang w:val="it-IT" w:eastAsia="en-US"/>
        </w:rPr>
        <w:tab/>
        <w:t>It-termini u l-prattiki kuntrattwali li ġejjin għandhom ikunu nulli u bla effett</w:t>
      </w:r>
      <w:r w:rsidRPr="00935BD4">
        <w:rPr>
          <w:b/>
          <w:i/>
          <w:szCs w:val="24"/>
          <w:lang w:val="it-IT" w:eastAsia="en-US"/>
        </w:rPr>
        <w:t>, u fi kwalunkwe każ għandhom ikunu pprojbiti</w:t>
      </w:r>
      <w:r w:rsidRPr="00935BD4">
        <w:rPr>
          <w:szCs w:val="24"/>
          <w:lang w:val="it-IT" w:eastAsia="en-US"/>
        </w:rPr>
        <w:t>:</w:t>
      </w:r>
      <w:r>
        <w:rPr>
          <w:b/>
          <w:szCs w:val="24"/>
          <w:lang w:val="it-IT" w:eastAsia="en-US"/>
        </w:rPr>
        <w:t xml:space="preserve"> [Em. 54]</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(a)</w:t>
      </w:r>
      <w:r w:rsidRPr="00935BD4">
        <w:rPr>
          <w:szCs w:val="24"/>
          <w:lang w:val="it-IT" w:eastAsia="en-US"/>
        </w:rPr>
        <w:tab/>
        <w:t>l-istabbiliment ta’ perjodu tal-ħlas bi ksur tal-Artikolu 3;</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(b)</w:t>
      </w:r>
      <w:r w:rsidRPr="00935BD4">
        <w:rPr>
          <w:szCs w:val="24"/>
          <w:lang w:val="it-IT" w:eastAsia="en-US"/>
        </w:rPr>
        <w:tab/>
        <w:t>l-esklużjoni jew il-limitazzjoni tad-dritt tal-kreditur li jikseb l-imgħax għall-ħlasijiet tard previst fl-Artikolu 5 jew id-dritt li jikseb kumpens għall-kostijiet tal-irkupru previsti fl-Artikolu 8;</w:t>
      </w:r>
    </w:p>
    <w:p w:rsidR="00935BD4" w:rsidRPr="00974F93" w:rsidRDefault="00935BD4">
      <w:pPr>
        <w:widowControl/>
        <w:rPr>
          <w:b/>
          <w:i/>
          <w:szCs w:val="24"/>
          <w:lang w:val="it-IT" w:eastAsia="en-US"/>
        </w:rPr>
      </w:pPr>
      <w:r w:rsidRPr="00974F93">
        <w:rPr>
          <w:b/>
          <w:i/>
          <w:szCs w:val="24"/>
          <w:lang w:val="it-IT" w:eastAsia="en-US"/>
        </w:rPr>
        <w:br w:type="page"/>
      </w:r>
    </w:p>
    <w:p w:rsidR="00935BD4" w:rsidRPr="00935BD4" w:rsidRDefault="00935BD4" w:rsidP="00935BD4">
      <w:pPr>
        <w:spacing w:before="120" w:after="120" w:line="360" w:lineRule="auto"/>
        <w:ind w:left="1416" w:hanging="566"/>
        <w:rPr>
          <w:szCs w:val="24"/>
          <w:lang w:val="sv-SE" w:eastAsia="en-US"/>
        </w:rPr>
      </w:pPr>
      <w:r w:rsidRPr="00935BD4">
        <w:rPr>
          <w:b/>
          <w:i/>
          <w:szCs w:val="24"/>
          <w:lang w:val="sv-SE" w:eastAsia="en-US"/>
        </w:rPr>
        <w:lastRenderedPageBreak/>
        <w:t>(ba)</w:t>
      </w:r>
      <w:r w:rsidRPr="00935BD4">
        <w:rPr>
          <w:szCs w:val="24"/>
          <w:lang w:val="sv-SE" w:eastAsia="en-US"/>
        </w:rPr>
        <w:tab/>
      </w:r>
      <w:r w:rsidRPr="00935BD4">
        <w:rPr>
          <w:b/>
          <w:i/>
          <w:szCs w:val="24"/>
          <w:lang w:val="sv-SE" w:eastAsia="en-US"/>
        </w:rPr>
        <w:t>l-esklużjoni jew il-limitazzjoni tad-dritt tal-kreditur għal:</w:t>
      </w:r>
    </w:p>
    <w:p w:rsidR="00935BD4" w:rsidRPr="00935BD4" w:rsidRDefault="00935BD4" w:rsidP="00935BD4">
      <w:pPr>
        <w:spacing w:before="120" w:after="120" w:line="360" w:lineRule="auto"/>
        <w:ind w:left="1982" w:hanging="566"/>
        <w:rPr>
          <w:szCs w:val="24"/>
          <w:lang w:val="sv-SE" w:eastAsia="en-US"/>
        </w:rPr>
      </w:pPr>
      <w:r w:rsidRPr="00935BD4">
        <w:rPr>
          <w:b/>
          <w:i/>
          <w:szCs w:val="24"/>
          <w:lang w:val="sv-SE" w:eastAsia="en-US"/>
        </w:rPr>
        <w:t>(i)</w:t>
      </w:r>
      <w:r w:rsidRPr="00935BD4">
        <w:rPr>
          <w:szCs w:val="24"/>
          <w:lang w:val="sv-SE" w:eastAsia="en-US"/>
        </w:rPr>
        <w:tab/>
      </w:r>
      <w:r w:rsidRPr="00935BD4">
        <w:rPr>
          <w:b/>
          <w:i/>
          <w:szCs w:val="24"/>
          <w:lang w:val="sv-SE" w:eastAsia="en-US"/>
        </w:rPr>
        <w:t>assenjazzjonijiet tal-kreditu lil partijiet terzi għall-fini ta’ aċċess għal servizzi ta’ finanzjament;</w:t>
      </w:r>
    </w:p>
    <w:p w:rsidR="00935BD4" w:rsidRPr="00935BD4" w:rsidRDefault="00935BD4" w:rsidP="00935BD4">
      <w:pPr>
        <w:spacing w:before="120" w:after="120" w:line="360" w:lineRule="auto"/>
        <w:ind w:left="1982" w:hanging="566"/>
        <w:rPr>
          <w:b/>
          <w:szCs w:val="24"/>
          <w:lang w:val="sv-SE" w:eastAsia="en-US"/>
        </w:rPr>
      </w:pPr>
      <w:r w:rsidRPr="00935BD4">
        <w:rPr>
          <w:b/>
          <w:i/>
          <w:szCs w:val="24"/>
          <w:lang w:val="sv-SE" w:eastAsia="en-US"/>
        </w:rPr>
        <w:t>(ii)</w:t>
      </w:r>
      <w:r w:rsidRPr="00935BD4">
        <w:rPr>
          <w:szCs w:val="24"/>
          <w:lang w:val="sv-SE" w:eastAsia="en-US"/>
        </w:rPr>
        <w:tab/>
      </w:r>
      <w:r w:rsidRPr="00935BD4">
        <w:rPr>
          <w:b/>
          <w:i/>
          <w:szCs w:val="24"/>
          <w:lang w:val="sv-SE" w:eastAsia="en-US"/>
        </w:rPr>
        <w:t>użu minn ordni eżekuttiva ta’ ħlasijiet maħruġa minn qorti;</w:t>
      </w:r>
      <w:r>
        <w:rPr>
          <w:b/>
          <w:szCs w:val="24"/>
          <w:lang w:val="sv-SE" w:eastAsia="en-US"/>
        </w:rPr>
        <w:t xml:space="preserve"> [Em. 55]</w:t>
      </w:r>
    </w:p>
    <w:p w:rsidR="00935BD4" w:rsidRPr="00935BD4" w:rsidRDefault="00935BD4" w:rsidP="00935BD4">
      <w:pPr>
        <w:spacing w:before="120" w:after="120" w:line="360" w:lineRule="auto"/>
        <w:ind w:left="1416" w:hanging="566"/>
        <w:rPr>
          <w:szCs w:val="24"/>
          <w:lang w:val="sv-SE" w:eastAsia="en-US"/>
        </w:rPr>
      </w:pPr>
      <w:r w:rsidRPr="00935BD4">
        <w:rPr>
          <w:szCs w:val="24"/>
          <w:lang w:val="sv-SE" w:eastAsia="en-US"/>
        </w:rPr>
        <w:t>(c)</w:t>
      </w:r>
      <w:r w:rsidRPr="00935BD4">
        <w:rPr>
          <w:szCs w:val="24"/>
          <w:lang w:val="sv-SE" w:eastAsia="en-US"/>
        </w:rPr>
        <w:tab/>
        <w:t>l-estensjoni tat-tul tal-proċedura tal-verifika jew tal-aċċettazzjoni lil hinn mill-perjodu stabbilit fl-Artikolu 3(3);</w:t>
      </w:r>
    </w:p>
    <w:p w:rsidR="00935BD4" w:rsidRPr="00935BD4" w:rsidRDefault="00935BD4" w:rsidP="00935BD4">
      <w:pPr>
        <w:spacing w:before="120" w:after="120" w:line="360" w:lineRule="auto"/>
        <w:ind w:left="1416" w:hanging="566"/>
        <w:rPr>
          <w:b/>
          <w:szCs w:val="24"/>
          <w:lang w:val="sv-SE" w:eastAsia="en-US"/>
        </w:rPr>
      </w:pPr>
      <w:r w:rsidRPr="00935BD4">
        <w:rPr>
          <w:szCs w:val="24"/>
          <w:lang w:val="sv-SE" w:eastAsia="en-US"/>
        </w:rPr>
        <w:t>(d)</w:t>
      </w:r>
      <w:r w:rsidRPr="00935BD4">
        <w:rPr>
          <w:szCs w:val="24"/>
          <w:lang w:val="sv-SE" w:eastAsia="en-US"/>
        </w:rPr>
        <w:tab/>
      </w:r>
      <w:r w:rsidRPr="00935BD4">
        <w:rPr>
          <w:strike/>
          <w:szCs w:val="24"/>
          <w:lang w:val="sv-SE" w:eastAsia="en-US"/>
        </w:rPr>
        <w:t xml:space="preserve">id-dewmien jew </w:t>
      </w:r>
      <w:r w:rsidRPr="00935BD4">
        <w:rPr>
          <w:szCs w:val="24"/>
          <w:lang w:val="sv-SE" w:eastAsia="en-US"/>
        </w:rPr>
        <w:t xml:space="preserve">il-prevenzjoni </w:t>
      </w:r>
      <w:r w:rsidRPr="00935BD4">
        <w:rPr>
          <w:strike/>
          <w:szCs w:val="24"/>
          <w:lang w:val="sv-SE" w:eastAsia="en-US"/>
        </w:rPr>
        <w:t>intenzjonali</w:t>
      </w:r>
      <w:r w:rsidRPr="00935BD4">
        <w:rPr>
          <w:b/>
          <w:i/>
          <w:szCs w:val="24"/>
          <w:lang w:val="sv-SE" w:eastAsia="en-US"/>
        </w:rPr>
        <w:t>jew il-posponiment</w:t>
      </w:r>
      <w:r w:rsidRPr="00935BD4">
        <w:rPr>
          <w:szCs w:val="24"/>
          <w:lang w:val="sv-SE" w:eastAsia="en-US"/>
        </w:rPr>
        <w:t xml:space="preserve"> tal-mument meta </w:t>
      </w:r>
      <w:r w:rsidRPr="00935BD4">
        <w:rPr>
          <w:b/>
          <w:i/>
          <w:szCs w:val="24"/>
          <w:lang w:val="sv-SE" w:eastAsia="en-US"/>
        </w:rPr>
        <w:t xml:space="preserve">l-fattura </w:t>
      </w:r>
      <w:r w:rsidRPr="00935BD4">
        <w:rPr>
          <w:szCs w:val="24"/>
          <w:lang w:val="sv-SE" w:eastAsia="en-US"/>
        </w:rPr>
        <w:t xml:space="preserve">tintbagħat </w:t>
      </w:r>
      <w:r w:rsidRPr="00935BD4">
        <w:rPr>
          <w:strike/>
          <w:szCs w:val="24"/>
          <w:lang w:val="sv-SE" w:eastAsia="en-US"/>
        </w:rPr>
        <w:t>il-fattura</w:t>
      </w:r>
      <w:r w:rsidRPr="00935BD4">
        <w:rPr>
          <w:b/>
          <w:i/>
          <w:szCs w:val="24"/>
          <w:lang w:val="sv-SE" w:eastAsia="en-US"/>
        </w:rPr>
        <w:t>mid-debitur</w:t>
      </w:r>
      <w:r w:rsidRPr="00935BD4">
        <w:rPr>
          <w:szCs w:val="24"/>
          <w:lang w:val="sv-SE" w:eastAsia="en-US"/>
        </w:rPr>
        <w:t>.</w:t>
      </w:r>
      <w:r>
        <w:rPr>
          <w:b/>
          <w:szCs w:val="24"/>
          <w:lang w:val="sv-SE" w:eastAsia="en-US"/>
        </w:rPr>
        <w:t xml:space="preserve"> [Em. 56]</w:t>
      </w:r>
    </w:p>
    <w:p w:rsidR="00935BD4" w:rsidRPr="00935BD4" w:rsidRDefault="00935BD4" w:rsidP="00935BD4">
      <w:pPr>
        <w:spacing w:before="120" w:after="120" w:line="360" w:lineRule="auto"/>
        <w:ind w:left="1416" w:hanging="566"/>
        <w:rPr>
          <w:b/>
          <w:szCs w:val="24"/>
          <w:lang w:val="sv-SE" w:eastAsia="en-US"/>
        </w:rPr>
      </w:pPr>
      <w:r w:rsidRPr="00935BD4">
        <w:rPr>
          <w:b/>
          <w:i/>
          <w:szCs w:val="24"/>
          <w:lang w:val="sv-SE" w:eastAsia="en-US"/>
        </w:rPr>
        <w:t>(da)</w:t>
      </w:r>
      <w:r w:rsidRPr="00935BD4">
        <w:rPr>
          <w:szCs w:val="24"/>
          <w:lang w:val="sv-SE" w:eastAsia="en-US"/>
        </w:rPr>
        <w:tab/>
      </w:r>
      <w:r w:rsidRPr="00935BD4">
        <w:rPr>
          <w:b/>
          <w:i/>
          <w:szCs w:val="24"/>
          <w:lang w:val="sv-SE" w:eastAsia="en-US"/>
        </w:rPr>
        <w:t>Il-projbizzjoni, l-esklużjoni jew il-limitazzjoni tal-assenjazzjoni tar-riċevibbli lil istituzzjoni finanzjarja rilevanti.</w:t>
      </w:r>
      <w:r>
        <w:rPr>
          <w:b/>
          <w:szCs w:val="24"/>
          <w:lang w:val="sv-SE" w:eastAsia="en-US"/>
        </w:rPr>
        <w:t xml:space="preserve"> [Em. 57]</w:t>
      </w:r>
    </w:p>
    <w:p w:rsidR="00935BD4" w:rsidRPr="00935BD4" w:rsidRDefault="00935BD4" w:rsidP="00935BD4">
      <w:pPr>
        <w:spacing w:before="120" w:after="120" w:line="360" w:lineRule="auto"/>
        <w:ind w:left="1416" w:hanging="566"/>
        <w:rPr>
          <w:b/>
          <w:szCs w:val="24"/>
          <w:lang w:val="sv-SE" w:eastAsia="en-US"/>
        </w:rPr>
      </w:pPr>
      <w:r w:rsidRPr="00935BD4">
        <w:rPr>
          <w:b/>
          <w:i/>
          <w:szCs w:val="24"/>
          <w:lang w:val="sv-SE" w:eastAsia="en-US"/>
        </w:rPr>
        <w:t>(db)</w:t>
      </w:r>
      <w:r w:rsidRPr="00935BD4">
        <w:rPr>
          <w:szCs w:val="24"/>
          <w:lang w:val="sv-SE" w:eastAsia="en-US"/>
        </w:rPr>
        <w:tab/>
      </w:r>
      <w:r w:rsidRPr="00935BD4">
        <w:rPr>
          <w:b/>
          <w:i/>
          <w:szCs w:val="24"/>
          <w:lang w:val="sv-SE" w:eastAsia="en-US"/>
        </w:rPr>
        <w:t>l-użu ta’ mezzi ta’ ħlas li jbiddlu t-termini tal-ħlas.</w:t>
      </w:r>
      <w:r>
        <w:rPr>
          <w:b/>
          <w:szCs w:val="24"/>
          <w:lang w:val="sv-SE" w:eastAsia="en-US"/>
        </w:rPr>
        <w:t xml:space="preserve"> [Em. 58]</w:t>
      </w:r>
    </w:p>
    <w:p w:rsidR="00935BD4" w:rsidRPr="00935BD4" w:rsidRDefault="00935BD4" w:rsidP="00935BD4">
      <w:pPr>
        <w:spacing w:before="120" w:after="120" w:line="360" w:lineRule="auto"/>
        <w:ind w:left="850" w:hanging="850"/>
        <w:rPr>
          <w:szCs w:val="24"/>
          <w:lang w:val="sv-SE" w:eastAsia="en-US"/>
        </w:rPr>
      </w:pPr>
      <w:r w:rsidRPr="00935BD4">
        <w:rPr>
          <w:szCs w:val="24"/>
          <w:lang w:val="sv-SE" w:eastAsia="en-US"/>
        </w:rPr>
        <w:t>2.</w:t>
      </w:r>
      <w:r w:rsidRPr="00935BD4">
        <w:rPr>
          <w:szCs w:val="24"/>
          <w:lang w:val="sv-SE" w:eastAsia="en-US"/>
        </w:rPr>
        <w:tab/>
        <w:t>L-Istati Membri għandhom jiżguraw li jkollhom mezzi adegwati u effettivi biex itemmu t-termini u l-prattiki kuntrattwali msemmija fil-paragrafu 1.</w:t>
      </w:r>
    </w:p>
    <w:p w:rsidR="00935BD4" w:rsidRDefault="00935BD4">
      <w:pPr>
        <w:widowControl/>
        <w:rPr>
          <w:szCs w:val="24"/>
          <w:lang w:val="sv-SE" w:eastAsia="en-US"/>
        </w:rPr>
      </w:pPr>
      <w:r>
        <w:rPr>
          <w:szCs w:val="24"/>
          <w:lang w:val="sv-SE" w:eastAsia="en-US"/>
        </w:rPr>
        <w:br w:type="page"/>
      </w:r>
    </w:p>
    <w:p w:rsidR="00935BD4" w:rsidRPr="00935BD4" w:rsidRDefault="00935BD4" w:rsidP="00935BD4">
      <w:pPr>
        <w:spacing w:before="120" w:after="120" w:line="360" w:lineRule="auto"/>
        <w:ind w:left="850" w:hanging="850"/>
        <w:rPr>
          <w:szCs w:val="24"/>
          <w:lang w:val="sv-SE" w:eastAsia="en-US"/>
        </w:rPr>
      </w:pPr>
      <w:r w:rsidRPr="00935BD4">
        <w:rPr>
          <w:szCs w:val="24"/>
          <w:lang w:val="sv-SE" w:eastAsia="en-US"/>
        </w:rPr>
        <w:lastRenderedPageBreak/>
        <w:t>3.</w:t>
      </w:r>
      <w:r w:rsidRPr="00935BD4">
        <w:rPr>
          <w:szCs w:val="24"/>
          <w:lang w:val="sv-SE" w:eastAsia="en-US"/>
        </w:rPr>
        <w:tab/>
        <w:t>Il-mezzi msemmija fil-paragrafu 2 għandhom jinkludu l-possibbiltà li organizzazzjoni rikonoxxuta uffiċjalment biex tirrappreżenta lill-kredituri jew organizzazzjoni b’interess leġittimu fir-rappreżentanza ta’ intrapriżi jieħdu azzjoni quddiem il-qrati jew quddiem korpi amministrattivi kompetenti.</w:t>
      </w:r>
    </w:p>
    <w:p w:rsidR="00935BD4" w:rsidRPr="00935BD4" w:rsidRDefault="00935BD4" w:rsidP="00935BD4">
      <w:pPr>
        <w:spacing w:before="120" w:after="120" w:line="360" w:lineRule="auto"/>
        <w:jc w:val="center"/>
        <w:rPr>
          <w:szCs w:val="24"/>
          <w:lang w:val="sv-SE" w:eastAsia="en-US"/>
        </w:rPr>
      </w:pPr>
      <w:r w:rsidRPr="00935BD4">
        <w:rPr>
          <w:szCs w:val="24"/>
          <w:lang w:val="sv-SE" w:eastAsia="en-US"/>
        </w:rPr>
        <w:t>Artikolu 10</w:t>
      </w:r>
      <w:r w:rsidRPr="00935BD4">
        <w:rPr>
          <w:szCs w:val="24"/>
          <w:lang w:val="sv-SE" w:eastAsia="en-US"/>
        </w:rPr>
        <w:br/>
        <w:t>Żamma tat-titolu</w:t>
      </w:r>
    </w:p>
    <w:p w:rsidR="00935BD4" w:rsidRPr="00935BD4" w:rsidRDefault="00935BD4" w:rsidP="00935BD4">
      <w:pPr>
        <w:spacing w:before="120" w:after="120" w:line="360" w:lineRule="auto"/>
        <w:rPr>
          <w:szCs w:val="24"/>
          <w:lang w:val="sv-SE" w:eastAsia="en-US"/>
        </w:rPr>
      </w:pPr>
      <w:r w:rsidRPr="00935BD4">
        <w:rPr>
          <w:szCs w:val="24"/>
          <w:lang w:val="sv-SE" w:eastAsia="en-US"/>
        </w:rPr>
        <w:t>Il-kreditur għandu jżomm id-dritt għat-titolu tal-oġġetti sakemm ikunu tħallsu kollha kemm huma, jekk qabel il-forniment tal-oġġetti, id-debitur u l-kreditur kienu ftiehmu espliċitament fuq żamma tat-titolu.</w:t>
      </w:r>
    </w:p>
    <w:p w:rsidR="00935BD4" w:rsidRPr="00935BD4" w:rsidRDefault="00935BD4" w:rsidP="00935BD4">
      <w:pPr>
        <w:spacing w:before="120" w:after="120" w:line="360" w:lineRule="auto"/>
        <w:jc w:val="center"/>
        <w:rPr>
          <w:b/>
          <w:szCs w:val="24"/>
          <w:lang w:val="it-IT" w:eastAsia="en-US"/>
        </w:rPr>
      </w:pPr>
      <w:r w:rsidRPr="00935BD4">
        <w:rPr>
          <w:szCs w:val="24"/>
          <w:lang w:val="it-IT" w:eastAsia="en-US"/>
        </w:rPr>
        <w:t>Artikolu 11</w:t>
      </w:r>
      <w:r w:rsidRPr="00935BD4">
        <w:rPr>
          <w:szCs w:val="24"/>
          <w:lang w:val="it-IT" w:eastAsia="en-US"/>
        </w:rPr>
        <w:br/>
        <w:t>Trasparenza</w:t>
      </w:r>
      <w:r w:rsidRPr="00935BD4">
        <w:rPr>
          <w:b/>
          <w:i/>
          <w:szCs w:val="24"/>
          <w:lang w:val="it-IT" w:eastAsia="en-US"/>
        </w:rPr>
        <w:t xml:space="preserve"> u sensibilizzazzjoni</w:t>
      </w:r>
      <w:r w:rsidRPr="00935BD4">
        <w:rPr>
          <w:b/>
          <w:szCs w:val="24"/>
          <w:lang w:val="it-IT" w:eastAsia="en-US"/>
        </w:rPr>
        <w:t xml:space="preserve"> [Em. </w:t>
      </w:r>
      <w:r>
        <w:rPr>
          <w:b/>
          <w:szCs w:val="24"/>
          <w:lang w:val="it-IT" w:eastAsia="en-US"/>
        </w:rPr>
        <w:t>59</w:t>
      </w:r>
      <w:r w:rsidRPr="00935BD4">
        <w:rPr>
          <w:b/>
          <w:szCs w:val="24"/>
          <w:lang w:val="it-IT" w:eastAsia="en-US"/>
        </w:rPr>
        <w:t>]</w:t>
      </w:r>
    </w:p>
    <w:p w:rsidR="00935BD4" w:rsidRPr="00974F93" w:rsidRDefault="00935BD4" w:rsidP="00935BD4">
      <w:pPr>
        <w:spacing w:before="120" w:after="120" w:line="360" w:lineRule="auto"/>
        <w:ind w:left="850" w:hanging="850"/>
        <w:rPr>
          <w:szCs w:val="24"/>
          <w:lang w:val="it-IT" w:eastAsia="en-US"/>
        </w:rPr>
      </w:pPr>
      <w:r w:rsidRPr="00974F93">
        <w:rPr>
          <w:szCs w:val="24"/>
          <w:lang w:val="it-IT" w:eastAsia="en-US"/>
        </w:rPr>
        <w:t>1.</w:t>
      </w:r>
      <w:r w:rsidRPr="00974F93">
        <w:rPr>
          <w:szCs w:val="24"/>
          <w:lang w:val="it-IT" w:eastAsia="en-US"/>
        </w:rPr>
        <w:tab/>
        <w:t>L-Istati Membri għandhom jiżguraw trasparenza sħiħa rigward id-drittijiet u l-obbligi stabbiliti f’din id-Direttiva, inkluż billi jagħmlu r-rata tal-imgħax statutorja applikabbli għall-ħlasijiet tard għad-dispożizzjoni tal-pubbliku.</w:t>
      </w:r>
    </w:p>
    <w:p w:rsidR="00935BD4" w:rsidRPr="00974F93" w:rsidRDefault="00935BD4" w:rsidP="00935BD4">
      <w:pPr>
        <w:spacing w:before="120" w:after="120" w:line="360" w:lineRule="auto"/>
        <w:ind w:left="850" w:hanging="850"/>
        <w:rPr>
          <w:szCs w:val="24"/>
          <w:lang w:val="it-IT" w:eastAsia="en-US"/>
        </w:rPr>
      </w:pPr>
      <w:r w:rsidRPr="00974F93">
        <w:rPr>
          <w:szCs w:val="24"/>
          <w:lang w:val="it-IT" w:eastAsia="en-US"/>
        </w:rPr>
        <w:t>2.</w:t>
      </w:r>
      <w:r w:rsidRPr="00974F93">
        <w:rPr>
          <w:szCs w:val="24"/>
          <w:lang w:val="it-IT" w:eastAsia="en-US"/>
        </w:rPr>
        <w:tab/>
        <w:t>Il-Kummissjoni għandha tippubblika online ir-rati attwali tal-imgħax għall-ħlasijiet tard li japplikaw fl-Istati Membri.</w:t>
      </w:r>
    </w:p>
    <w:p w:rsidR="00935BD4" w:rsidRPr="00974F93" w:rsidRDefault="00935BD4" w:rsidP="00935BD4">
      <w:pPr>
        <w:spacing w:before="120" w:after="120" w:line="360" w:lineRule="auto"/>
        <w:ind w:left="850" w:hanging="850"/>
        <w:rPr>
          <w:b/>
          <w:szCs w:val="24"/>
          <w:lang w:val="it-IT" w:eastAsia="en-US"/>
        </w:rPr>
      </w:pPr>
      <w:r w:rsidRPr="00974F93">
        <w:rPr>
          <w:b/>
          <w:i/>
          <w:szCs w:val="24"/>
          <w:lang w:val="it-IT" w:eastAsia="en-US"/>
        </w:rPr>
        <w:t>2a.</w:t>
      </w:r>
      <w:r w:rsidRPr="00974F93">
        <w:rPr>
          <w:szCs w:val="24"/>
          <w:lang w:val="it-IT" w:eastAsia="en-US"/>
        </w:rPr>
        <w:tab/>
      </w:r>
      <w:r w:rsidRPr="00974F93">
        <w:rPr>
          <w:b/>
          <w:i/>
          <w:szCs w:val="24"/>
          <w:lang w:val="it-IT" w:eastAsia="en-US"/>
        </w:rPr>
        <w:t>Meta jkun xieraq, l-Istati Membri għandhom jużaw pubblikazzjonijiet professjonali, kampanji ta’ promozzjoni jew kull mezz funzjonali ieħor biex l-intrapriżi jsiru aktar konxji tar-rimedji għall-ħlas tard.</w:t>
      </w:r>
      <w:r w:rsidRPr="00974F93">
        <w:rPr>
          <w:b/>
          <w:szCs w:val="24"/>
          <w:lang w:val="it-IT" w:eastAsia="en-US"/>
        </w:rPr>
        <w:t xml:space="preserve"> [Em. 60]</w:t>
      </w:r>
    </w:p>
    <w:p w:rsidR="00935BD4" w:rsidRPr="00974F93" w:rsidRDefault="00935BD4">
      <w:pPr>
        <w:widowControl/>
        <w:rPr>
          <w:szCs w:val="24"/>
          <w:lang w:val="it-IT" w:eastAsia="en-US"/>
        </w:rPr>
      </w:pPr>
      <w:r w:rsidRPr="00974F93">
        <w:rPr>
          <w:szCs w:val="24"/>
          <w:lang w:val="it-IT" w:eastAsia="en-US"/>
        </w:rPr>
        <w:br w:type="page"/>
      </w:r>
    </w:p>
    <w:p w:rsidR="00935BD4" w:rsidRPr="00974F93" w:rsidRDefault="00935BD4" w:rsidP="00935BD4">
      <w:pPr>
        <w:spacing w:before="120" w:after="120" w:line="360" w:lineRule="auto"/>
        <w:jc w:val="center"/>
        <w:rPr>
          <w:szCs w:val="24"/>
          <w:lang w:val="it-IT" w:eastAsia="en-US"/>
        </w:rPr>
      </w:pPr>
      <w:r w:rsidRPr="00974F93">
        <w:rPr>
          <w:szCs w:val="24"/>
          <w:lang w:val="it-IT" w:eastAsia="en-US"/>
        </w:rPr>
        <w:lastRenderedPageBreak/>
        <w:t>Artikolu 12</w:t>
      </w:r>
      <w:r w:rsidRPr="00974F93">
        <w:rPr>
          <w:szCs w:val="24"/>
          <w:lang w:val="it-IT" w:eastAsia="en-US"/>
        </w:rPr>
        <w:br/>
        <w:t>Proċeduri tal-irkupru għal talbiet mhux kontestati</w:t>
      </w:r>
    </w:p>
    <w:p w:rsidR="00935BD4" w:rsidRPr="00974F93" w:rsidRDefault="00935BD4" w:rsidP="00935BD4">
      <w:pPr>
        <w:spacing w:before="120" w:after="120" w:line="360" w:lineRule="auto"/>
        <w:ind w:left="850" w:hanging="850"/>
        <w:rPr>
          <w:b/>
          <w:szCs w:val="24"/>
          <w:lang w:val="it-IT" w:eastAsia="en-US"/>
        </w:rPr>
      </w:pPr>
      <w:r w:rsidRPr="00974F93">
        <w:rPr>
          <w:szCs w:val="24"/>
          <w:lang w:val="it-IT" w:eastAsia="en-US"/>
        </w:rPr>
        <w:t>1.</w:t>
      </w:r>
      <w:r w:rsidRPr="00974F93">
        <w:rPr>
          <w:szCs w:val="24"/>
          <w:lang w:val="it-IT" w:eastAsia="en-US"/>
        </w:rPr>
        <w:tab/>
        <w:t xml:space="preserve">Il-kredituri għandhom jiksbu titolu infurzabbli, inkluż bi proċedura rapida u irrispettivament mill-ammont tad-dejn, fi żmien </w:t>
      </w:r>
      <w:r w:rsidRPr="00974F93">
        <w:rPr>
          <w:strike/>
          <w:szCs w:val="24"/>
          <w:lang w:val="it-IT" w:eastAsia="en-US"/>
        </w:rPr>
        <w:t>90</w:t>
      </w:r>
      <w:r w:rsidRPr="00974F93">
        <w:rPr>
          <w:b/>
          <w:i/>
          <w:szCs w:val="24"/>
          <w:lang w:val="it-IT" w:eastAsia="en-US"/>
        </w:rPr>
        <w:t>60</w:t>
      </w:r>
      <w:r w:rsidRPr="00974F93">
        <w:rPr>
          <w:szCs w:val="24"/>
          <w:lang w:val="it-IT" w:eastAsia="en-US"/>
        </w:rPr>
        <w:t xml:space="preserve"> jum kalendarju minn meta tinbeda l-azzjoni jew minn meta titressaq l-applikazzjoni tal-kreditur quddiem il-qorti jew quddiem awtorità kompetenti oħra, diment li d-dejn jew l-proċedura ma jkunux ikkontestati.</w:t>
      </w:r>
      <w:r w:rsidRPr="00974F93">
        <w:rPr>
          <w:b/>
          <w:szCs w:val="24"/>
          <w:lang w:val="it-IT" w:eastAsia="en-US"/>
        </w:rPr>
        <w:t xml:space="preserve"> [Em. 61]</w:t>
      </w:r>
    </w:p>
    <w:p w:rsidR="00935BD4" w:rsidRPr="00974F93" w:rsidRDefault="00935BD4" w:rsidP="00935BD4">
      <w:pPr>
        <w:spacing w:before="120" w:after="120" w:line="360" w:lineRule="auto"/>
        <w:ind w:left="850" w:hanging="850"/>
        <w:rPr>
          <w:szCs w:val="24"/>
          <w:lang w:val="it-IT" w:eastAsia="en-US"/>
        </w:rPr>
      </w:pPr>
      <w:r w:rsidRPr="00974F93">
        <w:rPr>
          <w:szCs w:val="24"/>
          <w:lang w:val="it-IT" w:eastAsia="en-US"/>
        </w:rPr>
        <w:t>2.</w:t>
      </w:r>
      <w:r w:rsidRPr="00974F93">
        <w:rPr>
          <w:szCs w:val="24"/>
          <w:lang w:val="it-IT" w:eastAsia="en-US"/>
        </w:rPr>
        <w:tab/>
        <w:t>Fil-kalkolu tal-perjodu msemmi fil-paragrafu 1, ma għandhomx jitqiesu:</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(a)</w:t>
      </w:r>
      <w:r w:rsidRPr="00935BD4">
        <w:rPr>
          <w:szCs w:val="24"/>
          <w:lang w:val="it-IT" w:eastAsia="en-US"/>
        </w:rPr>
        <w:tab/>
        <w:t>il-perjodi tan-notifika tad-dokumenti;</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(b)</w:t>
      </w:r>
      <w:r w:rsidRPr="00935BD4">
        <w:rPr>
          <w:szCs w:val="24"/>
          <w:lang w:val="it-IT" w:eastAsia="en-US"/>
        </w:rPr>
        <w:tab/>
        <w:t>kull dewmien ikkawżat mill-kreditur.</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3.</w:t>
      </w:r>
      <w:r w:rsidRPr="00935BD4">
        <w:rPr>
          <w:szCs w:val="24"/>
          <w:lang w:val="it-IT" w:eastAsia="en-US"/>
        </w:rPr>
        <w:tab/>
        <w:t>Dan l-Artikolu għandu jkun mingħajr preġudizzju għad-dispożizzjonijiet tar-Regolament (KE) Nru 1896/2006</w:t>
      </w:r>
      <w:r w:rsidRPr="00935BD4">
        <w:rPr>
          <w:b/>
          <w:i/>
          <w:szCs w:val="24"/>
          <w:lang w:val="it-IT" w:eastAsia="en-US"/>
        </w:rPr>
        <w:t xml:space="preserve"> u tar-Regolament (KE) Nru 861/2007</w:t>
      </w:r>
      <w:r w:rsidRPr="00935BD4">
        <w:rPr>
          <w:szCs w:val="24"/>
          <w:lang w:val="it-IT" w:eastAsia="en-US"/>
        </w:rPr>
        <w:t>.</w:t>
      </w:r>
      <w:r>
        <w:rPr>
          <w:b/>
          <w:szCs w:val="24"/>
          <w:lang w:val="it-IT" w:eastAsia="en-US"/>
        </w:rPr>
        <w:t xml:space="preserve"> [Em. 62]</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lastRenderedPageBreak/>
        <w:t>Artikolu 13</w:t>
      </w:r>
      <w:r w:rsidRPr="00935BD4">
        <w:rPr>
          <w:szCs w:val="24"/>
          <w:lang w:val="it-IT" w:eastAsia="en-US"/>
        </w:rPr>
        <w:br/>
        <w:t>Awtoritajiet tal-infurzar</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1.</w:t>
      </w:r>
      <w:r w:rsidRPr="00935BD4">
        <w:rPr>
          <w:szCs w:val="24"/>
          <w:lang w:val="it-IT" w:eastAsia="en-US"/>
        </w:rPr>
        <w:tab/>
        <w:t>Kull Stat Membru għandu jiddeżinja awtorità waħda jew aktar responsabbli għall-infurzar ta’ dan ir-Regolament (“awtorità tal-infurzar”)</w:t>
      </w:r>
      <w:r w:rsidRPr="00935BD4">
        <w:rPr>
          <w:b/>
          <w:i/>
          <w:szCs w:val="24"/>
          <w:lang w:val="it-IT" w:eastAsia="en-US"/>
        </w:rPr>
        <w:t xml:space="preserve"> u jinnotifika lill-Kummissjoni dwarhom mingħajr dewmien żejjed</w:t>
      </w:r>
      <w:r w:rsidRPr="00935BD4">
        <w:rPr>
          <w:szCs w:val="24"/>
          <w:lang w:val="it-IT" w:eastAsia="en-US"/>
        </w:rPr>
        <w:t>.</w:t>
      </w:r>
      <w:r w:rsidRPr="00935BD4">
        <w:rPr>
          <w:b/>
          <w:i/>
          <w:szCs w:val="24"/>
          <w:lang w:val="it-IT" w:eastAsia="en-US"/>
        </w:rPr>
        <w:t xml:space="preserve"> L-Istati Membri għandhom jipprovdu lill-awtoritajiet b’riżorsi umani, tekniċi u finanzjarji xierqa biex iwettqu l-kompiti tagħhom u jużaw is-setgħat tagħhom b’mod effiċjenti.</w:t>
      </w:r>
      <w:r>
        <w:rPr>
          <w:b/>
          <w:szCs w:val="24"/>
          <w:lang w:val="it-IT" w:eastAsia="en-US"/>
        </w:rPr>
        <w:t xml:space="preserve"> [Em. 63]</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1a.</w:t>
      </w:r>
      <w:r w:rsidRPr="00935BD4">
        <w:rPr>
          <w:szCs w:val="24"/>
          <w:lang w:val="it-IT" w:eastAsia="en-US"/>
        </w:rPr>
        <w:tab/>
      </w:r>
      <w:r w:rsidRPr="00935BD4">
        <w:rPr>
          <w:b/>
          <w:i/>
          <w:szCs w:val="24"/>
          <w:lang w:val="it-IT" w:eastAsia="en-US"/>
        </w:rPr>
        <w:t>L-awtoritajiet tal-infurzar għandhom ikunu indipendenti minn awtoritajiet pubbliċi oħra inklużi dawk involuti fil-proċeduri tal-akkwist pubbliku.</w:t>
      </w:r>
      <w:r>
        <w:rPr>
          <w:b/>
          <w:szCs w:val="24"/>
          <w:lang w:val="it-IT" w:eastAsia="en-US"/>
        </w:rPr>
        <w:t xml:space="preserve"> [Em. 64]</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2.</w:t>
      </w:r>
      <w:r w:rsidRPr="00935BD4">
        <w:rPr>
          <w:szCs w:val="24"/>
          <w:lang w:val="it-IT" w:eastAsia="en-US"/>
        </w:rPr>
        <w:tab/>
        <w:t xml:space="preserve">Skont kif ikun xieraq, l-awtoritajiet tal-infurzar għandhom jieħdu l-miżuri </w:t>
      </w:r>
      <w:r w:rsidRPr="00935BD4">
        <w:rPr>
          <w:b/>
          <w:i/>
          <w:szCs w:val="24"/>
          <w:lang w:val="it-IT" w:eastAsia="en-US"/>
        </w:rPr>
        <w:t xml:space="preserve">proporzjonati </w:t>
      </w:r>
      <w:r w:rsidRPr="00935BD4">
        <w:rPr>
          <w:szCs w:val="24"/>
          <w:lang w:val="it-IT" w:eastAsia="en-US"/>
        </w:rPr>
        <w:t>meħtieġa biex jiżguraw l-osservanza tal-iskadenzi tal-ħlasijiet.</w:t>
      </w:r>
      <w:r>
        <w:rPr>
          <w:b/>
          <w:szCs w:val="24"/>
          <w:lang w:val="it-IT" w:eastAsia="en-US"/>
        </w:rPr>
        <w:t xml:space="preserve"> [Em. 65]</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3.</w:t>
      </w:r>
      <w:r w:rsidRPr="00935BD4">
        <w:rPr>
          <w:szCs w:val="24"/>
          <w:lang w:val="it-IT" w:eastAsia="en-US"/>
        </w:rPr>
        <w:tab/>
        <w:t>L-awtoritajiet tal-infurzar għandhom jikkooperaw bejniethom u mal-Kummissjoni b’mod effettiv, u għandhom jipprovdu assistenza reċiproka lil xulxin fl-investigazzjonijiet li jkollhom dimensjoni transfruntiera.</w:t>
      </w:r>
      <w:r w:rsidRPr="00935BD4">
        <w:rPr>
          <w:b/>
          <w:i/>
          <w:szCs w:val="24"/>
          <w:lang w:val="it-IT" w:eastAsia="en-US"/>
        </w:rPr>
        <w:t xml:space="preserve"> Il-Kummissjoni għandha tiffaċilita l-kooperazzjoni effettiva tal-awtoritajiet tal-infurzar.</w:t>
      </w:r>
      <w:r>
        <w:rPr>
          <w:b/>
          <w:szCs w:val="24"/>
          <w:lang w:val="it-IT" w:eastAsia="en-US"/>
        </w:rPr>
        <w:t xml:space="preserve"> [Em. 66]</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lastRenderedPageBreak/>
        <w:t>3a.</w:t>
      </w:r>
      <w:r w:rsidRPr="00935BD4">
        <w:rPr>
          <w:szCs w:val="24"/>
          <w:lang w:val="it-IT" w:eastAsia="en-US"/>
        </w:rPr>
        <w:tab/>
      </w:r>
      <w:r w:rsidRPr="00935BD4">
        <w:rPr>
          <w:b/>
          <w:i/>
          <w:szCs w:val="24"/>
          <w:lang w:val="it-IT" w:eastAsia="en-US"/>
        </w:rPr>
        <w:t>L-awtoritajiet tal-infurzar għandhom jagħmlu disponibbli għall-pubbliku l-informazzjoni aggregata dwar l-għadd ta’ lmenti ppreżentati kontra intrapriżi u awtoritajiet pubbliċi minħabba l-ksur tal-Artikolu 3 ta’ dan ir-Regolament.</w:t>
      </w:r>
      <w:r>
        <w:rPr>
          <w:b/>
          <w:szCs w:val="24"/>
          <w:lang w:val="it-IT" w:eastAsia="en-US"/>
        </w:rPr>
        <w:t xml:space="preserve"> [Em. 67]</w:t>
      </w:r>
    </w:p>
    <w:p w:rsidR="00935BD4" w:rsidRPr="00935BD4" w:rsidRDefault="00935BD4" w:rsidP="00935BD4">
      <w:pPr>
        <w:spacing w:before="120" w:after="120" w:line="360" w:lineRule="auto"/>
        <w:ind w:left="850" w:hanging="850"/>
        <w:rPr>
          <w:szCs w:val="24"/>
          <w:lang w:val="it-IT" w:eastAsia="en-US"/>
        </w:rPr>
      </w:pPr>
      <w:r w:rsidRPr="00935BD4">
        <w:rPr>
          <w:szCs w:val="24"/>
          <w:lang w:val="it-IT" w:eastAsia="en-US"/>
        </w:rPr>
        <w:t>4.</w:t>
      </w:r>
      <w:r w:rsidRPr="00935BD4">
        <w:rPr>
          <w:szCs w:val="24"/>
          <w:lang w:val="it-IT" w:eastAsia="en-US"/>
        </w:rPr>
        <w:tab/>
        <w:t>L-awtoritajiet tal-infurzar għandhom jikkoordinaw l-attivitajiet tagħhom ma’ awtoritajiet oħra responsabbli għall-infurzar ta’ leġiżlazzjoni oħra tal-Unjoni jew nazzjonali, inkluż b’obbligi tal-iskambju tal-informazzjoni.</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5.</w:t>
      </w:r>
      <w:r w:rsidRPr="00935BD4">
        <w:rPr>
          <w:szCs w:val="24"/>
          <w:lang w:val="it-IT" w:eastAsia="en-US"/>
        </w:rPr>
        <w:tab/>
      </w:r>
      <w:r w:rsidRPr="00935BD4">
        <w:rPr>
          <w:b/>
          <w:i/>
          <w:szCs w:val="24"/>
          <w:lang w:val="it-IT" w:eastAsia="en-US"/>
        </w:rPr>
        <w:t xml:space="preserve">Fejn xieraq, </w:t>
      </w:r>
      <w:r w:rsidRPr="00935BD4">
        <w:rPr>
          <w:szCs w:val="24"/>
          <w:lang w:val="it-IT" w:eastAsia="en-US"/>
        </w:rPr>
        <w:t>l-awtoritajiet tal-infurzar għandhom jibagħtu l-ilmenti li jirċievu rigward ħlasijiet tard fis-settur agrikolu u alimentari lill-awtoritajiet kompetenti tal-infurzar skont id-Direttiva (UE) 2019/633.</w:t>
      </w:r>
      <w:r>
        <w:rPr>
          <w:b/>
          <w:szCs w:val="24"/>
          <w:lang w:val="it-IT" w:eastAsia="en-US"/>
        </w:rPr>
        <w:t xml:space="preserve"> [Em. 68]</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5a.</w:t>
      </w:r>
      <w:r w:rsidRPr="00935BD4">
        <w:rPr>
          <w:szCs w:val="24"/>
          <w:lang w:val="it-IT" w:eastAsia="en-US"/>
        </w:rPr>
        <w:tab/>
      </w:r>
      <w:r w:rsidRPr="00935BD4">
        <w:rPr>
          <w:b/>
          <w:i/>
          <w:szCs w:val="24"/>
          <w:lang w:val="it-IT" w:eastAsia="en-US"/>
        </w:rPr>
        <w:t>Dan l-Artikolu għandu jkun mingħajr preġudizzju għad-dispożizzjonijiet tar-Regolament (KE) Nru 805/2004, (KE) 1896/2006, (KE) 861/2007 u (UE) 1215/2012.</w:t>
      </w:r>
      <w:r>
        <w:rPr>
          <w:b/>
          <w:szCs w:val="24"/>
          <w:lang w:val="it-IT" w:eastAsia="en-US"/>
        </w:rPr>
        <w:t xml:space="preserve"> [Em. 69]</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lastRenderedPageBreak/>
        <w:t>Artikolu 14</w:t>
      </w:r>
      <w:r w:rsidRPr="00935BD4">
        <w:rPr>
          <w:szCs w:val="24"/>
          <w:lang w:val="it-IT" w:eastAsia="en-US"/>
        </w:rPr>
        <w:br/>
        <w:t>Setgħat tal-awtoritajiet tal-infurzar</w:t>
      </w:r>
    </w:p>
    <w:p w:rsidR="00935BD4" w:rsidRPr="00935BD4" w:rsidRDefault="00935BD4" w:rsidP="00935BD4">
      <w:pPr>
        <w:spacing w:before="120" w:after="120" w:line="360" w:lineRule="auto"/>
        <w:ind w:left="850" w:hanging="850"/>
        <w:rPr>
          <w:b/>
          <w:szCs w:val="24"/>
          <w:lang w:val="it-IT" w:eastAsia="en-US"/>
        </w:rPr>
      </w:pPr>
      <w:r w:rsidRPr="00935BD4">
        <w:rPr>
          <w:szCs w:val="24"/>
          <w:lang w:val="it-IT" w:eastAsia="en-US"/>
        </w:rPr>
        <w:t>1.</w:t>
      </w:r>
      <w:r w:rsidRPr="00935BD4">
        <w:rPr>
          <w:szCs w:val="24"/>
          <w:lang w:val="it-IT" w:eastAsia="en-US"/>
        </w:rPr>
        <w:tab/>
        <w:t xml:space="preserve">L-awtoritajiet tal-infurzar għandu jkollhom ir-riżorsi </w:t>
      </w:r>
      <w:r w:rsidRPr="00935BD4">
        <w:rPr>
          <w:b/>
          <w:i/>
          <w:szCs w:val="24"/>
          <w:lang w:val="it-IT" w:eastAsia="en-US"/>
        </w:rPr>
        <w:t xml:space="preserve">umani, finanzjarji u tekniċi </w:t>
      </w:r>
      <w:r w:rsidRPr="00935BD4">
        <w:rPr>
          <w:szCs w:val="24"/>
          <w:lang w:val="it-IT" w:eastAsia="en-US"/>
        </w:rPr>
        <w:t>u l-għarfien espert meħtieġa biex jaqdu dmirijiethom</w:t>
      </w:r>
      <w:r w:rsidRPr="00935BD4">
        <w:rPr>
          <w:b/>
          <w:i/>
          <w:szCs w:val="24"/>
          <w:lang w:val="it-IT" w:eastAsia="en-US"/>
        </w:rPr>
        <w:t xml:space="preserve"> b’mod effettiv</w:t>
      </w:r>
      <w:r w:rsidRPr="00935BD4">
        <w:rPr>
          <w:szCs w:val="24"/>
          <w:lang w:val="it-IT" w:eastAsia="en-US"/>
        </w:rPr>
        <w:t>, u għandu jkollhom is-setgħat li ġejjin:</w:t>
      </w:r>
      <w:r>
        <w:rPr>
          <w:b/>
          <w:szCs w:val="24"/>
          <w:lang w:val="it-IT" w:eastAsia="en-US"/>
        </w:rPr>
        <w:t xml:space="preserve"> [Em. 70]</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(a)</w:t>
      </w:r>
      <w:r w:rsidRPr="00935BD4">
        <w:rPr>
          <w:szCs w:val="24"/>
          <w:lang w:val="it-IT" w:eastAsia="en-US"/>
        </w:rPr>
        <w:tab/>
        <w:t>is-setgħa li jibdew u jwettqu investigazzjonijiet b’inizjattiva tagħhom stess jew wara lment;</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(b)</w:t>
      </w:r>
      <w:r w:rsidRPr="00935BD4">
        <w:rPr>
          <w:szCs w:val="24"/>
          <w:lang w:val="it-IT" w:eastAsia="en-US"/>
        </w:rPr>
        <w:tab/>
        <w:t>is-setgħa li jeżiġu lill-kredituri u lid-debituri jipprovdu l-informazzjoni kollha meħtieġa biex iwettqu investigazzjonijiet relatati ma’ ħlasijiet tard fit-tranżazzjonijiet kummerċjali;</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(c)</w:t>
      </w:r>
      <w:r w:rsidRPr="00935BD4">
        <w:rPr>
          <w:szCs w:val="24"/>
          <w:lang w:val="it-IT" w:eastAsia="en-US"/>
        </w:rPr>
        <w:tab/>
        <w:t>is-setgħa li jwettqu spezzjonijiet fuq il-post għal għarrieda fil-qafas tal-investigazzjonijiet tagħhom;</w:t>
      </w:r>
    </w:p>
    <w:p w:rsidR="00935BD4" w:rsidRPr="00935BD4" w:rsidRDefault="00935BD4" w:rsidP="00935BD4">
      <w:pPr>
        <w:spacing w:before="120" w:after="120" w:line="360" w:lineRule="auto"/>
        <w:ind w:left="1416" w:hanging="566"/>
        <w:rPr>
          <w:b/>
          <w:szCs w:val="24"/>
          <w:lang w:val="it-IT" w:eastAsia="en-US"/>
        </w:rPr>
      </w:pPr>
      <w:r w:rsidRPr="00935BD4">
        <w:rPr>
          <w:szCs w:val="24"/>
          <w:lang w:val="it-IT" w:eastAsia="en-US"/>
        </w:rPr>
        <w:t>(d)</w:t>
      </w:r>
      <w:r w:rsidRPr="00935BD4">
        <w:rPr>
          <w:szCs w:val="24"/>
          <w:lang w:val="it-IT" w:eastAsia="en-US"/>
        </w:rPr>
        <w:tab/>
        <w:t xml:space="preserve">is-setgħa li jieħdu deċiżjonijiet dwar sejbien ta’ ksur ta’ dan ir-Regolament u li jitolbu lid-debitur iħallas l-imgħax </w:t>
      </w:r>
      <w:r w:rsidRPr="00935BD4">
        <w:rPr>
          <w:strike/>
          <w:szCs w:val="24"/>
          <w:lang w:val="it-IT" w:eastAsia="en-US"/>
        </w:rPr>
        <w:t>għal-ħlasijiet</w:t>
      </w:r>
      <w:r w:rsidRPr="00935BD4">
        <w:rPr>
          <w:b/>
          <w:i/>
          <w:szCs w:val="24"/>
          <w:lang w:val="it-IT" w:eastAsia="en-US"/>
        </w:rPr>
        <w:t>għal ħlasijiet</w:t>
      </w:r>
      <w:r w:rsidRPr="00935BD4">
        <w:rPr>
          <w:szCs w:val="24"/>
          <w:lang w:val="it-IT" w:eastAsia="en-US"/>
        </w:rPr>
        <w:t xml:space="preserve"> tard kif previst fl-Artikolu 5 jew li jitolbu lid-debitur jikkumpensa lill-kreditur kif previst fl-Artikolu 8</w:t>
      </w:r>
      <w:r w:rsidRPr="00935BD4">
        <w:rPr>
          <w:b/>
          <w:i/>
          <w:szCs w:val="24"/>
          <w:lang w:val="it-IT" w:eastAsia="en-US"/>
        </w:rPr>
        <w:t xml:space="preserve"> jew it-tnejn li huma</w:t>
      </w:r>
      <w:r w:rsidRPr="00935BD4">
        <w:rPr>
          <w:szCs w:val="24"/>
          <w:lang w:val="it-IT" w:eastAsia="en-US"/>
        </w:rPr>
        <w:t>;</w:t>
      </w:r>
      <w:r>
        <w:rPr>
          <w:b/>
          <w:szCs w:val="24"/>
          <w:lang w:val="it-IT" w:eastAsia="en-US"/>
        </w:rPr>
        <w:t xml:space="preserve"> [Em. 71]</w:t>
      </w:r>
    </w:p>
    <w:p w:rsidR="00935BD4" w:rsidRDefault="00935BD4">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lastRenderedPageBreak/>
        <w:t>(e)</w:t>
      </w:r>
      <w:r w:rsidRPr="00935BD4">
        <w:rPr>
          <w:szCs w:val="24"/>
          <w:lang w:val="it-IT" w:eastAsia="en-US"/>
        </w:rPr>
        <w:tab/>
        <w:t>is-setgħa li jimponu jew jibdew proċedimenti li jimponu multi u penali oħra u miżuri interim fuq is-suġġetti responsabbli għall-ksur;</w:t>
      </w:r>
    </w:p>
    <w:p w:rsidR="00935BD4" w:rsidRPr="00935BD4" w:rsidRDefault="00935BD4" w:rsidP="00935BD4">
      <w:pPr>
        <w:spacing w:before="120" w:after="120" w:line="360" w:lineRule="auto"/>
        <w:ind w:left="1416" w:hanging="566"/>
        <w:rPr>
          <w:szCs w:val="24"/>
          <w:lang w:val="nl-NL" w:eastAsia="en-US"/>
        </w:rPr>
      </w:pPr>
      <w:r w:rsidRPr="00935BD4">
        <w:rPr>
          <w:szCs w:val="24"/>
          <w:lang w:val="nl-NL" w:eastAsia="en-US"/>
        </w:rPr>
        <w:t>(f)</w:t>
      </w:r>
      <w:r w:rsidRPr="00935BD4">
        <w:rPr>
          <w:szCs w:val="24"/>
          <w:lang w:val="nl-NL" w:eastAsia="en-US"/>
        </w:rPr>
        <w:tab/>
        <w:t>is-setgħa li jitolbu lid-debitur itemm il-ksur;</w:t>
      </w:r>
    </w:p>
    <w:p w:rsidR="00935BD4" w:rsidRPr="00935BD4" w:rsidRDefault="00935BD4" w:rsidP="00935BD4">
      <w:pPr>
        <w:spacing w:before="120" w:after="120" w:line="360" w:lineRule="auto"/>
        <w:ind w:left="1416" w:hanging="566"/>
        <w:rPr>
          <w:szCs w:val="24"/>
          <w:lang w:val="nl-NL" w:eastAsia="en-US"/>
        </w:rPr>
      </w:pPr>
      <w:r w:rsidRPr="00935BD4">
        <w:rPr>
          <w:szCs w:val="24"/>
          <w:lang w:val="nl-NL" w:eastAsia="en-US"/>
        </w:rPr>
        <w:t>(g)</w:t>
      </w:r>
      <w:r w:rsidRPr="00935BD4">
        <w:rPr>
          <w:szCs w:val="24"/>
          <w:lang w:val="nl-NL" w:eastAsia="en-US"/>
        </w:rPr>
        <w:tab/>
        <w:t>is-setgħa li jippubblikaw id-deċiżjonijiet tagħhom imsemmija fil-paragrafi (d), (e) u (f).</w:t>
      </w:r>
    </w:p>
    <w:p w:rsidR="00935BD4" w:rsidRPr="00935BD4" w:rsidRDefault="00935BD4" w:rsidP="00935BD4">
      <w:pPr>
        <w:spacing w:before="120" w:after="120" w:line="360" w:lineRule="auto"/>
        <w:ind w:left="850"/>
        <w:rPr>
          <w:b/>
          <w:szCs w:val="24"/>
          <w:lang w:val="nl-NL" w:eastAsia="en-US"/>
        </w:rPr>
      </w:pPr>
      <w:r w:rsidRPr="00935BD4">
        <w:rPr>
          <w:b/>
          <w:i/>
          <w:szCs w:val="24"/>
          <w:lang w:val="nl-NL" w:eastAsia="en-US"/>
        </w:rPr>
        <w:t>Il-Kummissjoni għandha tivverifika kif l-awtoritajiet tal-infurzar iwettqu l-kompiti kollha mogħtija lilhom skont dan ir-Regolament.</w:t>
      </w:r>
      <w:r>
        <w:rPr>
          <w:b/>
          <w:szCs w:val="24"/>
          <w:lang w:val="nl-NL" w:eastAsia="en-US"/>
        </w:rPr>
        <w:t xml:space="preserve"> [Em. 72]</w:t>
      </w:r>
    </w:p>
    <w:p w:rsidR="00935BD4" w:rsidRPr="00935BD4" w:rsidRDefault="00935BD4" w:rsidP="00935BD4">
      <w:pPr>
        <w:spacing w:before="120" w:after="120" w:line="360" w:lineRule="auto"/>
        <w:ind w:left="850" w:hanging="850"/>
        <w:rPr>
          <w:szCs w:val="24"/>
          <w:lang w:val="nl-NL" w:eastAsia="en-US"/>
        </w:rPr>
      </w:pPr>
      <w:r w:rsidRPr="00935BD4">
        <w:rPr>
          <w:szCs w:val="24"/>
          <w:lang w:val="nl-NL" w:eastAsia="en-US"/>
        </w:rPr>
        <w:t>2.</w:t>
      </w:r>
      <w:r w:rsidRPr="00935BD4">
        <w:rPr>
          <w:szCs w:val="24"/>
          <w:lang w:val="nl-NL" w:eastAsia="en-US"/>
        </w:rPr>
        <w:tab/>
        <w:t>L-Istati Membri għandhom jistabbilixxu r-regoli dwar il-penali applikabbli għall-ksur ta’ dan ir-Regolament u għandhom jieħdu l-miżuri kollha meħtieġa biex jiżguraw li jiġu implimentati. Il-penali previsti għandhom ikunu effettivi, proporzjonati u dissważivi.</w:t>
      </w:r>
    </w:p>
    <w:p w:rsidR="00935BD4" w:rsidRPr="00935BD4" w:rsidRDefault="00935BD4" w:rsidP="00935BD4">
      <w:pPr>
        <w:spacing w:before="120" w:after="120" w:line="360" w:lineRule="auto"/>
        <w:ind w:left="850" w:hanging="850"/>
        <w:rPr>
          <w:b/>
          <w:szCs w:val="24"/>
          <w:lang w:val="nl-NL" w:eastAsia="en-US"/>
        </w:rPr>
      </w:pPr>
      <w:r w:rsidRPr="00935BD4">
        <w:rPr>
          <w:szCs w:val="24"/>
          <w:lang w:val="nl-NL" w:eastAsia="en-US"/>
        </w:rPr>
        <w:t>3.</w:t>
      </w:r>
      <w:r w:rsidRPr="00935BD4">
        <w:rPr>
          <w:szCs w:val="24"/>
          <w:lang w:val="nl-NL" w:eastAsia="en-US"/>
        </w:rPr>
        <w:tab/>
        <w:t>L-Istati Membri għandhom</w:t>
      </w:r>
      <w:r w:rsidRPr="00935BD4">
        <w:rPr>
          <w:b/>
          <w:i/>
          <w:szCs w:val="24"/>
          <w:lang w:val="nl-NL" w:eastAsia="en-US"/>
        </w:rPr>
        <w:t xml:space="preserve"> [mingħajr dewmien żejjed u fi kwalunkwe każ sa mhux aktar tard minn 12-il xahar mid-data tad-dħul fis-seħħ ta’ dan ir-Regolament],</w:t>
      </w:r>
      <w:r w:rsidRPr="00935BD4">
        <w:rPr>
          <w:szCs w:val="24"/>
          <w:lang w:val="nl-NL" w:eastAsia="en-US"/>
        </w:rPr>
        <w:t xml:space="preserve"> jinnotifikaw lill-Kummissjoni</w:t>
      </w:r>
      <w:r w:rsidRPr="00935BD4">
        <w:rPr>
          <w:strike/>
          <w:szCs w:val="24"/>
          <w:lang w:val="nl-NL" w:eastAsia="en-US"/>
        </w:rPr>
        <w:t xml:space="preserve"> [sa …/mingħajr dewmien]</w:t>
      </w:r>
      <w:r w:rsidRPr="00935BD4">
        <w:rPr>
          <w:szCs w:val="24"/>
          <w:lang w:val="nl-NL" w:eastAsia="en-US"/>
        </w:rPr>
        <w:t xml:space="preserve"> dwar dawk ir-regoli u dwar dawk il-miżuri, u għandhom jinnotifikawha mingħajr dewmien dwar kull emenda sussegwenti li taffettwahom.</w:t>
      </w:r>
      <w:r>
        <w:rPr>
          <w:b/>
          <w:szCs w:val="24"/>
          <w:lang w:val="nl-NL" w:eastAsia="en-US"/>
        </w:rPr>
        <w:t xml:space="preserve"> [Em. 73]</w:t>
      </w:r>
    </w:p>
    <w:p w:rsidR="00935BD4" w:rsidRDefault="00935BD4">
      <w:pPr>
        <w:widowControl/>
        <w:rPr>
          <w:szCs w:val="24"/>
          <w:lang w:val="nl-NL" w:eastAsia="en-US"/>
        </w:rPr>
      </w:pPr>
      <w:r>
        <w:rPr>
          <w:szCs w:val="24"/>
          <w:lang w:val="nl-NL" w:eastAsia="en-US"/>
        </w:rPr>
        <w:br w:type="page"/>
      </w:r>
    </w:p>
    <w:p w:rsidR="00935BD4" w:rsidRPr="00935BD4" w:rsidRDefault="00935BD4" w:rsidP="00935BD4">
      <w:pPr>
        <w:spacing w:before="120" w:after="120" w:line="360" w:lineRule="auto"/>
        <w:jc w:val="center"/>
        <w:rPr>
          <w:szCs w:val="24"/>
          <w:lang w:val="nl-NL" w:eastAsia="en-US"/>
        </w:rPr>
      </w:pPr>
      <w:r w:rsidRPr="00935BD4">
        <w:rPr>
          <w:szCs w:val="24"/>
          <w:lang w:val="nl-NL" w:eastAsia="en-US"/>
        </w:rPr>
        <w:lastRenderedPageBreak/>
        <w:t>Artikolu 15</w:t>
      </w:r>
      <w:r w:rsidRPr="00935BD4">
        <w:rPr>
          <w:szCs w:val="24"/>
          <w:lang w:val="nl-NL" w:eastAsia="en-US"/>
        </w:rPr>
        <w:br/>
        <w:t>Ilmenti u kunfidenzjalità</w:t>
      </w:r>
    </w:p>
    <w:p w:rsidR="00935BD4" w:rsidRPr="00935BD4" w:rsidRDefault="00935BD4" w:rsidP="00935BD4">
      <w:pPr>
        <w:spacing w:before="120" w:after="120" w:line="360" w:lineRule="auto"/>
        <w:ind w:left="850" w:hanging="850"/>
        <w:rPr>
          <w:szCs w:val="24"/>
          <w:lang w:val="nl-NL" w:eastAsia="en-US"/>
        </w:rPr>
      </w:pPr>
      <w:r w:rsidRPr="00935BD4">
        <w:rPr>
          <w:szCs w:val="24"/>
          <w:lang w:val="nl-NL" w:eastAsia="en-US"/>
        </w:rPr>
        <w:t>1.</w:t>
      </w:r>
      <w:r w:rsidRPr="00935BD4">
        <w:rPr>
          <w:szCs w:val="24"/>
          <w:lang w:val="nl-NL" w:eastAsia="en-US"/>
        </w:rPr>
        <w:tab/>
        <w:t>Il-kredituri jistgħu jindirizzaw l-ilmenti lill-awtorità tal-infurzar tal-Istat Membru tal-istabbiliment tagħhom jew inkella lill-awtorità tal-infurzar tal-Istati Membri tal-istabbiliment tad-debitur. L-awtorità tal-infurzar li lilha jkun indirizzat l-ilment għandha tkun kompetenti biex tinforza dan ir-Regolament.</w:t>
      </w:r>
    </w:p>
    <w:p w:rsidR="00935BD4" w:rsidRPr="00935BD4" w:rsidRDefault="00935BD4" w:rsidP="00935BD4">
      <w:pPr>
        <w:spacing w:before="120" w:after="120" w:line="360" w:lineRule="auto"/>
        <w:ind w:left="850" w:hanging="850"/>
        <w:rPr>
          <w:szCs w:val="24"/>
          <w:lang w:val="nl-NL" w:eastAsia="en-US"/>
        </w:rPr>
      </w:pPr>
      <w:r w:rsidRPr="00935BD4">
        <w:rPr>
          <w:szCs w:val="24"/>
          <w:lang w:val="nl-NL" w:eastAsia="en-US"/>
        </w:rPr>
        <w:t>2.</w:t>
      </w:r>
      <w:r w:rsidRPr="00935BD4">
        <w:rPr>
          <w:szCs w:val="24"/>
          <w:lang w:val="nl-NL" w:eastAsia="en-US"/>
        </w:rPr>
        <w:tab/>
        <w:t>L-organizzazzjonijiet rikonoxxuti uffiċjalment  biex jirrappreżentaw lill-kredituri jew l-organizzazzjonijiet b’interess leġittimu fir-rappreżentanza ta’ intrapriżi għandu jkollhom id-dritt li jressqu lment lill-awtoritajiet tal-infurzar imsemmija fl-Artikolu 13 meta jintalab minn xi wieħed jew aktar mill-membri tagħhom jew, skont kif ikun xieraq, meta jintalab minn membru wieħed jew aktar tal-organizzazzjonijiet membri tagħhom, meta dawk il-membri jkun jidhrilhom li kienu affettwati bi ksur ta’ dan ir-Regolament.</w:t>
      </w:r>
    </w:p>
    <w:p w:rsidR="00935BD4" w:rsidRPr="00935BD4" w:rsidRDefault="00935BD4" w:rsidP="00935BD4">
      <w:pPr>
        <w:spacing w:before="120" w:after="120" w:line="360" w:lineRule="auto"/>
        <w:ind w:left="850" w:hanging="850"/>
        <w:rPr>
          <w:b/>
          <w:szCs w:val="24"/>
          <w:lang w:val="nl-NL" w:eastAsia="en-US"/>
        </w:rPr>
      </w:pPr>
      <w:r w:rsidRPr="00935BD4">
        <w:rPr>
          <w:szCs w:val="24"/>
          <w:lang w:val="nl-NL" w:eastAsia="en-US"/>
        </w:rPr>
        <w:t>3.</w:t>
      </w:r>
      <w:r w:rsidRPr="00935BD4">
        <w:rPr>
          <w:szCs w:val="24"/>
          <w:lang w:val="nl-NL" w:eastAsia="en-US"/>
        </w:rPr>
        <w:tab/>
      </w:r>
      <w:r w:rsidRPr="00935BD4">
        <w:rPr>
          <w:strike/>
          <w:szCs w:val="24"/>
          <w:lang w:val="nl-NL" w:eastAsia="en-US"/>
        </w:rPr>
        <w:t xml:space="preserve">Meta l-ilmentatur jitlob dan, </w:t>
      </w:r>
      <w:r w:rsidRPr="00935BD4">
        <w:rPr>
          <w:szCs w:val="24"/>
          <w:lang w:val="nl-NL" w:eastAsia="en-US"/>
        </w:rPr>
        <w:t xml:space="preserve">L-awtorità tal-infurzar għandha tieħu l-miżuri meħtieġa għall-protezzjoni xierqa tal-identità tal-ilmentatur. L-ilmentatur </w:t>
      </w:r>
      <w:r w:rsidRPr="00935BD4">
        <w:rPr>
          <w:strike/>
          <w:szCs w:val="24"/>
          <w:lang w:val="nl-NL" w:eastAsia="en-US"/>
        </w:rPr>
        <w:t>għandu</w:t>
      </w:r>
      <w:r w:rsidRPr="00935BD4">
        <w:rPr>
          <w:b/>
          <w:i/>
          <w:szCs w:val="24"/>
          <w:lang w:val="nl-NL" w:eastAsia="en-US"/>
        </w:rPr>
        <w:t>jista’ jissottometti lment lill-awtorità tal-infurzar b’mod anonimu jew</w:t>
      </w:r>
      <w:r w:rsidRPr="00935BD4">
        <w:rPr>
          <w:szCs w:val="24"/>
          <w:lang w:val="nl-NL" w:eastAsia="en-US"/>
        </w:rPr>
        <w:t xml:space="preserve"> jidentifika </w:t>
      </w:r>
      <w:r w:rsidRPr="00935BD4">
        <w:rPr>
          <w:strike/>
          <w:szCs w:val="24"/>
          <w:lang w:val="nl-NL" w:eastAsia="en-US"/>
        </w:rPr>
        <w:t>kull</w:t>
      </w:r>
      <w:r w:rsidRPr="00935BD4">
        <w:rPr>
          <w:b/>
          <w:i/>
          <w:szCs w:val="24"/>
          <w:lang w:val="nl-NL" w:eastAsia="en-US"/>
        </w:rPr>
        <w:t>kwalunkwe</w:t>
      </w:r>
      <w:r w:rsidRPr="00935BD4">
        <w:rPr>
          <w:szCs w:val="24"/>
          <w:lang w:val="nl-NL" w:eastAsia="en-US"/>
        </w:rPr>
        <w:t xml:space="preserve"> informazzjoni li dwarha jkun qed jitlob </w:t>
      </w:r>
      <w:r w:rsidRPr="00935BD4">
        <w:rPr>
          <w:strike/>
          <w:szCs w:val="24"/>
          <w:lang w:val="nl-NL" w:eastAsia="en-US"/>
        </w:rPr>
        <w:t>il-kunfidenzjalità</w:t>
      </w:r>
      <w:r w:rsidRPr="00935BD4">
        <w:rPr>
          <w:b/>
          <w:i/>
          <w:szCs w:val="24"/>
          <w:lang w:val="nl-NL" w:eastAsia="en-US"/>
        </w:rPr>
        <w:t>kunfidenzjalità</w:t>
      </w:r>
      <w:r w:rsidRPr="00935BD4">
        <w:rPr>
          <w:szCs w:val="24"/>
          <w:lang w:val="nl-NL" w:eastAsia="en-US"/>
        </w:rPr>
        <w:t>.</w:t>
      </w:r>
      <w:r>
        <w:rPr>
          <w:b/>
          <w:szCs w:val="24"/>
          <w:lang w:val="nl-NL" w:eastAsia="en-US"/>
        </w:rPr>
        <w:t xml:space="preserve"> [Em. 74]</w:t>
      </w:r>
    </w:p>
    <w:p w:rsidR="00935BD4" w:rsidRDefault="00935BD4">
      <w:pPr>
        <w:widowControl/>
        <w:rPr>
          <w:szCs w:val="24"/>
          <w:lang w:val="nl-NL" w:eastAsia="en-US"/>
        </w:rPr>
      </w:pPr>
      <w:r>
        <w:rPr>
          <w:szCs w:val="24"/>
          <w:lang w:val="nl-NL" w:eastAsia="en-US"/>
        </w:rPr>
        <w:br w:type="page"/>
      </w:r>
    </w:p>
    <w:p w:rsidR="00935BD4" w:rsidRPr="00935BD4" w:rsidRDefault="00935BD4" w:rsidP="00935BD4">
      <w:pPr>
        <w:spacing w:before="120" w:after="120" w:line="360" w:lineRule="auto"/>
        <w:ind w:left="850" w:hanging="850"/>
        <w:rPr>
          <w:b/>
          <w:szCs w:val="24"/>
          <w:lang w:val="nl-NL" w:eastAsia="en-US"/>
        </w:rPr>
      </w:pPr>
      <w:r w:rsidRPr="00935BD4">
        <w:rPr>
          <w:szCs w:val="24"/>
          <w:lang w:val="nl-NL" w:eastAsia="en-US"/>
        </w:rPr>
        <w:lastRenderedPageBreak/>
        <w:t>4.</w:t>
      </w:r>
      <w:r w:rsidRPr="00935BD4">
        <w:rPr>
          <w:szCs w:val="24"/>
          <w:lang w:val="nl-NL" w:eastAsia="en-US"/>
        </w:rPr>
        <w:tab/>
        <w:t xml:space="preserve">L-awtorità tal-infurzar li tirċievi l-ilment għandha tinforma lill-ilmentatur fi żmien </w:t>
      </w:r>
      <w:r w:rsidRPr="00935BD4">
        <w:rPr>
          <w:strike/>
          <w:szCs w:val="24"/>
          <w:lang w:val="nl-NL" w:eastAsia="en-US"/>
        </w:rPr>
        <w:t>raġonevoli</w:t>
      </w:r>
      <w:r w:rsidRPr="00935BD4">
        <w:rPr>
          <w:b/>
          <w:i/>
          <w:szCs w:val="24"/>
          <w:lang w:val="nl-NL" w:eastAsia="en-US"/>
        </w:rPr>
        <w:t>30 jum</w:t>
      </w:r>
      <w:r w:rsidRPr="00935BD4">
        <w:rPr>
          <w:szCs w:val="24"/>
          <w:lang w:val="nl-NL" w:eastAsia="en-US"/>
        </w:rPr>
        <w:t xml:space="preserve"> minn meta tkun irċeviet l-ilment dwar kif ikun beħsiebha ssegwi l-ilment.</w:t>
      </w:r>
      <w:r>
        <w:rPr>
          <w:b/>
          <w:szCs w:val="24"/>
          <w:lang w:val="nl-NL" w:eastAsia="en-US"/>
        </w:rPr>
        <w:t xml:space="preserve"> [Em. 75]</w:t>
      </w:r>
    </w:p>
    <w:p w:rsidR="00935BD4" w:rsidRPr="00935BD4" w:rsidRDefault="00935BD4" w:rsidP="00935BD4">
      <w:pPr>
        <w:spacing w:before="120" w:after="120" w:line="360" w:lineRule="auto"/>
        <w:ind w:left="850" w:hanging="850"/>
        <w:rPr>
          <w:b/>
          <w:szCs w:val="24"/>
          <w:lang w:val="nl-NL" w:eastAsia="en-US"/>
        </w:rPr>
      </w:pPr>
      <w:r w:rsidRPr="00935BD4">
        <w:rPr>
          <w:szCs w:val="24"/>
          <w:lang w:val="nl-NL" w:eastAsia="en-US"/>
        </w:rPr>
        <w:t>5.</w:t>
      </w:r>
      <w:r w:rsidRPr="00935BD4">
        <w:rPr>
          <w:szCs w:val="24"/>
          <w:lang w:val="nl-NL" w:eastAsia="en-US"/>
        </w:rPr>
        <w:tab/>
        <w:t xml:space="preserve">Meta awtorità tal-infurzar ikun jidhrilha li m’hemmx biżżejjed raġunijiet biex tmexxi fuq ilment, din għandha tinforma lill-ilmentatur bir-raġunijiet tad-deċiżjoni tagħha fi żmien </w:t>
      </w:r>
      <w:r w:rsidRPr="00935BD4">
        <w:rPr>
          <w:strike/>
          <w:szCs w:val="24"/>
          <w:lang w:val="nl-NL" w:eastAsia="en-US"/>
        </w:rPr>
        <w:t>raġonevoli</w:t>
      </w:r>
      <w:r w:rsidRPr="00935BD4">
        <w:rPr>
          <w:b/>
          <w:i/>
          <w:szCs w:val="24"/>
          <w:lang w:val="nl-NL" w:eastAsia="en-US"/>
        </w:rPr>
        <w:t>30 jum</w:t>
      </w:r>
      <w:r w:rsidRPr="00935BD4">
        <w:rPr>
          <w:szCs w:val="24"/>
          <w:lang w:val="nl-NL" w:eastAsia="en-US"/>
        </w:rPr>
        <w:t xml:space="preserve"> minn meta tkun irċeviet l-ilment.</w:t>
      </w:r>
      <w:r>
        <w:rPr>
          <w:b/>
          <w:szCs w:val="24"/>
          <w:lang w:val="nl-NL" w:eastAsia="en-US"/>
        </w:rPr>
        <w:t xml:space="preserve"> [Em. 76]</w:t>
      </w:r>
    </w:p>
    <w:p w:rsidR="00935BD4" w:rsidRPr="00935BD4" w:rsidRDefault="00935BD4" w:rsidP="00935BD4">
      <w:pPr>
        <w:spacing w:before="120" w:after="120" w:line="360" w:lineRule="auto"/>
        <w:ind w:left="850" w:hanging="850"/>
        <w:rPr>
          <w:b/>
          <w:szCs w:val="24"/>
          <w:lang w:val="nl-NL" w:eastAsia="en-US"/>
        </w:rPr>
      </w:pPr>
      <w:r w:rsidRPr="00935BD4">
        <w:rPr>
          <w:szCs w:val="24"/>
          <w:lang w:val="nl-NL" w:eastAsia="en-US"/>
        </w:rPr>
        <w:t>6.</w:t>
      </w:r>
      <w:r w:rsidRPr="00935BD4">
        <w:rPr>
          <w:szCs w:val="24"/>
          <w:lang w:val="nl-NL" w:eastAsia="en-US"/>
        </w:rPr>
        <w:tab/>
        <w:t xml:space="preserve">Meta awtorità tal-infurzar ikun jidhrilha li hemm biżżejjed raġunijiet biex tmexxi fuq ilment, din għandha tibda, twettaq u tikkonkludi investigazzjoni tal-ilment fi żmien </w:t>
      </w:r>
      <w:r w:rsidRPr="00935BD4">
        <w:rPr>
          <w:strike/>
          <w:szCs w:val="24"/>
          <w:lang w:val="nl-NL" w:eastAsia="en-US"/>
        </w:rPr>
        <w:t>raġonevoli</w:t>
      </w:r>
      <w:r w:rsidRPr="00935BD4">
        <w:rPr>
          <w:b/>
          <w:i/>
          <w:szCs w:val="24"/>
          <w:lang w:val="nl-NL" w:eastAsia="en-US"/>
        </w:rPr>
        <w:t>90 jum minn meta tkun irċeviet l-ilment</w:t>
      </w:r>
      <w:r w:rsidRPr="00935BD4">
        <w:rPr>
          <w:szCs w:val="24"/>
          <w:lang w:val="nl-NL" w:eastAsia="en-US"/>
        </w:rPr>
        <w:t>.</w:t>
      </w:r>
      <w:r>
        <w:rPr>
          <w:b/>
          <w:szCs w:val="24"/>
          <w:lang w:val="nl-NL" w:eastAsia="en-US"/>
        </w:rPr>
        <w:t xml:space="preserve"> [Em. 77]</w:t>
      </w:r>
    </w:p>
    <w:p w:rsidR="00935BD4" w:rsidRPr="00935BD4" w:rsidRDefault="00935BD4" w:rsidP="00935BD4">
      <w:pPr>
        <w:spacing w:before="120" w:after="120" w:line="360" w:lineRule="auto"/>
        <w:ind w:left="850" w:hanging="850"/>
        <w:rPr>
          <w:szCs w:val="24"/>
          <w:lang w:val="nl-NL" w:eastAsia="en-US"/>
        </w:rPr>
      </w:pPr>
      <w:r w:rsidRPr="00935BD4">
        <w:rPr>
          <w:szCs w:val="24"/>
          <w:lang w:val="nl-NL" w:eastAsia="en-US"/>
        </w:rPr>
        <w:t>7.</w:t>
      </w:r>
      <w:r w:rsidRPr="00935BD4">
        <w:rPr>
          <w:szCs w:val="24"/>
          <w:lang w:val="nl-NL" w:eastAsia="en-US"/>
        </w:rPr>
        <w:tab/>
        <w:t>Meta awtorità tal-infurzar issib li debitur ikun kiser dan ir-Regolament, din għandha teżiġi li d-debitur iwaqqaf il-prattika illegali.</w:t>
      </w:r>
    </w:p>
    <w:p w:rsidR="00935BD4" w:rsidRPr="00935BD4" w:rsidRDefault="00935BD4" w:rsidP="00935BD4">
      <w:pPr>
        <w:spacing w:before="120" w:after="120" w:line="360" w:lineRule="auto"/>
        <w:ind w:left="850" w:hanging="850"/>
        <w:rPr>
          <w:b/>
          <w:szCs w:val="24"/>
          <w:lang w:val="nl-NL" w:eastAsia="en-US"/>
        </w:rPr>
      </w:pPr>
      <w:r w:rsidRPr="00935BD4">
        <w:rPr>
          <w:b/>
          <w:i/>
          <w:szCs w:val="24"/>
          <w:lang w:val="nl-NL" w:eastAsia="en-US"/>
        </w:rPr>
        <w:t>7a.</w:t>
      </w:r>
      <w:r w:rsidRPr="00935BD4">
        <w:rPr>
          <w:szCs w:val="24"/>
          <w:lang w:val="nl-NL" w:eastAsia="en-US"/>
        </w:rPr>
        <w:tab/>
      </w:r>
      <w:r w:rsidRPr="00935BD4">
        <w:rPr>
          <w:b/>
          <w:i/>
          <w:szCs w:val="24"/>
          <w:lang w:val="nl-NL" w:eastAsia="en-US"/>
        </w:rPr>
        <w:t>Il-Kummissjoni għandha tagħmel formola standard tal-UE għall-ilmenti disponibbli għall-awtoritajiet tal-infurzar tal-Istat Membru.</w:t>
      </w:r>
      <w:r>
        <w:rPr>
          <w:b/>
          <w:szCs w:val="24"/>
          <w:lang w:val="nl-NL" w:eastAsia="en-US"/>
        </w:rPr>
        <w:t xml:space="preserve"> [Em. 78]</w:t>
      </w:r>
    </w:p>
    <w:p w:rsidR="00935BD4" w:rsidRDefault="00935BD4">
      <w:pPr>
        <w:widowControl/>
        <w:rPr>
          <w:szCs w:val="24"/>
          <w:lang w:val="nl-NL" w:eastAsia="en-US"/>
        </w:rPr>
      </w:pPr>
      <w:r>
        <w:rPr>
          <w:szCs w:val="24"/>
          <w:lang w:val="nl-NL" w:eastAsia="en-US"/>
        </w:rPr>
        <w:br w:type="page"/>
      </w:r>
    </w:p>
    <w:p w:rsidR="00935BD4" w:rsidRPr="00935BD4" w:rsidRDefault="00935BD4" w:rsidP="00935BD4">
      <w:pPr>
        <w:spacing w:before="120" w:after="120" w:line="360" w:lineRule="auto"/>
        <w:jc w:val="center"/>
        <w:rPr>
          <w:szCs w:val="24"/>
          <w:lang w:val="nl-NL" w:eastAsia="en-US"/>
        </w:rPr>
      </w:pPr>
      <w:r w:rsidRPr="00935BD4">
        <w:rPr>
          <w:szCs w:val="24"/>
          <w:lang w:val="nl-NL" w:eastAsia="en-US"/>
        </w:rPr>
        <w:lastRenderedPageBreak/>
        <w:t>Artikolu 16</w:t>
      </w:r>
      <w:r w:rsidRPr="00935BD4">
        <w:rPr>
          <w:szCs w:val="24"/>
          <w:lang w:val="nl-NL" w:eastAsia="en-US"/>
        </w:rPr>
        <w:br/>
        <w:t>Riżoluzzjoni alternattiva tat-tilwim</w:t>
      </w:r>
    </w:p>
    <w:p w:rsidR="00935BD4" w:rsidRPr="00935BD4" w:rsidRDefault="00935BD4" w:rsidP="00935BD4">
      <w:pPr>
        <w:spacing w:before="120" w:after="120" w:line="360" w:lineRule="auto"/>
        <w:ind w:left="850" w:hanging="850"/>
        <w:rPr>
          <w:b/>
          <w:szCs w:val="24"/>
          <w:lang w:val="nl-NL" w:eastAsia="en-US"/>
        </w:rPr>
      </w:pPr>
      <w:r w:rsidRPr="00935BD4">
        <w:rPr>
          <w:szCs w:val="24"/>
          <w:lang w:val="nl-NL" w:eastAsia="en-US"/>
        </w:rPr>
        <w:t>1.</w:t>
      </w:r>
      <w:r w:rsidRPr="00935BD4">
        <w:rPr>
          <w:szCs w:val="24"/>
          <w:lang w:val="nl-NL" w:eastAsia="en-US"/>
        </w:rPr>
        <w:tab/>
        <w:t>Mingħajr preġudizzju għad-dritt tal-kredituri li jippreżentaw ilmenti skont l-Artikolu 15, u għall-obbligi u s-setgħat tal-awtoritajiet tal-infurzar stabbiliti fl-Artikoli 13, 14, u 15, l-Istati Membri għandhom jippromwovu l-użu volontarju ta’ mekkaniżmi alternattivi effettivi u indipendenti għar-riżoluzzjoni tat-tilwim bejn id-debituri u l-kredituri.</w:t>
      </w:r>
      <w:r w:rsidRPr="00935BD4">
        <w:rPr>
          <w:b/>
          <w:i/>
          <w:szCs w:val="24"/>
          <w:lang w:val="nl-NL" w:eastAsia="en-US"/>
        </w:rPr>
        <w:t xml:space="preserve"> Minkejja d-dispożizzjonijiet tal-Artikoli 5(3), 8(3), u 9(1), il-punt (b), ta’ dan ir-Regolament, il-partijiet għall-entitajiet pubbliċi, jistgħu jinvolvu ruħhom f’negozjati biex jilħqu riżoluzzjoni bonarja dwar id-djun ikkontestati.</w:t>
      </w:r>
      <w:r>
        <w:rPr>
          <w:b/>
          <w:szCs w:val="24"/>
          <w:lang w:val="nl-NL" w:eastAsia="en-US"/>
        </w:rPr>
        <w:t xml:space="preserve"> [Em. 79]</w:t>
      </w:r>
    </w:p>
    <w:p w:rsidR="00935BD4" w:rsidRPr="00935BD4" w:rsidRDefault="00935BD4" w:rsidP="00935BD4">
      <w:pPr>
        <w:spacing w:before="120" w:after="120" w:line="360" w:lineRule="auto"/>
        <w:ind w:left="850" w:hanging="850"/>
        <w:rPr>
          <w:szCs w:val="24"/>
          <w:lang w:val="nl-NL" w:eastAsia="en-US"/>
        </w:rPr>
      </w:pPr>
      <w:r w:rsidRPr="00935BD4">
        <w:rPr>
          <w:szCs w:val="24"/>
          <w:lang w:val="nl-NL" w:eastAsia="en-US"/>
        </w:rPr>
        <w:t>2.</w:t>
      </w:r>
      <w:r w:rsidRPr="00935BD4">
        <w:rPr>
          <w:szCs w:val="24"/>
          <w:lang w:val="nl-NL" w:eastAsia="en-US"/>
        </w:rPr>
        <w:tab/>
        <w:t>Il-mekkaniżmi alternattivi għar-riżoluzzjoni tat-tilwim maħsuba għat-tilwim dwar il-ħlasijiet tard għandhom iħeġġu lill-partijiet f’tilwima biex isibu soluzzjoni waħedhom u dawn għandhom ikunu rapidi, effiċjenti u kosteffettivi, filwaqt li jżommu l-kunfidenza u l-fiduċja bejn il-partijiet.</w:t>
      </w:r>
    </w:p>
    <w:p w:rsidR="00935BD4" w:rsidRDefault="00935BD4">
      <w:pPr>
        <w:widowControl/>
        <w:rPr>
          <w:b/>
          <w:i/>
          <w:szCs w:val="24"/>
          <w:lang w:val="nl-NL" w:eastAsia="en-US"/>
        </w:rPr>
      </w:pPr>
      <w:r>
        <w:rPr>
          <w:b/>
          <w:i/>
          <w:szCs w:val="24"/>
          <w:lang w:val="nl-NL" w:eastAsia="en-US"/>
        </w:rPr>
        <w:br w:type="page"/>
      </w:r>
    </w:p>
    <w:p w:rsidR="00935BD4" w:rsidRPr="00935BD4" w:rsidRDefault="00935BD4" w:rsidP="00935BD4">
      <w:pPr>
        <w:spacing w:before="120" w:after="120" w:line="360" w:lineRule="auto"/>
        <w:jc w:val="center"/>
        <w:rPr>
          <w:szCs w:val="24"/>
          <w:lang w:val="nl-NL" w:eastAsia="en-US"/>
        </w:rPr>
      </w:pPr>
      <w:r w:rsidRPr="00935BD4">
        <w:rPr>
          <w:b/>
          <w:i/>
          <w:szCs w:val="24"/>
          <w:lang w:val="nl-NL" w:eastAsia="en-US"/>
        </w:rPr>
        <w:lastRenderedPageBreak/>
        <w:t>Artikolu 16a</w:t>
      </w:r>
      <w:r w:rsidRPr="00935BD4">
        <w:rPr>
          <w:szCs w:val="24"/>
          <w:lang w:val="nl-NL" w:eastAsia="en-US"/>
        </w:rPr>
        <w:br/>
      </w:r>
      <w:r w:rsidRPr="00935BD4">
        <w:rPr>
          <w:b/>
          <w:i/>
          <w:szCs w:val="24"/>
          <w:lang w:val="nl-NL" w:eastAsia="en-US"/>
        </w:rPr>
        <w:t>Obbligi ta’ rappurtar</w:t>
      </w:r>
    </w:p>
    <w:p w:rsidR="00935BD4" w:rsidRPr="00935BD4" w:rsidRDefault="00935BD4" w:rsidP="00935BD4">
      <w:pPr>
        <w:spacing w:before="120" w:after="120" w:line="360" w:lineRule="auto"/>
        <w:ind w:left="850" w:hanging="850"/>
        <w:rPr>
          <w:szCs w:val="24"/>
          <w:lang w:val="nl-NL" w:eastAsia="en-US"/>
        </w:rPr>
      </w:pPr>
      <w:r w:rsidRPr="00935BD4">
        <w:rPr>
          <w:b/>
          <w:i/>
          <w:szCs w:val="24"/>
          <w:lang w:val="nl-NL" w:eastAsia="en-US"/>
        </w:rPr>
        <w:t>1.</w:t>
      </w:r>
      <w:r w:rsidRPr="00935BD4">
        <w:rPr>
          <w:szCs w:val="24"/>
          <w:lang w:val="nl-NL" w:eastAsia="en-US"/>
        </w:rPr>
        <w:tab/>
      </w:r>
      <w:r w:rsidRPr="00935BD4">
        <w:rPr>
          <w:b/>
          <w:i/>
          <w:szCs w:val="24"/>
          <w:lang w:val="nl-NL" w:eastAsia="en-US"/>
        </w:rPr>
        <w:t>L-awtoritajiet kontraenti, kif imsemmi fl-Artikolu 2(1) tad-Direttiva 2014/24/UE għandhom jirrapportaw fuq bażi annwali dwar il-prattiki ta’ ħlas tagħhom.</w:t>
      </w:r>
    </w:p>
    <w:p w:rsidR="00935BD4" w:rsidRPr="00935BD4" w:rsidRDefault="00935BD4" w:rsidP="00935BD4">
      <w:pPr>
        <w:spacing w:before="120" w:after="120" w:line="360" w:lineRule="auto"/>
        <w:ind w:left="850" w:hanging="850"/>
        <w:rPr>
          <w:szCs w:val="24"/>
          <w:lang w:val="nl-NL" w:eastAsia="en-US"/>
        </w:rPr>
      </w:pPr>
      <w:r w:rsidRPr="00935BD4">
        <w:rPr>
          <w:b/>
          <w:i/>
          <w:szCs w:val="24"/>
          <w:lang w:val="nl-NL" w:eastAsia="en-US"/>
        </w:rPr>
        <w:t>2.</w:t>
      </w:r>
      <w:r w:rsidRPr="00935BD4">
        <w:rPr>
          <w:szCs w:val="24"/>
          <w:lang w:val="nl-NL" w:eastAsia="en-US"/>
        </w:rPr>
        <w:tab/>
      </w:r>
      <w:r w:rsidRPr="00935BD4">
        <w:rPr>
          <w:b/>
          <w:i/>
          <w:szCs w:val="24"/>
          <w:lang w:val="nl-NL" w:eastAsia="en-US"/>
        </w:rPr>
        <w:t>L-obbligu ta’ rappurtar imsemmi fil-paragrafu 1 għandu jkun fih:</w:t>
      </w:r>
    </w:p>
    <w:p w:rsidR="00935BD4" w:rsidRPr="00935BD4" w:rsidRDefault="00935BD4" w:rsidP="00935BD4">
      <w:pPr>
        <w:spacing w:before="120" w:after="120" w:line="360" w:lineRule="auto"/>
        <w:ind w:left="1416" w:hanging="566"/>
        <w:rPr>
          <w:szCs w:val="24"/>
          <w:lang w:val="nl-NL" w:eastAsia="en-US"/>
        </w:rPr>
      </w:pPr>
      <w:r w:rsidRPr="00935BD4">
        <w:rPr>
          <w:b/>
          <w:i/>
          <w:szCs w:val="24"/>
          <w:lang w:val="nl-NL" w:eastAsia="en-US"/>
        </w:rPr>
        <w:t>(a)</w:t>
      </w:r>
      <w:r w:rsidRPr="00935BD4">
        <w:rPr>
          <w:szCs w:val="24"/>
          <w:lang w:val="nl-NL" w:eastAsia="en-US"/>
        </w:rPr>
        <w:tab/>
      </w:r>
      <w:r w:rsidRPr="00935BD4">
        <w:rPr>
          <w:b/>
          <w:i/>
          <w:szCs w:val="24"/>
          <w:lang w:val="nl-NL" w:eastAsia="en-US"/>
        </w:rPr>
        <w:t>l-ammont, imħallas f’EUR:</w:t>
      </w:r>
    </w:p>
    <w:p w:rsidR="00935BD4" w:rsidRPr="00935BD4" w:rsidRDefault="00935BD4" w:rsidP="00935BD4">
      <w:pPr>
        <w:spacing w:before="120" w:after="120" w:line="360" w:lineRule="auto"/>
        <w:ind w:left="1982" w:hanging="566"/>
        <w:rPr>
          <w:szCs w:val="24"/>
          <w:lang w:val="nl-NL" w:eastAsia="en-US"/>
        </w:rPr>
      </w:pPr>
      <w:r w:rsidRPr="00935BD4">
        <w:rPr>
          <w:b/>
          <w:i/>
          <w:szCs w:val="24"/>
          <w:lang w:val="nl-NL" w:eastAsia="en-US"/>
        </w:rPr>
        <w:t>-</w:t>
      </w:r>
      <w:r w:rsidRPr="00935BD4">
        <w:rPr>
          <w:szCs w:val="24"/>
          <w:lang w:val="nl-NL" w:eastAsia="en-US"/>
        </w:rPr>
        <w:tab/>
      </w:r>
      <w:r w:rsidRPr="00935BD4">
        <w:rPr>
          <w:b/>
          <w:i/>
          <w:szCs w:val="24"/>
          <w:lang w:val="nl-NL" w:eastAsia="en-US"/>
        </w:rPr>
        <w:t>1 sa 30 jum wara l-iskadenza msemmija fl-Artikolu 3 ta’ dan ir-Regolament;</w:t>
      </w:r>
    </w:p>
    <w:p w:rsidR="00935BD4" w:rsidRPr="00935BD4" w:rsidRDefault="00935BD4" w:rsidP="00935BD4">
      <w:pPr>
        <w:spacing w:before="120" w:after="120" w:line="360" w:lineRule="auto"/>
        <w:ind w:left="1982" w:hanging="566"/>
        <w:rPr>
          <w:szCs w:val="24"/>
          <w:lang w:val="nl-NL" w:eastAsia="en-US"/>
        </w:rPr>
      </w:pPr>
      <w:r w:rsidRPr="00935BD4">
        <w:rPr>
          <w:b/>
          <w:i/>
          <w:szCs w:val="24"/>
          <w:lang w:val="nl-NL" w:eastAsia="en-US"/>
        </w:rPr>
        <w:t>-</w:t>
      </w:r>
      <w:r w:rsidRPr="00935BD4">
        <w:rPr>
          <w:szCs w:val="24"/>
          <w:lang w:val="nl-NL" w:eastAsia="en-US"/>
        </w:rPr>
        <w:tab/>
      </w:r>
      <w:r w:rsidRPr="00935BD4">
        <w:rPr>
          <w:b/>
          <w:i/>
          <w:szCs w:val="24"/>
          <w:lang w:val="nl-NL" w:eastAsia="en-US"/>
        </w:rPr>
        <w:t>31 sa 60 jum wara l-iskadenza msemmija fl-Artikolu 3 ta’ dan ir-Regolament;</w:t>
      </w:r>
    </w:p>
    <w:p w:rsidR="00935BD4" w:rsidRPr="00935BD4" w:rsidRDefault="00935BD4" w:rsidP="00935BD4">
      <w:pPr>
        <w:spacing w:before="120" w:after="120" w:line="360" w:lineRule="auto"/>
        <w:ind w:left="1982" w:hanging="566"/>
        <w:rPr>
          <w:szCs w:val="24"/>
          <w:lang w:val="nl-NL" w:eastAsia="en-US"/>
        </w:rPr>
      </w:pPr>
      <w:r w:rsidRPr="00935BD4">
        <w:rPr>
          <w:b/>
          <w:i/>
          <w:szCs w:val="24"/>
          <w:lang w:val="nl-NL" w:eastAsia="en-US"/>
        </w:rPr>
        <w:t>-</w:t>
      </w:r>
      <w:r w:rsidRPr="00935BD4">
        <w:rPr>
          <w:szCs w:val="24"/>
          <w:lang w:val="nl-NL" w:eastAsia="en-US"/>
        </w:rPr>
        <w:tab/>
      </w:r>
      <w:r w:rsidRPr="00935BD4">
        <w:rPr>
          <w:b/>
          <w:i/>
          <w:szCs w:val="24"/>
          <w:lang w:val="nl-NL" w:eastAsia="en-US"/>
        </w:rPr>
        <w:t>61 sa 90 jum wara l-iskadenza msemmija fl-Artikolu 3 ta’ dan ir-Regolament;</w:t>
      </w:r>
    </w:p>
    <w:p w:rsidR="00935BD4" w:rsidRPr="00935BD4" w:rsidRDefault="00935BD4" w:rsidP="00935BD4">
      <w:pPr>
        <w:spacing w:before="120" w:after="120" w:line="360" w:lineRule="auto"/>
        <w:ind w:left="1982" w:hanging="566"/>
        <w:rPr>
          <w:szCs w:val="24"/>
          <w:lang w:val="nl-NL" w:eastAsia="en-US"/>
        </w:rPr>
      </w:pPr>
      <w:r w:rsidRPr="00935BD4">
        <w:rPr>
          <w:b/>
          <w:i/>
          <w:szCs w:val="24"/>
          <w:lang w:val="nl-NL" w:eastAsia="en-US"/>
        </w:rPr>
        <w:t>-</w:t>
      </w:r>
      <w:r w:rsidRPr="00935BD4">
        <w:rPr>
          <w:szCs w:val="24"/>
          <w:lang w:val="nl-NL" w:eastAsia="en-US"/>
        </w:rPr>
        <w:tab/>
      </w:r>
      <w:r w:rsidRPr="00935BD4">
        <w:rPr>
          <w:b/>
          <w:i/>
          <w:szCs w:val="24"/>
          <w:lang w:val="nl-NL" w:eastAsia="en-US"/>
        </w:rPr>
        <w:t>aktar minn 90 jum wara l-iskadenza msemmija fl-Artikolu 3 ta’ dan ir-Regolament;</w:t>
      </w:r>
    </w:p>
    <w:p w:rsidR="00935BD4" w:rsidRPr="00935BD4" w:rsidRDefault="00935BD4" w:rsidP="00935BD4">
      <w:pPr>
        <w:spacing w:before="120" w:after="120" w:line="360" w:lineRule="auto"/>
        <w:ind w:left="1416" w:hanging="566"/>
        <w:rPr>
          <w:szCs w:val="24"/>
          <w:lang w:val="nl-NL" w:eastAsia="en-US"/>
        </w:rPr>
      </w:pPr>
      <w:r w:rsidRPr="00935BD4">
        <w:rPr>
          <w:b/>
          <w:i/>
          <w:szCs w:val="24"/>
          <w:lang w:val="nl-NL" w:eastAsia="en-US"/>
        </w:rPr>
        <w:t>(b)</w:t>
      </w:r>
      <w:r w:rsidRPr="00935BD4">
        <w:rPr>
          <w:szCs w:val="24"/>
          <w:lang w:val="nl-NL" w:eastAsia="en-US"/>
        </w:rPr>
        <w:tab/>
      </w:r>
      <w:r w:rsidRPr="00935BD4">
        <w:rPr>
          <w:b/>
          <w:i/>
          <w:szCs w:val="24"/>
          <w:lang w:val="nl-NL" w:eastAsia="en-US"/>
        </w:rPr>
        <w:t>żmien medju biex titħallas fattura.</w:t>
      </w:r>
    </w:p>
    <w:p w:rsidR="00935BD4" w:rsidRPr="00935BD4" w:rsidRDefault="00935BD4" w:rsidP="00935BD4">
      <w:pPr>
        <w:spacing w:before="120" w:after="120" w:line="360" w:lineRule="auto"/>
        <w:ind w:left="850" w:hanging="850"/>
        <w:rPr>
          <w:b/>
          <w:szCs w:val="24"/>
          <w:lang w:val="nl-NL" w:eastAsia="en-US"/>
        </w:rPr>
      </w:pPr>
      <w:r w:rsidRPr="00935BD4">
        <w:rPr>
          <w:b/>
          <w:i/>
          <w:szCs w:val="24"/>
          <w:lang w:val="nl-NL" w:eastAsia="en-US"/>
        </w:rPr>
        <w:t>3.</w:t>
      </w:r>
      <w:r w:rsidRPr="00935BD4">
        <w:rPr>
          <w:szCs w:val="24"/>
          <w:lang w:val="nl-NL" w:eastAsia="en-US"/>
        </w:rPr>
        <w:tab/>
      </w:r>
      <w:r w:rsidRPr="00935BD4">
        <w:rPr>
          <w:b/>
          <w:i/>
          <w:szCs w:val="24"/>
          <w:lang w:val="nl-NL" w:eastAsia="en-US"/>
        </w:rPr>
        <w:t>Ir-rapport imsemmi fil-paragrafu 1 ta’ dan l-Artikolu għandu jiġi sottomess, f’forma elettronika, mill-awtoritajiet kontraenti lill-awtorità tal-infurzar tal-Istat Membru kif imsemmi fl-Artikolu 13 u jkun aċċessibbli għall-pubbliku.</w:t>
      </w:r>
      <w:r>
        <w:rPr>
          <w:b/>
          <w:szCs w:val="24"/>
          <w:lang w:val="nl-NL" w:eastAsia="en-US"/>
        </w:rPr>
        <w:t xml:space="preserve"> [Em. 80]</w:t>
      </w:r>
    </w:p>
    <w:p w:rsidR="00935BD4" w:rsidRDefault="00935BD4">
      <w:pPr>
        <w:widowControl/>
        <w:rPr>
          <w:szCs w:val="24"/>
          <w:lang w:val="nl-NL" w:eastAsia="en-US"/>
        </w:rPr>
      </w:pPr>
      <w:r>
        <w:rPr>
          <w:szCs w:val="24"/>
          <w:lang w:val="nl-NL" w:eastAsia="en-US"/>
        </w:rPr>
        <w:br w:type="page"/>
      </w:r>
    </w:p>
    <w:p w:rsidR="00935BD4" w:rsidRPr="00935BD4" w:rsidRDefault="00935BD4" w:rsidP="00935BD4">
      <w:pPr>
        <w:spacing w:before="120" w:after="120" w:line="360" w:lineRule="auto"/>
        <w:jc w:val="center"/>
        <w:rPr>
          <w:szCs w:val="24"/>
          <w:lang w:val="nl-NL" w:eastAsia="en-US"/>
        </w:rPr>
      </w:pPr>
      <w:r w:rsidRPr="00935BD4">
        <w:rPr>
          <w:szCs w:val="24"/>
          <w:lang w:val="nl-NL" w:eastAsia="en-US"/>
        </w:rPr>
        <w:lastRenderedPageBreak/>
        <w:t>Artikolu 17</w:t>
      </w:r>
      <w:r w:rsidRPr="00935BD4">
        <w:rPr>
          <w:szCs w:val="24"/>
          <w:lang w:val="nl-NL" w:eastAsia="en-US"/>
        </w:rPr>
        <w:br/>
        <w:t>Taħriġ fl-għodod diġitali, fil-ġestjoni tal-kreditu u fil-litteriżmu finanzjarju</w:t>
      </w:r>
    </w:p>
    <w:p w:rsidR="00935BD4" w:rsidRPr="00935BD4" w:rsidRDefault="00935BD4" w:rsidP="00935BD4">
      <w:pPr>
        <w:spacing w:before="120" w:after="120" w:line="360" w:lineRule="auto"/>
        <w:ind w:left="850" w:hanging="850"/>
        <w:rPr>
          <w:szCs w:val="24"/>
          <w:lang w:val="nl-NL" w:eastAsia="en-US"/>
        </w:rPr>
      </w:pPr>
      <w:r w:rsidRPr="00935BD4">
        <w:rPr>
          <w:szCs w:val="24"/>
          <w:lang w:val="nl-NL" w:eastAsia="en-US"/>
        </w:rPr>
        <w:t>1.</w:t>
      </w:r>
      <w:r w:rsidRPr="00935BD4">
        <w:rPr>
          <w:szCs w:val="24"/>
          <w:lang w:val="nl-NL" w:eastAsia="en-US"/>
        </w:rPr>
        <w:tab/>
        <w:t>Sa fejn possibbli, l-Istati Membri għandhom jużaw l-għodod diġitali għal infurzar effettiv ta’ dan ir-Regolament.</w:t>
      </w:r>
    </w:p>
    <w:p w:rsidR="00935BD4" w:rsidRPr="00935BD4" w:rsidRDefault="00935BD4" w:rsidP="00935BD4">
      <w:pPr>
        <w:spacing w:before="120" w:after="120" w:line="360" w:lineRule="auto"/>
        <w:ind w:left="850" w:hanging="850"/>
        <w:rPr>
          <w:b/>
          <w:szCs w:val="24"/>
          <w:lang w:val="nl-NL" w:eastAsia="en-US"/>
        </w:rPr>
      </w:pPr>
      <w:r w:rsidRPr="00935BD4">
        <w:rPr>
          <w:szCs w:val="24"/>
          <w:lang w:val="nl-NL" w:eastAsia="en-US"/>
        </w:rPr>
        <w:t>2.</w:t>
      </w:r>
      <w:r w:rsidRPr="00935BD4">
        <w:rPr>
          <w:szCs w:val="24"/>
          <w:lang w:val="nl-NL" w:eastAsia="en-US"/>
        </w:rPr>
        <w:tab/>
        <w:t xml:space="preserve">L-Istati Membri għandhom jiżguraw li </w:t>
      </w:r>
      <w:r w:rsidRPr="00935BD4">
        <w:rPr>
          <w:strike/>
          <w:szCs w:val="24"/>
          <w:lang w:val="nl-NL" w:eastAsia="en-US"/>
        </w:rPr>
        <w:t>t-taħriġ fl-għodod</w:t>
      </w:r>
      <w:r w:rsidRPr="00935BD4">
        <w:rPr>
          <w:b/>
          <w:i/>
          <w:szCs w:val="24"/>
          <w:lang w:val="nl-NL" w:eastAsia="en-US"/>
        </w:rPr>
        <w:t>l-għodod tal-fatturi u</w:t>
      </w:r>
      <w:r w:rsidRPr="00935BD4">
        <w:rPr>
          <w:szCs w:val="24"/>
          <w:lang w:val="nl-NL" w:eastAsia="en-US"/>
        </w:rPr>
        <w:t xml:space="preserve"> tal-ġestjoni tal-kreditu</w:t>
      </w:r>
      <w:r w:rsidRPr="00935BD4">
        <w:rPr>
          <w:b/>
          <w:i/>
          <w:szCs w:val="24"/>
          <w:lang w:val="nl-NL" w:eastAsia="en-US"/>
        </w:rPr>
        <w:t>, inklużi l-fatturament u servizzi simili ta’ finanzjament, kif ukoll it-taħriġ</w:t>
      </w:r>
      <w:r w:rsidRPr="00935BD4">
        <w:rPr>
          <w:strike/>
          <w:szCs w:val="24"/>
          <w:lang w:val="nl-NL" w:eastAsia="en-US"/>
        </w:rPr>
        <w:t xml:space="preserve"> u</w:t>
      </w:r>
      <w:r w:rsidRPr="00935BD4">
        <w:rPr>
          <w:szCs w:val="24"/>
          <w:lang w:val="nl-NL" w:eastAsia="en-US"/>
        </w:rPr>
        <w:t xml:space="preserve"> fil-litteriżmu finanzjarju </w:t>
      </w:r>
      <w:r w:rsidRPr="00935BD4">
        <w:rPr>
          <w:strike/>
          <w:szCs w:val="24"/>
          <w:lang w:val="nl-NL" w:eastAsia="en-US"/>
        </w:rPr>
        <w:t>jkun</w:t>
      </w:r>
      <w:r w:rsidRPr="00935BD4">
        <w:rPr>
          <w:b/>
          <w:i/>
          <w:szCs w:val="24"/>
          <w:lang w:val="nl-NL" w:eastAsia="en-US"/>
        </w:rPr>
        <w:t>u kwalunkwe inizjattiva oħra li tindirizza l-ħlasijiet tard ikunu</w:t>
      </w:r>
      <w:r w:rsidRPr="00935BD4">
        <w:rPr>
          <w:szCs w:val="24"/>
          <w:lang w:val="nl-NL" w:eastAsia="en-US"/>
        </w:rPr>
        <w:t xml:space="preserve"> disponibbli u aċċessibbli għall-intrapriżi żgħar u medji, inkluż it-taħriġ fl-użu tal-għodod diġitali għal ħlas fil-ħin.</w:t>
      </w:r>
      <w:r>
        <w:rPr>
          <w:b/>
          <w:szCs w:val="24"/>
          <w:lang w:val="nl-NL" w:eastAsia="en-US"/>
        </w:rPr>
        <w:t xml:space="preserve"> [Em. 81]</w:t>
      </w:r>
    </w:p>
    <w:p w:rsidR="00935BD4" w:rsidRPr="00935BD4" w:rsidRDefault="00935BD4" w:rsidP="00935BD4">
      <w:pPr>
        <w:spacing w:before="120" w:after="120" w:line="360" w:lineRule="auto"/>
        <w:jc w:val="center"/>
        <w:rPr>
          <w:szCs w:val="24"/>
          <w:lang w:val="nl-NL" w:eastAsia="en-US"/>
        </w:rPr>
      </w:pPr>
      <w:r w:rsidRPr="00935BD4">
        <w:rPr>
          <w:b/>
          <w:i/>
          <w:szCs w:val="24"/>
          <w:lang w:val="nl-NL" w:eastAsia="en-US"/>
        </w:rPr>
        <w:t>Artikolu 17a</w:t>
      </w:r>
      <w:r w:rsidRPr="00935BD4">
        <w:rPr>
          <w:szCs w:val="24"/>
          <w:lang w:val="nl-NL" w:eastAsia="en-US"/>
        </w:rPr>
        <w:br/>
      </w:r>
      <w:r w:rsidRPr="00935BD4">
        <w:rPr>
          <w:b/>
          <w:i/>
          <w:szCs w:val="24"/>
          <w:lang w:val="nl-NL" w:eastAsia="en-US"/>
        </w:rPr>
        <w:t>Osservatorju Ewropew tal-Ħlasijiet Tard</w:t>
      </w:r>
    </w:p>
    <w:p w:rsidR="00935BD4" w:rsidRPr="00935BD4" w:rsidRDefault="00935BD4" w:rsidP="00935BD4">
      <w:pPr>
        <w:spacing w:before="120" w:after="120" w:line="360" w:lineRule="auto"/>
        <w:ind w:left="850" w:hanging="850"/>
        <w:rPr>
          <w:szCs w:val="24"/>
          <w:lang w:val="nl-NL" w:eastAsia="en-US"/>
        </w:rPr>
      </w:pPr>
      <w:r w:rsidRPr="00935BD4">
        <w:rPr>
          <w:b/>
          <w:i/>
          <w:szCs w:val="24"/>
          <w:lang w:val="nl-NL" w:eastAsia="en-US"/>
        </w:rPr>
        <w:t>1.</w:t>
      </w:r>
      <w:r w:rsidRPr="00935BD4">
        <w:rPr>
          <w:szCs w:val="24"/>
          <w:lang w:val="nl-NL" w:eastAsia="en-US"/>
        </w:rPr>
        <w:tab/>
      </w:r>
      <w:r w:rsidRPr="00935BD4">
        <w:rPr>
          <w:b/>
          <w:i/>
          <w:szCs w:val="24"/>
          <w:lang w:val="nl-NL" w:eastAsia="en-US"/>
        </w:rPr>
        <w:t>Il-Kummissjoni għandha tistabbilixxi Osservatorju tal-Ħlasijiet Tard (L-Osservatorju) sa ... [</w:t>
      </w:r>
      <w:proofErr w:type="gramStart"/>
      <w:r w:rsidRPr="00935BD4">
        <w:rPr>
          <w:b/>
          <w:i/>
          <w:szCs w:val="24"/>
          <w:lang w:val="nl-NL" w:eastAsia="en-US"/>
        </w:rPr>
        <w:t>OP</w:t>
      </w:r>
      <w:proofErr w:type="gramEnd"/>
      <w:r w:rsidRPr="00935BD4">
        <w:rPr>
          <w:b/>
          <w:i/>
          <w:szCs w:val="24"/>
          <w:lang w:val="nl-NL" w:eastAsia="en-US"/>
        </w:rPr>
        <w:t>: [id-data ta’ applikazzjoni ta’ dan ir-Regolament].</w:t>
      </w:r>
    </w:p>
    <w:p w:rsidR="00935BD4" w:rsidRPr="00935BD4" w:rsidRDefault="00935BD4" w:rsidP="00935BD4">
      <w:pPr>
        <w:spacing w:before="120" w:after="120" w:line="360" w:lineRule="auto"/>
        <w:ind w:left="850" w:hanging="850"/>
        <w:rPr>
          <w:szCs w:val="24"/>
          <w:lang w:val="nl-NL" w:eastAsia="en-US"/>
        </w:rPr>
      </w:pPr>
      <w:r w:rsidRPr="00935BD4">
        <w:rPr>
          <w:b/>
          <w:i/>
          <w:szCs w:val="24"/>
          <w:lang w:val="nl-NL" w:eastAsia="en-US"/>
        </w:rPr>
        <w:t>2.</w:t>
      </w:r>
      <w:r w:rsidRPr="00935BD4">
        <w:rPr>
          <w:szCs w:val="24"/>
          <w:lang w:val="nl-NL" w:eastAsia="en-US"/>
        </w:rPr>
        <w:tab/>
      </w:r>
      <w:r w:rsidRPr="00935BD4">
        <w:rPr>
          <w:b/>
          <w:i/>
          <w:szCs w:val="24"/>
          <w:lang w:val="nl-NL" w:eastAsia="en-US"/>
        </w:rPr>
        <w:t>L-Osservatorju għandu jimmonitorja l-prattiki ta’ ħlas kif ukoll ta’ ħlas tard fl-Unjoni sabiex jiġbor u jikkondividi l-għarfien espert, l-aħjar prattiki u jidentifika prattiki ta’ ħsara potenzjali, kif ukoll l-effettività tal-awtoritajiet tal-infurzar fit-twettiq tal-kompiti tagħhom, bil-għan li jipprovdi lill-Kummissjoni b’pariri u b’għarfien espert dwar l-evoluzzjoni tal-prattiki ta’ ħlas u ta’ ħlas tard.</w:t>
      </w:r>
    </w:p>
    <w:p w:rsidR="00935BD4" w:rsidRDefault="00935BD4">
      <w:pPr>
        <w:widowControl/>
        <w:rPr>
          <w:b/>
          <w:i/>
          <w:szCs w:val="24"/>
          <w:lang w:val="nl-NL" w:eastAsia="en-US"/>
        </w:rPr>
      </w:pPr>
      <w:r>
        <w:rPr>
          <w:b/>
          <w:i/>
          <w:szCs w:val="24"/>
          <w:lang w:val="nl-NL" w:eastAsia="en-US"/>
        </w:rPr>
        <w:br w:type="page"/>
      </w:r>
    </w:p>
    <w:p w:rsidR="00935BD4" w:rsidRPr="00935BD4" w:rsidRDefault="00935BD4" w:rsidP="00935BD4">
      <w:pPr>
        <w:spacing w:before="120" w:after="120" w:line="360" w:lineRule="auto"/>
        <w:ind w:left="850" w:hanging="850"/>
        <w:rPr>
          <w:szCs w:val="24"/>
          <w:lang w:val="nl-NL" w:eastAsia="en-US"/>
        </w:rPr>
      </w:pPr>
      <w:r w:rsidRPr="00935BD4">
        <w:rPr>
          <w:b/>
          <w:i/>
          <w:szCs w:val="24"/>
          <w:lang w:val="nl-NL" w:eastAsia="en-US"/>
        </w:rPr>
        <w:lastRenderedPageBreak/>
        <w:t>3.</w:t>
      </w:r>
      <w:r w:rsidRPr="00935BD4">
        <w:rPr>
          <w:szCs w:val="24"/>
          <w:lang w:val="nl-NL" w:eastAsia="en-US"/>
        </w:rPr>
        <w:tab/>
      </w:r>
      <w:r w:rsidRPr="00935BD4">
        <w:rPr>
          <w:b/>
          <w:i/>
          <w:szCs w:val="24"/>
          <w:lang w:val="nl-NL" w:eastAsia="en-US"/>
        </w:rPr>
        <w:t>L-Istati Membri għandhom jikkomunikaw lill-Osservatorju:</w:t>
      </w:r>
    </w:p>
    <w:p w:rsidR="00935BD4" w:rsidRPr="00935BD4" w:rsidRDefault="00935BD4" w:rsidP="00935BD4">
      <w:pPr>
        <w:spacing w:before="120" w:after="120" w:line="360" w:lineRule="auto"/>
        <w:ind w:left="1416" w:hanging="566"/>
        <w:rPr>
          <w:szCs w:val="24"/>
          <w:lang w:val="nl-NL" w:eastAsia="en-US"/>
        </w:rPr>
      </w:pPr>
      <w:r w:rsidRPr="00935BD4">
        <w:rPr>
          <w:b/>
          <w:i/>
          <w:szCs w:val="24"/>
          <w:lang w:val="nl-NL" w:eastAsia="en-US"/>
        </w:rPr>
        <w:t>(a)</w:t>
      </w:r>
      <w:r w:rsidRPr="00935BD4">
        <w:rPr>
          <w:szCs w:val="24"/>
          <w:lang w:val="nl-NL" w:eastAsia="en-US"/>
        </w:rPr>
        <w:tab/>
      </w:r>
      <w:r w:rsidRPr="00935BD4">
        <w:rPr>
          <w:b/>
          <w:i/>
          <w:szCs w:val="24"/>
          <w:lang w:val="nl-NL" w:eastAsia="en-US"/>
        </w:rPr>
        <w:t>listi ta’ oġġetti u servizzi soġġetti għall-proċedura ta’ aċċettazzjoni jew verifika stabbilita fl-Artikolu 3(2).</w:t>
      </w:r>
    </w:p>
    <w:p w:rsidR="00935BD4" w:rsidRPr="00935BD4" w:rsidRDefault="00935BD4" w:rsidP="00935BD4">
      <w:pPr>
        <w:spacing w:before="120" w:after="120" w:line="360" w:lineRule="auto"/>
        <w:ind w:left="1416" w:hanging="566"/>
        <w:rPr>
          <w:szCs w:val="24"/>
          <w:lang w:val="it-IT" w:eastAsia="en-US"/>
        </w:rPr>
      </w:pPr>
      <w:r w:rsidRPr="00935BD4">
        <w:rPr>
          <w:b/>
          <w:i/>
          <w:szCs w:val="24"/>
          <w:lang w:val="it-IT" w:eastAsia="en-US"/>
        </w:rPr>
        <w:t>(b)</w:t>
      </w:r>
      <w:r w:rsidRPr="00935BD4">
        <w:rPr>
          <w:szCs w:val="24"/>
          <w:lang w:val="it-IT" w:eastAsia="en-US"/>
        </w:rPr>
        <w:tab/>
      </w:r>
      <w:r w:rsidRPr="00935BD4">
        <w:rPr>
          <w:b/>
          <w:i/>
          <w:szCs w:val="24"/>
          <w:lang w:val="it-IT" w:eastAsia="en-US"/>
        </w:rPr>
        <w:t>data aggregata li jkun fiha l-informazzjoni msemmija fl-Artikoli 13(3a), 14(1), 14(2) u 16</w:t>
      </w:r>
      <w:proofErr w:type="gramStart"/>
      <w:r w:rsidRPr="00935BD4">
        <w:rPr>
          <w:b/>
          <w:i/>
          <w:szCs w:val="24"/>
          <w:lang w:val="it-IT" w:eastAsia="en-US"/>
        </w:rPr>
        <w:t>a(</w:t>
      </w:r>
      <w:proofErr w:type="gramEnd"/>
      <w:r w:rsidRPr="00935BD4">
        <w:rPr>
          <w:b/>
          <w:i/>
          <w:szCs w:val="24"/>
          <w:lang w:val="it-IT" w:eastAsia="en-US"/>
        </w:rPr>
        <w:t>3);</w:t>
      </w:r>
    </w:p>
    <w:p w:rsidR="00935BD4" w:rsidRPr="00935BD4" w:rsidRDefault="00935BD4" w:rsidP="00935BD4">
      <w:pPr>
        <w:spacing w:before="120" w:after="120" w:line="360" w:lineRule="auto"/>
        <w:ind w:left="1416" w:hanging="566"/>
        <w:rPr>
          <w:szCs w:val="24"/>
          <w:lang w:val="it-IT" w:eastAsia="en-US"/>
        </w:rPr>
      </w:pPr>
      <w:r w:rsidRPr="00935BD4">
        <w:rPr>
          <w:b/>
          <w:i/>
          <w:szCs w:val="24"/>
          <w:lang w:val="it-IT" w:eastAsia="en-US"/>
        </w:rPr>
        <w:t>(c)</w:t>
      </w:r>
      <w:r w:rsidRPr="00935BD4">
        <w:rPr>
          <w:szCs w:val="24"/>
          <w:lang w:val="it-IT" w:eastAsia="en-US"/>
        </w:rPr>
        <w:tab/>
      </w:r>
      <w:r w:rsidRPr="00935BD4">
        <w:rPr>
          <w:b/>
          <w:i/>
          <w:szCs w:val="24"/>
          <w:lang w:val="it-IT" w:eastAsia="en-US"/>
        </w:rPr>
        <w:t>informazzjoni dwar l-awtoritajiet tal-infurzar, l-għadd ta’ lmenti u investigazzjonijiet u miżuri meħuda;</w:t>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t>4.</w:t>
      </w:r>
      <w:r w:rsidRPr="00935BD4">
        <w:rPr>
          <w:szCs w:val="24"/>
          <w:lang w:val="it-IT" w:eastAsia="en-US"/>
        </w:rPr>
        <w:tab/>
      </w:r>
      <w:r w:rsidRPr="00935BD4">
        <w:rPr>
          <w:b/>
          <w:i/>
          <w:szCs w:val="24"/>
          <w:lang w:val="it-IT" w:eastAsia="en-US"/>
        </w:rPr>
        <w:t>L-Osservatorju għandu joħroġ rapporti annwali, opinjonijiet u kontributi bil-miktub relatati mal-implimentazzjoni ta’ dan ir-Regolament, inklużi l-valutazzjoni u l-linji gwida għall-infurzar effettiv ta’ dan ir-Regolament.</w:t>
      </w:r>
    </w:p>
    <w:p w:rsidR="00935BD4" w:rsidRPr="00935BD4" w:rsidRDefault="00935BD4" w:rsidP="00935BD4">
      <w:pPr>
        <w:spacing w:before="120" w:after="120" w:line="360" w:lineRule="auto"/>
        <w:ind w:left="850" w:hanging="850"/>
        <w:rPr>
          <w:b/>
          <w:szCs w:val="24"/>
          <w:lang w:val="it-IT" w:eastAsia="en-US"/>
        </w:rPr>
      </w:pPr>
      <w:r w:rsidRPr="00935BD4">
        <w:rPr>
          <w:b/>
          <w:i/>
          <w:szCs w:val="24"/>
          <w:lang w:val="it-IT" w:eastAsia="en-US"/>
        </w:rPr>
        <w:t>5.</w:t>
      </w:r>
      <w:r w:rsidRPr="00935BD4">
        <w:rPr>
          <w:szCs w:val="24"/>
          <w:lang w:val="it-IT" w:eastAsia="en-US"/>
        </w:rPr>
        <w:tab/>
      </w:r>
      <w:r w:rsidRPr="00935BD4">
        <w:rPr>
          <w:b/>
          <w:i/>
          <w:szCs w:val="24"/>
          <w:lang w:val="it-IT" w:eastAsia="en-US"/>
        </w:rPr>
        <w:t>L-Osservatorju għandu jkun ippresedut mill-Kummissjoni u għandu jkun magħmul minn rappreżentanti ta’ esperti u ta’ partijiet ikkonċernati rilevanti. Il-kompożizzjoni tal-bord għandha tiżgura rappreżentanza bbilanċjata tal-partijiet interessati kollha.</w:t>
      </w:r>
      <w:r>
        <w:rPr>
          <w:b/>
          <w:szCs w:val="24"/>
          <w:lang w:val="it-IT" w:eastAsia="en-US"/>
        </w:rPr>
        <w:t xml:space="preserve"> [Em. 82]</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b/>
          <w:i/>
          <w:szCs w:val="24"/>
          <w:lang w:val="it-IT" w:eastAsia="en-US"/>
        </w:rPr>
        <w:lastRenderedPageBreak/>
        <w:t>Artikolu 17b</w:t>
      </w:r>
      <w:r w:rsidRPr="00935BD4">
        <w:rPr>
          <w:szCs w:val="24"/>
          <w:lang w:val="it-IT" w:eastAsia="en-US"/>
        </w:rPr>
        <w:br/>
      </w:r>
      <w:r w:rsidRPr="00935BD4">
        <w:rPr>
          <w:b/>
          <w:i/>
          <w:szCs w:val="24"/>
          <w:lang w:val="it-IT" w:eastAsia="en-US"/>
        </w:rPr>
        <w:t>Emendi għar-Regolament (KE) Nru 1896/2006</w:t>
      </w:r>
    </w:p>
    <w:p w:rsidR="00935BD4" w:rsidRPr="00935BD4" w:rsidRDefault="00935BD4" w:rsidP="00935BD4">
      <w:pPr>
        <w:spacing w:before="120" w:after="120" w:line="360" w:lineRule="auto"/>
        <w:rPr>
          <w:szCs w:val="24"/>
          <w:lang w:val="it-IT" w:eastAsia="en-US"/>
        </w:rPr>
      </w:pPr>
      <w:r w:rsidRPr="00935BD4">
        <w:rPr>
          <w:b/>
          <w:i/>
          <w:szCs w:val="24"/>
          <w:lang w:val="it-IT" w:eastAsia="en-US"/>
        </w:rPr>
        <w:t>Ir-Regolament (KE) Nru 1896/2006 huwa emendat kif ġej:</w:t>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t>(1)</w:t>
      </w:r>
      <w:r w:rsidRPr="00935BD4">
        <w:rPr>
          <w:szCs w:val="24"/>
          <w:lang w:val="it-IT" w:eastAsia="en-US"/>
        </w:rPr>
        <w:tab/>
      </w:r>
      <w:r w:rsidRPr="00935BD4">
        <w:rPr>
          <w:b/>
          <w:i/>
          <w:szCs w:val="24"/>
          <w:lang w:val="it-IT" w:eastAsia="en-US"/>
        </w:rPr>
        <w:t>L-Artikolu 7 huwa emendat kif ġej:</w:t>
      </w:r>
    </w:p>
    <w:p w:rsidR="00935BD4" w:rsidRPr="00935BD4" w:rsidRDefault="00935BD4" w:rsidP="00935BD4">
      <w:pPr>
        <w:spacing w:before="120" w:after="120" w:line="360" w:lineRule="auto"/>
        <w:ind w:left="1416" w:hanging="566"/>
        <w:rPr>
          <w:szCs w:val="24"/>
          <w:lang w:val="it-IT" w:eastAsia="en-US"/>
        </w:rPr>
      </w:pPr>
      <w:r w:rsidRPr="00935BD4">
        <w:rPr>
          <w:b/>
          <w:i/>
          <w:szCs w:val="24"/>
          <w:lang w:val="it-IT" w:eastAsia="en-US"/>
        </w:rPr>
        <w:t>(a)</w:t>
      </w:r>
      <w:r w:rsidRPr="00935BD4">
        <w:rPr>
          <w:szCs w:val="24"/>
          <w:lang w:val="it-IT" w:eastAsia="en-US"/>
        </w:rPr>
        <w:tab/>
      </w:r>
      <w:r w:rsidRPr="00935BD4">
        <w:rPr>
          <w:b/>
          <w:i/>
          <w:szCs w:val="24"/>
          <w:lang w:val="it-IT" w:eastAsia="en-US"/>
        </w:rPr>
        <w:t xml:space="preserve">il-paragrafu 5 huwa sostitwit b’dan li ġej: </w:t>
      </w:r>
    </w:p>
    <w:p w:rsidR="00935BD4" w:rsidRPr="00935BD4" w:rsidRDefault="00935BD4" w:rsidP="00935BD4">
      <w:pPr>
        <w:spacing w:before="120" w:after="120" w:line="360" w:lineRule="auto"/>
        <w:ind w:left="1982" w:hanging="566"/>
        <w:rPr>
          <w:szCs w:val="24"/>
          <w:lang w:val="it-IT" w:eastAsia="en-US"/>
        </w:rPr>
      </w:pPr>
      <w:r w:rsidRPr="00935BD4">
        <w:rPr>
          <w:szCs w:val="24"/>
          <w:lang w:val="it-IT" w:eastAsia="en-US"/>
        </w:rPr>
        <w:t>“</w:t>
      </w:r>
      <w:r w:rsidRPr="00935BD4">
        <w:rPr>
          <w:b/>
          <w:i/>
          <w:szCs w:val="24"/>
          <w:lang w:val="it-IT" w:eastAsia="en-US"/>
        </w:rPr>
        <w:t>5.</w:t>
      </w:r>
      <w:r w:rsidRPr="00935BD4">
        <w:rPr>
          <w:szCs w:val="24"/>
          <w:lang w:val="it-IT" w:eastAsia="en-US"/>
        </w:rPr>
        <w:tab/>
      </w:r>
      <w:r w:rsidRPr="00935BD4">
        <w:rPr>
          <w:b/>
          <w:i/>
          <w:szCs w:val="24"/>
          <w:lang w:val="it-IT" w:eastAsia="en-US"/>
        </w:rPr>
        <w:t>L-applikazzjoni għandha tiġi sottomessa b’mod elettroniku.</w:t>
      </w:r>
      <w:r w:rsidRPr="00935BD4">
        <w:rPr>
          <w:szCs w:val="24"/>
          <w:lang w:val="it-IT" w:eastAsia="en-US"/>
        </w:rPr>
        <w:t>”</w:t>
      </w:r>
    </w:p>
    <w:p w:rsidR="00935BD4" w:rsidRPr="00935BD4" w:rsidRDefault="00935BD4" w:rsidP="00935BD4">
      <w:pPr>
        <w:spacing w:before="120" w:after="120" w:line="360" w:lineRule="auto"/>
        <w:ind w:left="1416" w:hanging="566"/>
        <w:rPr>
          <w:szCs w:val="24"/>
          <w:lang w:val="it-IT" w:eastAsia="en-US"/>
        </w:rPr>
      </w:pPr>
      <w:r w:rsidRPr="00935BD4">
        <w:rPr>
          <w:b/>
          <w:i/>
          <w:szCs w:val="24"/>
          <w:lang w:val="it-IT" w:eastAsia="en-US"/>
        </w:rPr>
        <w:t>(b)</w:t>
      </w:r>
      <w:r w:rsidRPr="00935BD4">
        <w:rPr>
          <w:szCs w:val="24"/>
          <w:lang w:val="it-IT" w:eastAsia="en-US"/>
        </w:rPr>
        <w:tab/>
      </w:r>
      <w:r w:rsidRPr="00935BD4">
        <w:rPr>
          <w:b/>
          <w:i/>
          <w:szCs w:val="24"/>
          <w:lang w:val="it-IT" w:eastAsia="en-US"/>
        </w:rPr>
        <w:t xml:space="preserve">il-paragrafu 6 huwa sostitwit b’dan li ġej: </w:t>
      </w:r>
    </w:p>
    <w:p w:rsidR="00935BD4" w:rsidRPr="00935BD4" w:rsidRDefault="00935BD4" w:rsidP="00935BD4">
      <w:pPr>
        <w:spacing w:before="120" w:after="120" w:line="360" w:lineRule="auto"/>
        <w:ind w:left="1982" w:hanging="566"/>
        <w:rPr>
          <w:szCs w:val="24"/>
          <w:lang w:val="it-IT" w:eastAsia="en-US"/>
        </w:rPr>
      </w:pPr>
      <w:r w:rsidRPr="00935BD4">
        <w:rPr>
          <w:szCs w:val="24"/>
          <w:lang w:val="it-IT" w:eastAsia="en-US"/>
        </w:rPr>
        <w:t>“</w:t>
      </w:r>
      <w:r w:rsidRPr="00935BD4">
        <w:rPr>
          <w:b/>
          <w:i/>
          <w:szCs w:val="24"/>
          <w:lang w:val="it-IT" w:eastAsia="en-US"/>
        </w:rPr>
        <w:t>6.</w:t>
      </w:r>
      <w:r w:rsidRPr="00935BD4">
        <w:rPr>
          <w:szCs w:val="24"/>
          <w:lang w:val="it-IT" w:eastAsia="en-US"/>
        </w:rPr>
        <w:tab/>
      </w:r>
      <w:r w:rsidRPr="00935BD4">
        <w:rPr>
          <w:b/>
          <w:i/>
          <w:szCs w:val="24"/>
          <w:lang w:val="it-IT" w:eastAsia="en-US"/>
        </w:rPr>
        <w:t>L-applikazzjoni għandha tiġi ffirmata b’mod elettroniku f’konformità mal-Artikolu [2(2)] tar-Regolament (UE) Nru 910/2014 tal-Parlament Ewropew u tal-Kunsill tat-23 ta’ Lulju 2014 dwar l-identifikazzjoni elettronika u s-servizzi fiduċjarji għal tranżazzjonijiet elettroniċi fis-suq intern. Din il-firma għandha tiġi rikonoxxuta fl-Istat Membru ta’ oriġini mingħajr ma tiġi imposta ebda kundizzjoni oħra. L-Istati Membri għandhom jintroduċu sistemi alternattivi ta’ komunikazzjoni elettronika li jippermettu l-identifikazzjoni sigura tal-utenti. F’dan il-każ, m’għandhiex tkun meħtieġa firma elettronika.</w:t>
      </w:r>
      <w:r w:rsidRPr="00935BD4">
        <w:rPr>
          <w:szCs w:val="24"/>
          <w:lang w:val="it-IT" w:eastAsia="en-US"/>
        </w:rPr>
        <w:t>”</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lastRenderedPageBreak/>
        <w:t>(2)</w:t>
      </w:r>
      <w:r w:rsidRPr="00935BD4">
        <w:rPr>
          <w:szCs w:val="24"/>
          <w:lang w:val="it-IT" w:eastAsia="en-US"/>
        </w:rPr>
        <w:tab/>
      </w:r>
      <w:r w:rsidRPr="00935BD4">
        <w:rPr>
          <w:b/>
          <w:i/>
          <w:szCs w:val="24"/>
          <w:lang w:val="it-IT" w:eastAsia="en-US"/>
        </w:rPr>
        <w:t xml:space="preserve">l-Artikolu 12(1) huwa sostitwit b’dan li ġej: </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w:t>
      </w:r>
      <w:r w:rsidRPr="00935BD4">
        <w:rPr>
          <w:b/>
          <w:i/>
          <w:szCs w:val="24"/>
          <w:lang w:val="it-IT" w:eastAsia="en-US"/>
        </w:rPr>
        <w:t>1.</w:t>
      </w:r>
      <w:r w:rsidRPr="00935BD4">
        <w:rPr>
          <w:szCs w:val="24"/>
          <w:lang w:val="it-IT" w:eastAsia="en-US"/>
        </w:rPr>
        <w:tab/>
      </w:r>
      <w:r w:rsidRPr="00935BD4">
        <w:rPr>
          <w:b/>
          <w:i/>
          <w:szCs w:val="24"/>
          <w:lang w:val="it-IT" w:eastAsia="en-US"/>
        </w:rPr>
        <w:t>Jekk jiġu ssodisfati l-kundizzjonijiet stabbiliti fl-Artikolu 8, il-qorti għandha toħroġ ordni ta’ ħlas Ewropea bl-użu tal-formola E kif stabbilit fl-Anness V fi żmien 14-il jum mill-preżentazzjoni ta’ applikazzjoni. Fil-kalkolu tal-perjodu ta’ 14-il jum, ma għandux jitqies iż-żmien meħud mir-rikorrent biex jikkompleta, jikkoreġi jew jemenda l-applikazzjoni.</w:t>
      </w:r>
      <w:r w:rsidRPr="00935BD4">
        <w:rPr>
          <w:szCs w:val="24"/>
          <w:lang w:val="it-IT" w:eastAsia="en-US"/>
        </w:rPr>
        <w:t>”</w:t>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t>(3)</w:t>
      </w:r>
      <w:r w:rsidRPr="00935BD4">
        <w:rPr>
          <w:szCs w:val="24"/>
          <w:lang w:val="it-IT" w:eastAsia="en-US"/>
        </w:rPr>
        <w:tab/>
      </w:r>
      <w:r w:rsidRPr="00935BD4">
        <w:rPr>
          <w:b/>
          <w:i/>
          <w:szCs w:val="24"/>
          <w:lang w:val="it-IT" w:eastAsia="en-US"/>
        </w:rPr>
        <w:t xml:space="preserve">L-Artikolu 16(2) huwa sostitwit b’dan li ġej: </w:t>
      </w:r>
    </w:p>
    <w:p w:rsidR="00935BD4" w:rsidRPr="00935BD4" w:rsidRDefault="00935BD4" w:rsidP="00935BD4">
      <w:pPr>
        <w:spacing w:before="120" w:after="120" w:line="360" w:lineRule="auto"/>
        <w:ind w:left="1416" w:hanging="566"/>
        <w:rPr>
          <w:b/>
          <w:szCs w:val="24"/>
          <w:lang w:val="it-IT" w:eastAsia="en-US"/>
        </w:rPr>
      </w:pPr>
      <w:r w:rsidRPr="00935BD4">
        <w:rPr>
          <w:szCs w:val="24"/>
          <w:lang w:val="it-IT" w:eastAsia="en-US"/>
        </w:rPr>
        <w:t>“</w:t>
      </w:r>
      <w:r w:rsidRPr="00935BD4">
        <w:rPr>
          <w:b/>
          <w:i/>
          <w:szCs w:val="24"/>
          <w:lang w:val="it-IT" w:eastAsia="en-US"/>
        </w:rPr>
        <w:t>2.</w:t>
      </w:r>
      <w:r w:rsidRPr="00935BD4">
        <w:rPr>
          <w:szCs w:val="24"/>
          <w:lang w:val="it-IT" w:eastAsia="en-US"/>
        </w:rPr>
        <w:tab/>
      </w:r>
      <w:r w:rsidRPr="00935BD4">
        <w:rPr>
          <w:b/>
          <w:i/>
          <w:szCs w:val="24"/>
          <w:lang w:val="it-IT" w:eastAsia="en-US"/>
        </w:rPr>
        <w:t>Id-dikjarazzjoni ta’ oppożizzjoni għandha tintbagħat lill-konvenut fi żmien 14-il jum mid-data tan-notifika tal-ordni ta’ ħlas.</w:t>
      </w:r>
      <w:r w:rsidRPr="00935BD4">
        <w:rPr>
          <w:szCs w:val="24"/>
          <w:lang w:val="it-IT" w:eastAsia="en-US"/>
        </w:rPr>
        <w:t>”</w:t>
      </w:r>
      <w:r>
        <w:rPr>
          <w:b/>
          <w:szCs w:val="24"/>
          <w:lang w:val="it-IT" w:eastAsia="en-US"/>
        </w:rPr>
        <w:t xml:space="preserve"> [Em. 83]</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b/>
          <w:i/>
          <w:szCs w:val="24"/>
          <w:lang w:val="it-IT" w:eastAsia="en-US"/>
        </w:rPr>
        <w:lastRenderedPageBreak/>
        <w:t>Artikolu 17c</w:t>
      </w:r>
      <w:r w:rsidRPr="00935BD4">
        <w:rPr>
          <w:szCs w:val="24"/>
          <w:lang w:val="it-IT" w:eastAsia="en-US"/>
        </w:rPr>
        <w:br/>
      </w:r>
      <w:r w:rsidRPr="00935BD4">
        <w:rPr>
          <w:b/>
          <w:i/>
          <w:szCs w:val="24"/>
          <w:lang w:val="it-IT" w:eastAsia="en-US"/>
        </w:rPr>
        <w:t>Emendi għar-Regolament (KE) Nru 861/2007</w:t>
      </w:r>
    </w:p>
    <w:p w:rsidR="00935BD4" w:rsidRPr="00935BD4" w:rsidRDefault="00935BD4" w:rsidP="00935BD4">
      <w:pPr>
        <w:spacing w:before="120" w:after="120" w:line="360" w:lineRule="auto"/>
        <w:rPr>
          <w:szCs w:val="24"/>
          <w:lang w:val="it-IT" w:eastAsia="en-US"/>
        </w:rPr>
      </w:pPr>
      <w:r w:rsidRPr="00935BD4">
        <w:rPr>
          <w:b/>
          <w:i/>
          <w:szCs w:val="24"/>
          <w:lang w:val="it-IT" w:eastAsia="en-US"/>
        </w:rPr>
        <w:t>Ir-Regolament (KE) Nru 861/2007 huwa emendat kif ġej:</w:t>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t>(1)</w:t>
      </w:r>
      <w:r w:rsidRPr="00935BD4">
        <w:rPr>
          <w:szCs w:val="24"/>
          <w:lang w:val="it-IT" w:eastAsia="en-US"/>
        </w:rPr>
        <w:tab/>
      </w:r>
      <w:r w:rsidRPr="00935BD4">
        <w:rPr>
          <w:b/>
          <w:i/>
          <w:szCs w:val="24"/>
          <w:lang w:val="it-IT" w:eastAsia="en-US"/>
        </w:rPr>
        <w:t>L-Artikolu 7 huwa emendat kif ġej:</w:t>
      </w:r>
    </w:p>
    <w:p w:rsidR="00935BD4" w:rsidRPr="00935BD4" w:rsidRDefault="00935BD4" w:rsidP="00935BD4">
      <w:pPr>
        <w:spacing w:before="120" w:after="120" w:line="360" w:lineRule="auto"/>
        <w:ind w:left="1416" w:hanging="566"/>
        <w:rPr>
          <w:szCs w:val="24"/>
          <w:lang w:val="it-IT" w:eastAsia="en-US"/>
        </w:rPr>
      </w:pPr>
      <w:r w:rsidRPr="00935BD4">
        <w:rPr>
          <w:b/>
          <w:i/>
          <w:szCs w:val="24"/>
          <w:lang w:val="it-IT" w:eastAsia="en-US"/>
        </w:rPr>
        <w:t>(a)</w:t>
      </w:r>
      <w:r w:rsidRPr="00935BD4">
        <w:rPr>
          <w:szCs w:val="24"/>
          <w:lang w:val="it-IT" w:eastAsia="en-US"/>
        </w:rPr>
        <w:tab/>
      </w:r>
      <w:r w:rsidRPr="00935BD4">
        <w:rPr>
          <w:b/>
          <w:i/>
          <w:szCs w:val="24"/>
          <w:lang w:val="it-IT" w:eastAsia="en-US"/>
        </w:rPr>
        <w:t xml:space="preserve">Il-paragrafu 1 huwa sostitwit b’dan li ġej: </w:t>
      </w:r>
    </w:p>
    <w:p w:rsidR="00935BD4" w:rsidRPr="00935BD4" w:rsidRDefault="00935BD4" w:rsidP="00935BD4">
      <w:pPr>
        <w:spacing w:before="120" w:after="120" w:line="360" w:lineRule="auto"/>
        <w:ind w:left="1982" w:hanging="566"/>
        <w:rPr>
          <w:szCs w:val="24"/>
          <w:lang w:val="it-IT" w:eastAsia="en-US"/>
        </w:rPr>
      </w:pPr>
      <w:r w:rsidRPr="00935BD4">
        <w:rPr>
          <w:szCs w:val="24"/>
          <w:lang w:val="it-IT" w:eastAsia="en-US"/>
        </w:rPr>
        <w:t>“</w:t>
      </w:r>
      <w:r w:rsidRPr="00935BD4">
        <w:rPr>
          <w:b/>
          <w:i/>
          <w:szCs w:val="24"/>
          <w:lang w:val="it-IT" w:eastAsia="en-US"/>
        </w:rPr>
        <w:t>1.</w:t>
      </w:r>
      <w:r w:rsidRPr="00935BD4">
        <w:rPr>
          <w:szCs w:val="24"/>
          <w:lang w:val="it-IT" w:eastAsia="en-US"/>
        </w:rPr>
        <w:tab/>
      </w:r>
      <w:r w:rsidRPr="00935BD4">
        <w:rPr>
          <w:b/>
          <w:i/>
          <w:szCs w:val="24"/>
          <w:lang w:val="it-IT" w:eastAsia="en-US"/>
        </w:rPr>
        <w:t>Fi żmien 14-il jum minn meta tirċievi t-tweġibiet tal-konvenut jew tar-rikorrent fit-terminu stabbilit fl-Artikolu 5(3) jew (6), il-qorti għandha tagħti sentenza jew tipproċedi kif ġej:</w:t>
      </w:r>
    </w:p>
    <w:p w:rsidR="00935BD4" w:rsidRPr="00935BD4" w:rsidRDefault="00935BD4" w:rsidP="00935BD4">
      <w:pPr>
        <w:spacing w:before="120" w:after="120" w:line="360" w:lineRule="auto"/>
        <w:ind w:left="2548" w:hanging="566"/>
        <w:rPr>
          <w:szCs w:val="24"/>
          <w:lang w:val="it-IT" w:eastAsia="en-US"/>
        </w:rPr>
      </w:pPr>
      <w:r w:rsidRPr="00935BD4">
        <w:rPr>
          <w:b/>
          <w:i/>
          <w:szCs w:val="24"/>
          <w:lang w:val="it-IT" w:eastAsia="en-US"/>
        </w:rPr>
        <w:t>(a)</w:t>
      </w:r>
      <w:r w:rsidRPr="00935BD4">
        <w:rPr>
          <w:szCs w:val="24"/>
          <w:lang w:val="it-IT" w:eastAsia="en-US"/>
        </w:rPr>
        <w:tab/>
      </w:r>
      <w:r w:rsidRPr="00935BD4">
        <w:rPr>
          <w:b/>
          <w:i/>
          <w:szCs w:val="24"/>
          <w:lang w:val="it-IT" w:eastAsia="en-US"/>
        </w:rPr>
        <w:t>tistieden lill-partijiet jipprovdu aktar informazzjoni relatata mat-talba f’perjodu speċifikat, li ma għandux jaqbeż l-14-il jum;</w:t>
      </w:r>
    </w:p>
    <w:p w:rsidR="00935BD4" w:rsidRPr="00935BD4" w:rsidRDefault="00935BD4" w:rsidP="00935BD4">
      <w:pPr>
        <w:spacing w:before="120" w:after="120" w:line="360" w:lineRule="auto"/>
        <w:ind w:left="2548" w:hanging="566"/>
        <w:rPr>
          <w:szCs w:val="24"/>
          <w:lang w:val="it-IT" w:eastAsia="en-US"/>
        </w:rPr>
      </w:pPr>
      <w:r w:rsidRPr="00935BD4">
        <w:rPr>
          <w:b/>
          <w:i/>
          <w:szCs w:val="24"/>
          <w:lang w:val="it-IT" w:eastAsia="en-US"/>
        </w:rPr>
        <w:t>(b)</w:t>
      </w:r>
      <w:r w:rsidRPr="00935BD4">
        <w:rPr>
          <w:szCs w:val="24"/>
          <w:lang w:val="it-IT" w:eastAsia="en-US"/>
        </w:rPr>
        <w:tab/>
      </w:r>
      <w:r w:rsidRPr="00935BD4">
        <w:rPr>
          <w:b/>
          <w:i/>
          <w:szCs w:val="24"/>
          <w:lang w:val="it-IT" w:eastAsia="en-US"/>
        </w:rPr>
        <w:t>tieħu l-provi f’konformità mal-Artikolu 9;</w:t>
      </w:r>
    </w:p>
    <w:p w:rsidR="00935BD4" w:rsidRPr="00935BD4" w:rsidRDefault="00935BD4" w:rsidP="00935BD4">
      <w:pPr>
        <w:spacing w:before="120" w:after="120" w:line="360" w:lineRule="auto"/>
        <w:ind w:left="2548" w:hanging="566"/>
        <w:rPr>
          <w:szCs w:val="24"/>
          <w:lang w:val="it-IT" w:eastAsia="en-US"/>
        </w:rPr>
      </w:pPr>
      <w:r w:rsidRPr="00935BD4">
        <w:rPr>
          <w:b/>
          <w:i/>
          <w:szCs w:val="24"/>
          <w:lang w:val="it-IT" w:eastAsia="en-US"/>
        </w:rPr>
        <w:t>(c)</w:t>
      </w:r>
      <w:r w:rsidRPr="00935BD4">
        <w:rPr>
          <w:szCs w:val="24"/>
          <w:lang w:val="it-IT" w:eastAsia="en-US"/>
        </w:rPr>
        <w:tab/>
      </w:r>
      <w:r w:rsidRPr="00935BD4">
        <w:rPr>
          <w:b/>
          <w:i/>
          <w:szCs w:val="24"/>
          <w:lang w:val="it-IT" w:eastAsia="en-US"/>
        </w:rPr>
        <w:t>issejjaħ lill-partijiet għal seduta orali, li għandha ssir fi żmien 14-il jum mit-taħrika.</w:t>
      </w:r>
      <w:r w:rsidRPr="00935BD4">
        <w:rPr>
          <w:szCs w:val="24"/>
          <w:lang w:val="it-IT" w:eastAsia="en-US"/>
        </w:rPr>
        <w:t>”</w:t>
      </w:r>
    </w:p>
    <w:p w:rsidR="00935BD4" w:rsidRPr="00935BD4" w:rsidRDefault="00935BD4" w:rsidP="00935BD4">
      <w:pPr>
        <w:spacing w:before="120" w:after="120" w:line="360" w:lineRule="auto"/>
        <w:ind w:left="1416" w:hanging="566"/>
        <w:rPr>
          <w:szCs w:val="24"/>
          <w:lang w:val="it-IT" w:eastAsia="en-US"/>
        </w:rPr>
      </w:pPr>
      <w:r w:rsidRPr="00935BD4">
        <w:rPr>
          <w:b/>
          <w:i/>
          <w:szCs w:val="24"/>
          <w:lang w:val="it-IT" w:eastAsia="en-US"/>
        </w:rPr>
        <w:t>(b)</w:t>
      </w:r>
      <w:r w:rsidRPr="00935BD4">
        <w:rPr>
          <w:szCs w:val="24"/>
          <w:lang w:val="it-IT" w:eastAsia="en-US"/>
        </w:rPr>
        <w:tab/>
      </w:r>
      <w:r w:rsidRPr="00935BD4">
        <w:rPr>
          <w:b/>
          <w:i/>
          <w:szCs w:val="24"/>
          <w:lang w:val="it-IT" w:eastAsia="en-US"/>
        </w:rPr>
        <w:t xml:space="preserve">il-paragrafu 2 huwa sostitwit b’dan li ġej: </w:t>
      </w:r>
    </w:p>
    <w:p w:rsidR="00935BD4" w:rsidRPr="00935BD4" w:rsidRDefault="00935BD4" w:rsidP="00935BD4">
      <w:pPr>
        <w:spacing w:before="120" w:after="120" w:line="360" w:lineRule="auto"/>
        <w:ind w:left="1982" w:hanging="566"/>
        <w:rPr>
          <w:szCs w:val="24"/>
          <w:lang w:val="it-IT" w:eastAsia="en-US"/>
        </w:rPr>
      </w:pPr>
      <w:r w:rsidRPr="00935BD4">
        <w:rPr>
          <w:szCs w:val="24"/>
          <w:lang w:val="it-IT" w:eastAsia="en-US"/>
        </w:rPr>
        <w:t>“</w:t>
      </w:r>
      <w:r w:rsidRPr="00935BD4">
        <w:rPr>
          <w:b/>
          <w:i/>
          <w:szCs w:val="24"/>
          <w:lang w:val="it-IT" w:eastAsia="en-US"/>
        </w:rPr>
        <w:t>2.</w:t>
      </w:r>
      <w:r w:rsidRPr="00935BD4">
        <w:rPr>
          <w:szCs w:val="24"/>
          <w:lang w:val="it-IT" w:eastAsia="en-US"/>
        </w:rPr>
        <w:tab/>
      </w:r>
      <w:r w:rsidRPr="00935BD4">
        <w:rPr>
          <w:b/>
          <w:i/>
          <w:szCs w:val="24"/>
          <w:lang w:val="it-IT" w:eastAsia="en-US"/>
        </w:rPr>
        <w:t>L-Istati Membri għandhom jintroduċu sistemi alternattivi ta’ komunikazzjoni elettronika li jippermettu l-identifikazzjoni sigura tal-utenti. F’dan il-każ, ma għandhiex tkun meħtieġa firma elettronika.</w:t>
      </w:r>
      <w:r w:rsidRPr="00935BD4">
        <w:rPr>
          <w:szCs w:val="24"/>
          <w:lang w:val="it-IT" w:eastAsia="en-US"/>
        </w:rPr>
        <w:t>”</w:t>
      </w:r>
    </w:p>
    <w:p w:rsidR="00935BD4" w:rsidRDefault="00935BD4">
      <w:pPr>
        <w:widowControl/>
        <w:rPr>
          <w:b/>
          <w:i/>
          <w:szCs w:val="24"/>
          <w:lang w:val="it-IT" w:eastAsia="en-US"/>
        </w:rPr>
      </w:pPr>
      <w:r>
        <w:rPr>
          <w:b/>
          <w:i/>
          <w:szCs w:val="24"/>
          <w:lang w:val="it-IT" w:eastAsia="en-US"/>
        </w:rPr>
        <w:br w:type="page"/>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lastRenderedPageBreak/>
        <w:t>(2)</w:t>
      </w:r>
      <w:r w:rsidRPr="00935BD4">
        <w:rPr>
          <w:szCs w:val="24"/>
          <w:lang w:val="it-IT" w:eastAsia="en-US"/>
        </w:rPr>
        <w:tab/>
      </w:r>
      <w:r w:rsidRPr="00935BD4">
        <w:rPr>
          <w:b/>
          <w:i/>
          <w:szCs w:val="24"/>
          <w:lang w:val="it-IT" w:eastAsia="en-US"/>
        </w:rPr>
        <w:t>Fl-Artikolu 13, jiżdied il-paragrafu li ġej:</w:t>
      </w:r>
    </w:p>
    <w:p w:rsidR="00935BD4" w:rsidRPr="00935BD4" w:rsidRDefault="00935BD4" w:rsidP="00935BD4">
      <w:pPr>
        <w:spacing w:before="120" w:after="120" w:line="360" w:lineRule="auto"/>
        <w:ind w:left="1416" w:hanging="566"/>
        <w:rPr>
          <w:szCs w:val="24"/>
          <w:lang w:val="it-IT" w:eastAsia="en-US"/>
        </w:rPr>
      </w:pPr>
      <w:r w:rsidRPr="00935BD4">
        <w:rPr>
          <w:szCs w:val="24"/>
          <w:lang w:val="it-IT" w:eastAsia="en-US"/>
        </w:rPr>
        <w:t>“</w:t>
      </w:r>
      <w:r w:rsidRPr="00935BD4">
        <w:rPr>
          <w:b/>
          <w:i/>
          <w:szCs w:val="24"/>
          <w:lang w:val="it-IT" w:eastAsia="en-US"/>
        </w:rPr>
        <w:t>4a.</w:t>
      </w:r>
      <w:r w:rsidRPr="00935BD4">
        <w:rPr>
          <w:szCs w:val="24"/>
          <w:lang w:val="it-IT" w:eastAsia="en-US"/>
        </w:rPr>
        <w:tab/>
      </w:r>
      <w:r w:rsidRPr="00935BD4">
        <w:rPr>
          <w:b/>
          <w:i/>
          <w:szCs w:val="24"/>
          <w:lang w:val="it-IT" w:eastAsia="en-US"/>
        </w:rPr>
        <w:t>Id-dokumenti msemmija fl-Artikolu 5(2) u (6) u s-sentenzi mogħtija f’konformità mal-Artikolu 7 għandhom jiġu nnotifikati permezz ta’ mezzi elettroniċi mill-1 ta’ Jannar 2027. In-notifika għandha tkun iċċertifikata b’konferma tal-wasla inkluża d-data tal-wasla. Il-korrispondenza kollha minbarra dik imsemmija fil-paragrafu 1 bejn il-qorti u l-partijiet jew persuni oħra involuti fil-proċedimenti għandha tiġi trażmessa b’mezzi elettroniċi b’konferma tal-wasla. L-Istati Membri għandhom jipprovdu l-mezzi tekniċi neċessarji għal dan sal-1 ta’ Jannar 2027.”</w:t>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t>(3)</w:t>
      </w:r>
      <w:r w:rsidRPr="00935BD4">
        <w:rPr>
          <w:szCs w:val="24"/>
          <w:lang w:val="it-IT" w:eastAsia="en-US"/>
        </w:rPr>
        <w:tab/>
      </w:r>
      <w:r w:rsidRPr="00935BD4">
        <w:rPr>
          <w:b/>
          <w:i/>
          <w:szCs w:val="24"/>
          <w:lang w:val="it-IT" w:eastAsia="en-US"/>
        </w:rPr>
        <w:t>L-Artikolu 18(2) huwa sostitwit b’dan li ġej:</w:t>
      </w:r>
    </w:p>
    <w:p w:rsidR="00935BD4" w:rsidRPr="00935BD4" w:rsidRDefault="00935BD4" w:rsidP="00935BD4">
      <w:pPr>
        <w:spacing w:before="120" w:after="120" w:line="360" w:lineRule="auto"/>
        <w:ind w:left="850"/>
        <w:rPr>
          <w:b/>
          <w:szCs w:val="24"/>
          <w:lang w:val="it-IT" w:eastAsia="en-US"/>
        </w:rPr>
      </w:pPr>
      <w:r w:rsidRPr="00935BD4">
        <w:rPr>
          <w:szCs w:val="24"/>
          <w:lang w:val="it-IT" w:eastAsia="en-US"/>
        </w:rPr>
        <w:t>“</w:t>
      </w:r>
      <w:r w:rsidRPr="00935BD4">
        <w:rPr>
          <w:b/>
          <w:i/>
          <w:szCs w:val="24"/>
          <w:lang w:val="it-IT" w:eastAsia="en-US"/>
        </w:rPr>
        <w:t>Il-limitu ta’ żmien biex jintalab rieżami tas-sentenza għandu jkun ta’ 14-il jum. Dan għandu jibda fil-jum li fih il-konvenut fil-fatt sar konxju dwar il-kontenut tas-sentenza u kien f’pożizzjoni li jaġixxi kif xieraq, iżda mhux aktar tard mill-jum tal-ewwel miżura ta’ infurzar li wasslet biex l-assi tal-konvenut jiġu rtirati kompletament jew parzjalment mid-disponiment tiegħu. Estensjoni ta’ dan il-perjodu hija eskluża.”</w:t>
      </w:r>
      <w:r>
        <w:rPr>
          <w:b/>
          <w:szCs w:val="24"/>
          <w:lang w:val="it-IT" w:eastAsia="en-US"/>
        </w:rPr>
        <w:t xml:space="preserve"> [Em. 84]</w:t>
      </w:r>
    </w:p>
    <w:p w:rsidR="003D3C7C" w:rsidRDefault="003D3C7C">
      <w:pPr>
        <w:widowControl/>
        <w:rPr>
          <w:szCs w:val="24"/>
          <w:lang w:val="it-IT" w:eastAsia="en-US"/>
        </w:rPr>
      </w:pPr>
      <w:r>
        <w:rPr>
          <w:szCs w:val="24"/>
          <w:lang w:val="it-IT" w:eastAsia="en-US"/>
        </w:rPr>
        <w:br w:type="page"/>
      </w:r>
    </w:p>
    <w:p w:rsidR="00935BD4" w:rsidRPr="00935BD4" w:rsidRDefault="00935BD4" w:rsidP="00935BD4">
      <w:pPr>
        <w:spacing w:before="120" w:after="120" w:line="360" w:lineRule="auto"/>
        <w:jc w:val="center"/>
        <w:rPr>
          <w:szCs w:val="24"/>
          <w:lang w:val="it-IT" w:eastAsia="en-US"/>
        </w:rPr>
      </w:pPr>
      <w:r w:rsidRPr="00935BD4">
        <w:rPr>
          <w:szCs w:val="24"/>
          <w:lang w:val="it-IT" w:eastAsia="en-US"/>
        </w:rPr>
        <w:lastRenderedPageBreak/>
        <w:t>Artikolu 18</w:t>
      </w:r>
      <w:r w:rsidRPr="00935BD4">
        <w:rPr>
          <w:szCs w:val="24"/>
          <w:lang w:val="it-IT" w:eastAsia="en-US"/>
        </w:rPr>
        <w:br/>
        <w:t>Rapport</w:t>
      </w:r>
    </w:p>
    <w:p w:rsidR="00935BD4" w:rsidRPr="003D3C7C" w:rsidRDefault="00935BD4" w:rsidP="00935BD4">
      <w:pPr>
        <w:spacing w:before="120" w:after="120" w:line="360" w:lineRule="auto"/>
        <w:rPr>
          <w:b/>
          <w:szCs w:val="24"/>
          <w:lang w:val="it-IT" w:eastAsia="en-US"/>
        </w:rPr>
      </w:pPr>
      <w:r w:rsidRPr="00935BD4">
        <w:rPr>
          <w:szCs w:val="24"/>
          <w:lang w:val="it-IT" w:eastAsia="en-US"/>
        </w:rPr>
        <w:t xml:space="preserve">Sa [OP: </w:t>
      </w:r>
      <w:r w:rsidRPr="00935BD4">
        <w:rPr>
          <w:strike/>
          <w:szCs w:val="24"/>
          <w:lang w:val="it-IT" w:eastAsia="en-US"/>
        </w:rPr>
        <w:t>insert the date = 4years after the entry into force of this Regulation</w:t>
      </w:r>
      <w:r w:rsidRPr="00935BD4">
        <w:rPr>
          <w:b/>
          <w:i/>
          <w:szCs w:val="24"/>
          <w:lang w:val="it-IT" w:eastAsia="en-US"/>
        </w:rPr>
        <w:t>jekk jogħġbok daħħal id-data = 4 snin wara d-dħul fis-seħħ ta’ dan ir-Regolament] u kull 3 snin wara dan</w:t>
      </w:r>
      <w:r w:rsidRPr="00935BD4">
        <w:rPr>
          <w:szCs w:val="24"/>
          <w:lang w:val="it-IT" w:eastAsia="en-US"/>
        </w:rPr>
        <w:t xml:space="preserve">], il-Kummissjoni għandha tippreżenta rapport dwar l-implimentazzjoni </w:t>
      </w:r>
      <w:r w:rsidRPr="00935BD4">
        <w:rPr>
          <w:strike/>
          <w:szCs w:val="24"/>
          <w:lang w:val="it-IT" w:eastAsia="en-US"/>
        </w:rPr>
        <w:t>ta’ dan ir-Regolament</w:t>
      </w:r>
      <w:r w:rsidRPr="00935BD4">
        <w:rPr>
          <w:b/>
          <w:i/>
          <w:szCs w:val="24"/>
          <w:lang w:val="it-IT" w:eastAsia="en-US"/>
        </w:rPr>
        <w:t>tiegħu</w:t>
      </w:r>
      <w:r w:rsidRPr="00935BD4">
        <w:rPr>
          <w:szCs w:val="24"/>
          <w:lang w:val="it-IT" w:eastAsia="en-US"/>
        </w:rPr>
        <w:t xml:space="preserve"> lill-Parlament Ewropew u lill-Kunsill.</w:t>
      </w:r>
      <w:r w:rsidR="003D3C7C">
        <w:rPr>
          <w:b/>
          <w:szCs w:val="24"/>
          <w:lang w:val="it-IT" w:eastAsia="en-US"/>
        </w:rPr>
        <w:t xml:space="preserve"> [Em. 85]</w:t>
      </w:r>
    </w:p>
    <w:p w:rsidR="00935BD4" w:rsidRPr="00935BD4" w:rsidRDefault="00935BD4" w:rsidP="00935BD4">
      <w:pPr>
        <w:spacing w:before="120" w:after="120" w:line="360" w:lineRule="auto"/>
        <w:rPr>
          <w:szCs w:val="24"/>
          <w:lang w:val="it-IT" w:eastAsia="en-US"/>
        </w:rPr>
      </w:pPr>
      <w:r w:rsidRPr="00935BD4">
        <w:rPr>
          <w:b/>
          <w:i/>
          <w:szCs w:val="24"/>
          <w:lang w:val="it-IT" w:eastAsia="en-US"/>
        </w:rPr>
        <w:t>Ir-rapport għandu jivvaluta dan li ġej:</w:t>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t>(a)</w:t>
      </w:r>
      <w:r w:rsidRPr="00935BD4">
        <w:rPr>
          <w:szCs w:val="24"/>
          <w:lang w:val="it-IT" w:eastAsia="en-US"/>
        </w:rPr>
        <w:tab/>
      </w:r>
      <w:r w:rsidRPr="00935BD4">
        <w:rPr>
          <w:b/>
          <w:i/>
          <w:szCs w:val="24"/>
          <w:lang w:val="it-IT" w:eastAsia="en-US"/>
        </w:rPr>
        <w:t>l-impatt tal-kamp ta’ applikazzjoni kif stabbilit fl-Artikolu 1, inkluż l-impatt fuq setturi speċifiċi u fuq mudelli ta’ negozju speċifiċi;</w:t>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t>(b)</w:t>
      </w:r>
      <w:r w:rsidRPr="00935BD4">
        <w:rPr>
          <w:szCs w:val="24"/>
          <w:lang w:val="it-IT" w:eastAsia="en-US"/>
        </w:rPr>
        <w:tab/>
      </w:r>
      <w:r w:rsidRPr="00935BD4">
        <w:rPr>
          <w:b/>
          <w:i/>
          <w:szCs w:val="24"/>
          <w:lang w:val="it-IT" w:eastAsia="en-US"/>
        </w:rPr>
        <w:t>l-impatt tal-miżuri implimentati, b’mod partikolari fir-rigward tal-perjodi ta’ ħlas kif stabbilit fl-Artikolu 3, fuq iż-żieda fil-fluss tal-flus u l-likwidità fis-suq;</w:t>
      </w:r>
    </w:p>
    <w:p w:rsidR="00935BD4" w:rsidRPr="00935BD4" w:rsidRDefault="00935BD4" w:rsidP="00935BD4">
      <w:pPr>
        <w:spacing w:before="120" w:after="120" w:line="360" w:lineRule="auto"/>
        <w:ind w:left="850" w:hanging="850"/>
        <w:rPr>
          <w:szCs w:val="24"/>
          <w:lang w:val="it-IT" w:eastAsia="en-US"/>
        </w:rPr>
      </w:pPr>
      <w:r w:rsidRPr="00935BD4">
        <w:rPr>
          <w:b/>
          <w:i/>
          <w:szCs w:val="24"/>
          <w:lang w:val="it-IT" w:eastAsia="en-US"/>
        </w:rPr>
        <w:t>(c)</w:t>
      </w:r>
      <w:r w:rsidRPr="00935BD4">
        <w:rPr>
          <w:szCs w:val="24"/>
          <w:lang w:val="it-IT" w:eastAsia="en-US"/>
        </w:rPr>
        <w:tab/>
      </w:r>
      <w:r w:rsidRPr="00935BD4">
        <w:rPr>
          <w:b/>
          <w:i/>
          <w:szCs w:val="24"/>
          <w:lang w:val="it-IT" w:eastAsia="en-US"/>
        </w:rPr>
        <w:t>l-effettività tal-awtoritajiet tal-infurzar kif stabbilit fl-Artikoli 13, 14 u 15;</w:t>
      </w:r>
    </w:p>
    <w:p w:rsidR="00935BD4" w:rsidRPr="003D3C7C" w:rsidRDefault="00935BD4" w:rsidP="00935BD4">
      <w:pPr>
        <w:spacing w:before="120" w:after="120" w:line="360" w:lineRule="auto"/>
        <w:ind w:left="850" w:hanging="850"/>
        <w:rPr>
          <w:b/>
          <w:szCs w:val="24"/>
          <w:lang w:val="it-IT" w:eastAsia="en-US"/>
        </w:rPr>
      </w:pPr>
      <w:r w:rsidRPr="00935BD4">
        <w:rPr>
          <w:b/>
          <w:i/>
          <w:szCs w:val="24"/>
          <w:lang w:val="it-IT" w:eastAsia="en-US"/>
        </w:rPr>
        <w:t>(d)</w:t>
      </w:r>
      <w:r w:rsidRPr="00935BD4">
        <w:rPr>
          <w:szCs w:val="24"/>
          <w:lang w:val="it-IT" w:eastAsia="en-US"/>
        </w:rPr>
        <w:tab/>
      </w:r>
      <w:r w:rsidRPr="00935BD4">
        <w:rPr>
          <w:b/>
          <w:i/>
          <w:szCs w:val="24"/>
          <w:lang w:val="it-IT" w:eastAsia="en-US"/>
        </w:rPr>
        <w:t>il-benefiċċji potenzjali tal-introduzzjoni ta’ fatturazzjoni elettronika fl-UE kollha għat-tqassir tal-perjodi ta’ ħlas fis-suq;</w:t>
      </w:r>
      <w:r w:rsidR="003D3C7C">
        <w:rPr>
          <w:b/>
          <w:szCs w:val="24"/>
          <w:lang w:val="it-IT" w:eastAsia="en-US"/>
        </w:rPr>
        <w:t xml:space="preserve"> [Em. 86]</w:t>
      </w:r>
    </w:p>
    <w:p w:rsidR="003D3C7C" w:rsidRDefault="003D3C7C">
      <w:pPr>
        <w:widowControl/>
        <w:rPr>
          <w:b/>
          <w:i/>
          <w:szCs w:val="24"/>
          <w:lang w:val="it-IT" w:eastAsia="en-US"/>
        </w:rPr>
      </w:pPr>
      <w:r>
        <w:rPr>
          <w:b/>
          <w:i/>
          <w:szCs w:val="24"/>
          <w:lang w:val="it-IT" w:eastAsia="en-US"/>
        </w:rPr>
        <w:br w:type="page"/>
      </w:r>
    </w:p>
    <w:p w:rsidR="00935BD4" w:rsidRPr="003D3C7C" w:rsidRDefault="00935BD4" w:rsidP="00935BD4">
      <w:pPr>
        <w:spacing w:before="120" w:after="120" w:line="360" w:lineRule="auto"/>
        <w:rPr>
          <w:b/>
          <w:szCs w:val="24"/>
          <w:lang w:val="it-IT" w:eastAsia="en-US"/>
        </w:rPr>
      </w:pPr>
      <w:r w:rsidRPr="00935BD4">
        <w:rPr>
          <w:b/>
          <w:i/>
          <w:szCs w:val="24"/>
          <w:lang w:val="it-IT" w:eastAsia="en-US"/>
        </w:rPr>
        <w:lastRenderedPageBreak/>
        <w:t>L-Istati Membri għandhom jipprovdu lill-Kummissjoni bl-informazzjoni neċessarja għat-tħejjija ta’ dak ir-rapport, inkluża informazzjoni dwar l-investigazzjonijiet, l-ispezzjonijiet, id-deċiżjonijiet, il-proċedimenti u l-pubblikazzjonijiet tal-awtoritajiet tal-infurzar imsemmija fl-Artikolu 14(1).</w:t>
      </w:r>
      <w:r w:rsidR="003D3C7C">
        <w:rPr>
          <w:b/>
          <w:szCs w:val="24"/>
          <w:lang w:val="it-IT" w:eastAsia="en-US"/>
        </w:rPr>
        <w:t xml:space="preserve"> [Em. 87]</w:t>
      </w:r>
    </w:p>
    <w:p w:rsidR="00935BD4" w:rsidRPr="003D3C7C" w:rsidRDefault="00935BD4" w:rsidP="00935BD4">
      <w:pPr>
        <w:spacing w:before="120" w:after="120" w:line="360" w:lineRule="auto"/>
        <w:rPr>
          <w:b/>
          <w:szCs w:val="24"/>
          <w:lang w:val="it-IT" w:eastAsia="en-US"/>
        </w:rPr>
      </w:pPr>
      <w:r w:rsidRPr="00935BD4">
        <w:rPr>
          <w:b/>
          <w:i/>
          <w:szCs w:val="24"/>
          <w:lang w:val="it-IT" w:eastAsia="en-US"/>
        </w:rPr>
        <w:t>Ir-rapport għandu jinkludi wkoll evalwazzjoni tal-impatt ta’ dan ir-Regolament fuq it-tranżazzjonijiet kummerċjali u tal-impatt tal-Osservatorju Ewropew tal-Ħlasijiet Tard fuq il-monitoraġġ tal-prattiki tal-ħlas fl-UE.</w:t>
      </w:r>
      <w:r w:rsidR="003D3C7C">
        <w:rPr>
          <w:b/>
          <w:szCs w:val="24"/>
          <w:lang w:val="it-IT" w:eastAsia="en-US"/>
        </w:rPr>
        <w:t xml:space="preserve"> [Em. 88]</w:t>
      </w:r>
    </w:p>
    <w:p w:rsidR="00935BD4" w:rsidRPr="003D3C7C" w:rsidRDefault="00935BD4" w:rsidP="00935BD4">
      <w:pPr>
        <w:spacing w:before="120" w:after="120" w:line="360" w:lineRule="auto"/>
        <w:rPr>
          <w:b/>
          <w:szCs w:val="24"/>
          <w:lang w:val="it-IT" w:eastAsia="en-US"/>
        </w:rPr>
      </w:pPr>
      <w:r w:rsidRPr="00935BD4">
        <w:rPr>
          <w:b/>
          <w:i/>
          <w:szCs w:val="24"/>
          <w:lang w:val="it-IT" w:eastAsia="en-US"/>
        </w:rPr>
        <w:t>Ir-rapport għandu jkun akkumpanjat minn proposta leġiżlattiva, jekk ikun neċessarju u xieraq.</w:t>
      </w:r>
      <w:r w:rsidR="003D3C7C">
        <w:rPr>
          <w:b/>
          <w:szCs w:val="24"/>
          <w:lang w:val="it-IT" w:eastAsia="en-US"/>
        </w:rPr>
        <w:t xml:space="preserve"> [Em. 89]</w:t>
      </w:r>
    </w:p>
    <w:p w:rsidR="00935BD4" w:rsidRPr="00FF1C6F" w:rsidRDefault="00935BD4" w:rsidP="00935BD4">
      <w:pPr>
        <w:spacing w:before="120" w:after="120" w:line="360" w:lineRule="auto"/>
        <w:jc w:val="center"/>
        <w:rPr>
          <w:szCs w:val="24"/>
          <w:lang w:val="it-IT" w:eastAsia="en-US"/>
        </w:rPr>
      </w:pPr>
      <w:r w:rsidRPr="00FF1C6F">
        <w:rPr>
          <w:szCs w:val="24"/>
          <w:lang w:val="it-IT" w:eastAsia="en-US"/>
        </w:rPr>
        <w:t>Artikolu 19</w:t>
      </w:r>
      <w:r w:rsidRPr="00FF1C6F">
        <w:rPr>
          <w:szCs w:val="24"/>
          <w:lang w:val="it-IT" w:eastAsia="en-US"/>
        </w:rPr>
        <w:br/>
        <w:t>Revoka</w:t>
      </w:r>
    </w:p>
    <w:p w:rsidR="00935BD4" w:rsidRPr="00FF1C6F" w:rsidRDefault="00935BD4" w:rsidP="00935BD4">
      <w:pPr>
        <w:spacing w:before="120" w:after="120" w:line="360" w:lineRule="auto"/>
        <w:rPr>
          <w:szCs w:val="24"/>
          <w:lang w:val="it-IT" w:eastAsia="en-US"/>
        </w:rPr>
      </w:pPr>
      <w:r w:rsidRPr="00FF1C6F">
        <w:rPr>
          <w:szCs w:val="24"/>
          <w:lang w:val="it-IT" w:eastAsia="en-US"/>
        </w:rPr>
        <w:t>Id-Direttiva 2011/7/UE tħassret.</w:t>
      </w:r>
    </w:p>
    <w:p w:rsidR="00935BD4" w:rsidRPr="00FF1C6F" w:rsidRDefault="00935BD4" w:rsidP="00935BD4">
      <w:pPr>
        <w:spacing w:before="120" w:after="120" w:line="360" w:lineRule="auto"/>
        <w:rPr>
          <w:b/>
          <w:szCs w:val="24"/>
          <w:lang w:val="it-IT" w:eastAsia="en-US"/>
        </w:rPr>
      </w:pPr>
      <w:r w:rsidRPr="00FF1C6F">
        <w:rPr>
          <w:b/>
          <w:i/>
          <w:szCs w:val="24"/>
          <w:lang w:val="it-IT" w:eastAsia="en-US"/>
        </w:rPr>
        <w:t>Madankollu, minn [id-data tal-applikazzjoni ta’ dan ir-Regolament] sa [24 xahar wara d-dħul fis-seħħ ta’ dan ir-Regolament], dan għandu jkompli japplika għas-sitwazzjonijiet fejn il-mikrointrapriżi msemmija fl-Artikolu 3(1) tad-Direttiva 2013/34/UE u l-persuni li jaħdmu għal rashom huma debituri.</w:t>
      </w:r>
      <w:r w:rsidR="003D3C7C" w:rsidRPr="00FF1C6F">
        <w:rPr>
          <w:b/>
          <w:szCs w:val="24"/>
          <w:lang w:val="it-IT" w:eastAsia="en-US"/>
        </w:rPr>
        <w:t xml:space="preserve"> [Em. 90]</w:t>
      </w:r>
    </w:p>
    <w:p w:rsidR="00935BD4" w:rsidRPr="00FF1C6F" w:rsidRDefault="00935BD4" w:rsidP="00935BD4">
      <w:pPr>
        <w:spacing w:before="120" w:after="120" w:line="360" w:lineRule="auto"/>
        <w:rPr>
          <w:szCs w:val="24"/>
          <w:lang w:val="it-IT" w:eastAsia="en-US"/>
        </w:rPr>
      </w:pPr>
      <w:r w:rsidRPr="00FF1C6F">
        <w:rPr>
          <w:szCs w:val="24"/>
          <w:lang w:val="it-IT" w:eastAsia="en-US"/>
        </w:rPr>
        <w:t>Ir-referenzi għad-Direttiva mħassra għandhom jinftiehmu bħala referenzi għal dan ir-Regolament.</w:t>
      </w:r>
    </w:p>
    <w:p w:rsidR="003D3C7C" w:rsidRPr="00FF1C6F" w:rsidRDefault="003D3C7C">
      <w:pPr>
        <w:widowControl/>
        <w:rPr>
          <w:szCs w:val="24"/>
          <w:lang w:val="it-IT" w:eastAsia="en-US"/>
        </w:rPr>
      </w:pPr>
      <w:r w:rsidRPr="00FF1C6F">
        <w:rPr>
          <w:szCs w:val="24"/>
          <w:lang w:val="it-IT" w:eastAsia="en-US"/>
        </w:rPr>
        <w:br w:type="page"/>
      </w:r>
    </w:p>
    <w:p w:rsidR="00935BD4" w:rsidRPr="00FF1C6F" w:rsidRDefault="00935BD4" w:rsidP="00935BD4">
      <w:pPr>
        <w:spacing w:before="120" w:after="120" w:line="360" w:lineRule="auto"/>
        <w:jc w:val="center"/>
        <w:rPr>
          <w:szCs w:val="24"/>
          <w:lang w:val="it-IT" w:eastAsia="en-US"/>
        </w:rPr>
      </w:pPr>
      <w:r w:rsidRPr="00FF1C6F">
        <w:rPr>
          <w:szCs w:val="24"/>
          <w:lang w:val="it-IT" w:eastAsia="en-US"/>
        </w:rPr>
        <w:lastRenderedPageBreak/>
        <w:t>Artikolu 20</w:t>
      </w:r>
      <w:r w:rsidRPr="00FF1C6F">
        <w:rPr>
          <w:szCs w:val="24"/>
          <w:lang w:val="it-IT" w:eastAsia="en-US"/>
        </w:rPr>
        <w:br/>
        <w:t>Dħul fis-seħħ u applikazzjoni</w:t>
      </w:r>
    </w:p>
    <w:p w:rsidR="00935BD4" w:rsidRPr="00FF1C6F" w:rsidRDefault="00935BD4" w:rsidP="00935BD4">
      <w:pPr>
        <w:spacing w:before="120" w:after="120" w:line="360" w:lineRule="auto"/>
        <w:ind w:left="850" w:hanging="850"/>
        <w:rPr>
          <w:szCs w:val="24"/>
          <w:lang w:val="it-IT" w:eastAsia="en-US"/>
        </w:rPr>
      </w:pPr>
      <w:r w:rsidRPr="00FF1C6F">
        <w:rPr>
          <w:szCs w:val="24"/>
          <w:lang w:val="it-IT" w:eastAsia="en-US"/>
        </w:rPr>
        <w:t>1.</w:t>
      </w:r>
      <w:r w:rsidRPr="00FF1C6F">
        <w:rPr>
          <w:szCs w:val="24"/>
          <w:lang w:val="it-IT" w:eastAsia="en-US"/>
        </w:rPr>
        <w:tab/>
        <w:t>Dan ir-Regolament għandu jidħol fis-seħħ fil-jum tal-pubblikazzjoni tiegħu f’</w:t>
      </w:r>
      <w:bookmarkStart w:id="8" w:name="_GoBack"/>
      <w:r w:rsidRPr="00FF1C6F">
        <w:rPr>
          <w:i/>
          <w:szCs w:val="24"/>
          <w:lang w:val="it-IT" w:eastAsia="en-US"/>
        </w:rPr>
        <w:t>Il-Ġurnal Uffiċjali tal-Unjoni Ewropea</w:t>
      </w:r>
      <w:bookmarkEnd w:id="8"/>
      <w:r w:rsidRPr="00FF1C6F">
        <w:rPr>
          <w:szCs w:val="24"/>
          <w:lang w:val="it-IT" w:eastAsia="en-US"/>
        </w:rPr>
        <w:t>.</w:t>
      </w:r>
    </w:p>
    <w:p w:rsidR="00935BD4" w:rsidRPr="00FF1C6F" w:rsidRDefault="00935BD4" w:rsidP="00935BD4">
      <w:pPr>
        <w:spacing w:before="120" w:after="120" w:line="360" w:lineRule="auto"/>
        <w:ind w:left="850" w:hanging="850"/>
        <w:rPr>
          <w:b/>
          <w:szCs w:val="24"/>
          <w:lang w:val="it-IT" w:eastAsia="en-US"/>
        </w:rPr>
      </w:pPr>
      <w:r w:rsidRPr="00FF1C6F">
        <w:rPr>
          <w:szCs w:val="24"/>
          <w:lang w:val="it-IT" w:eastAsia="en-US"/>
        </w:rPr>
        <w:t>2.</w:t>
      </w:r>
      <w:r w:rsidRPr="00FF1C6F">
        <w:rPr>
          <w:szCs w:val="24"/>
          <w:lang w:val="it-IT" w:eastAsia="en-US"/>
        </w:rPr>
        <w:tab/>
        <w:t xml:space="preserve">Għandu japplika minn [OP: </w:t>
      </w:r>
      <w:r w:rsidRPr="00FF1C6F">
        <w:rPr>
          <w:strike/>
          <w:szCs w:val="24"/>
          <w:lang w:val="it-IT" w:eastAsia="en-US"/>
        </w:rPr>
        <w:t>insert the date 12 months after the date of entry into force of this Regulation</w:t>
      </w:r>
      <w:r w:rsidRPr="00FF1C6F">
        <w:rPr>
          <w:b/>
          <w:i/>
          <w:szCs w:val="24"/>
          <w:lang w:val="it-IT" w:eastAsia="en-US"/>
        </w:rPr>
        <w:t>jekk jogħġbok daħħal id-data =18-il xahar wara d-data tad-dħul fis-seħħ ta’ dan ir-Regolament</w:t>
      </w:r>
      <w:r w:rsidRPr="00FF1C6F">
        <w:rPr>
          <w:szCs w:val="24"/>
          <w:lang w:val="it-IT" w:eastAsia="en-US"/>
        </w:rPr>
        <w:t>]</w:t>
      </w:r>
      <w:r w:rsidRPr="00FF1C6F">
        <w:rPr>
          <w:b/>
          <w:i/>
          <w:szCs w:val="24"/>
          <w:lang w:val="it-IT" w:eastAsia="en-US"/>
        </w:rPr>
        <w:t>, soġġett għall-Artikolu 19, it-tieni subparagrafu</w:t>
      </w:r>
      <w:r w:rsidRPr="00FF1C6F">
        <w:rPr>
          <w:szCs w:val="24"/>
          <w:lang w:val="it-IT" w:eastAsia="en-US"/>
        </w:rPr>
        <w:t>.</w:t>
      </w:r>
      <w:r w:rsidR="003D3C7C" w:rsidRPr="00FF1C6F">
        <w:rPr>
          <w:b/>
          <w:szCs w:val="24"/>
          <w:lang w:val="it-IT" w:eastAsia="en-US"/>
        </w:rPr>
        <w:t xml:space="preserve"> [Em. 91]</w:t>
      </w:r>
    </w:p>
    <w:p w:rsidR="00935BD4" w:rsidRPr="00FF1C6F" w:rsidRDefault="00935BD4" w:rsidP="00935BD4">
      <w:pPr>
        <w:spacing w:before="120" w:after="120" w:line="360" w:lineRule="auto"/>
        <w:ind w:left="850" w:hanging="850"/>
        <w:rPr>
          <w:szCs w:val="24"/>
          <w:lang w:val="it-IT" w:eastAsia="en-US"/>
        </w:rPr>
      </w:pPr>
      <w:r w:rsidRPr="00FF1C6F">
        <w:rPr>
          <w:szCs w:val="24"/>
          <w:lang w:val="it-IT" w:eastAsia="en-US"/>
        </w:rPr>
        <w:t>3.</w:t>
      </w:r>
      <w:r w:rsidRPr="00FF1C6F">
        <w:rPr>
          <w:szCs w:val="24"/>
          <w:lang w:val="it-IT" w:eastAsia="en-US"/>
        </w:rPr>
        <w:tab/>
        <w:t xml:space="preserve">It-tranżazzjonijiet kummerċjali mwettqa wara d-data tal-applikazzjoni ta’ dan ir-Regolament għandhom ikunu soġġetti għad-dispożizzjonijiet ta’ dan ir-Regolament, anki </w:t>
      </w:r>
      <w:proofErr w:type="gramStart"/>
      <w:r w:rsidRPr="00FF1C6F">
        <w:rPr>
          <w:szCs w:val="24"/>
          <w:lang w:val="it-IT" w:eastAsia="en-US"/>
        </w:rPr>
        <w:t>meta l</w:t>
      </w:r>
      <w:proofErr w:type="gramEnd"/>
      <w:r w:rsidRPr="00FF1C6F">
        <w:rPr>
          <w:szCs w:val="24"/>
          <w:lang w:val="it-IT" w:eastAsia="en-US"/>
        </w:rPr>
        <w:t>-kuntratt ikkonċernat ikun ġie konkluż qabel dik id-data.</w:t>
      </w:r>
    </w:p>
    <w:p w:rsidR="00935BD4" w:rsidRPr="00FF1C6F" w:rsidRDefault="00935BD4" w:rsidP="00935BD4">
      <w:pPr>
        <w:spacing w:before="120" w:after="120" w:line="360" w:lineRule="auto"/>
        <w:rPr>
          <w:szCs w:val="24"/>
          <w:lang w:val="it-IT" w:eastAsia="en-US"/>
        </w:rPr>
      </w:pPr>
      <w:r w:rsidRPr="00FF1C6F">
        <w:rPr>
          <w:szCs w:val="24"/>
          <w:lang w:val="it-IT" w:eastAsia="en-US"/>
        </w:rPr>
        <w:t>Dan ir-Regolament għandu jorbot fl-intier tiegħu u japplika direttament fl-Istati Membri kollha.</w:t>
      </w:r>
    </w:p>
    <w:p w:rsidR="00935BD4" w:rsidRPr="00FF1C6F" w:rsidRDefault="00935BD4" w:rsidP="00935BD4">
      <w:pPr>
        <w:keepNext/>
        <w:widowControl/>
        <w:spacing w:before="120" w:line="360" w:lineRule="auto"/>
        <w:rPr>
          <w:szCs w:val="24"/>
          <w:lang w:val="it-IT" w:eastAsia="en-US"/>
        </w:rPr>
      </w:pPr>
      <w:r w:rsidRPr="00FF1C6F">
        <w:rPr>
          <w:szCs w:val="24"/>
          <w:lang w:val="it-IT" w:eastAsia="en-US"/>
        </w:rPr>
        <w:t xml:space="preserve">Magħmul fi </w:t>
      </w:r>
      <w:r w:rsidR="00FF1C6F">
        <w:rPr>
          <w:szCs w:val="24"/>
          <w:lang w:val="it-IT" w:eastAsia="en-US"/>
        </w:rPr>
        <w:t>…</w:t>
      </w:r>
      <w:r w:rsidRPr="00FF1C6F">
        <w:rPr>
          <w:szCs w:val="24"/>
          <w:lang w:val="it-IT" w:eastAsia="en-US"/>
        </w:rPr>
        <w:t>,</w:t>
      </w:r>
    </w:p>
    <w:p w:rsidR="00935BD4" w:rsidRPr="00FF1C6F" w:rsidRDefault="00935BD4" w:rsidP="00935BD4">
      <w:pPr>
        <w:keepNext/>
        <w:widowControl/>
        <w:tabs>
          <w:tab w:val="left" w:pos="4252"/>
        </w:tabs>
        <w:spacing w:before="720" w:after="100" w:line="360" w:lineRule="auto"/>
        <w:jc w:val="both"/>
        <w:rPr>
          <w:i/>
          <w:szCs w:val="24"/>
          <w:lang w:val="it-IT" w:eastAsia="en-US"/>
        </w:rPr>
      </w:pPr>
      <w:r w:rsidRPr="00FF1C6F">
        <w:rPr>
          <w:i/>
          <w:szCs w:val="24"/>
          <w:lang w:val="it-IT" w:eastAsia="en-US"/>
        </w:rPr>
        <w:t>Għall-Parlament Ewropew</w:t>
      </w:r>
      <w:r w:rsidRPr="00FF1C6F">
        <w:rPr>
          <w:i/>
          <w:szCs w:val="24"/>
          <w:lang w:val="it-IT" w:eastAsia="en-US"/>
        </w:rPr>
        <w:tab/>
        <w:t>Għall-Kunsill</w:t>
      </w:r>
    </w:p>
    <w:p w:rsidR="00935BD4" w:rsidRPr="004E0378" w:rsidRDefault="00935BD4" w:rsidP="00FF1C6F">
      <w:pPr>
        <w:widowControl/>
        <w:tabs>
          <w:tab w:val="left" w:pos="4252"/>
        </w:tabs>
        <w:spacing w:line="360" w:lineRule="auto"/>
      </w:pPr>
      <w:r w:rsidRPr="00935BD4">
        <w:rPr>
          <w:i/>
          <w:szCs w:val="24"/>
          <w:lang w:val="en-GB" w:eastAsia="en-US"/>
        </w:rPr>
        <w:t>Il-President</w:t>
      </w:r>
      <w:r w:rsidRPr="00935BD4">
        <w:rPr>
          <w:i/>
          <w:szCs w:val="24"/>
          <w:lang w:val="en-GB" w:eastAsia="en-US"/>
        </w:rPr>
        <w:tab/>
      </w:r>
      <w:proofErr w:type="gramStart"/>
      <w:r w:rsidRPr="00935BD4">
        <w:rPr>
          <w:i/>
          <w:szCs w:val="24"/>
          <w:lang w:val="en-GB" w:eastAsia="en-US"/>
        </w:rPr>
        <w:t>Il-</w:t>
      </w:r>
      <w:proofErr w:type="gramEnd"/>
      <w:r w:rsidRPr="00935BD4">
        <w:rPr>
          <w:i/>
          <w:szCs w:val="24"/>
          <w:lang w:val="en-GB" w:eastAsia="en-US"/>
        </w:rPr>
        <w:t>President</w:t>
      </w:r>
    </w:p>
    <w:sectPr w:rsidR="00935BD4" w:rsidRPr="004E0378" w:rsidSect="00D47D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BD4" w:rsidRPr="00D47DF8" w:rsidRDefault="00935BD4">
      <w:r w:rsidRPr="00D47DF8">
        <w:separator/>
      </w:r>
    </w:p>
  </w:endnote>
  <w:endnote w:type="continuationSeparator" w:id="0">
    <w:p w:rsidR="00935BD4" w:rsidRPr="00D47DF8" w:rsidRDefault="00935BD4">
      <w:r w:rsidRPr="00D47D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BD4" w:rsidRPr="00D47DF8" w:rsidRDefault="00935BD4">
      <w:r w:rsidRPr="00D47DF8">
        <w:separator/>
      </w:r>
    </w:p>
  </w:footnote>
  <w:footnote w:type="continuationSeparator" w:id="0">
    <w:p w:rsidR="00935BD4" w:rsidRPr="00D47DF8" w:rsidRDefault="00935BD4">
      <w:r w:rsidRPr="00D47DF8">
        <w:continuationSeparator/>
      </w:r>
    </w:p>
  </w:footnote>
  <w:footnote w:id="1">
    <w:p w:rsidR="00935BD4" w:rsidRPr="004E0378" w:rsidRDefault="00935BD4">
      <w:pPr>
        <w:pStyle w:val="FootnoteText"/>
        <w:rPr>
          <w:sz w:val="24"/>
          <w:szCs w:val="24"/>
          <w:lang w:val="fi-FI"/>
        </w:rPr>
      </w:pPr>
      <w:r w:rsidRPr="004E0378">
        <w:rPr>
          <w:rStyle w:val="FootnoteReference"/>
          <w:sz w:val="24"/>
          <w:szCs w:val="24"/>
        </w:rPr>
        <w:footnoteRef/>
      </w:r>
      <w:r w:rsidRPr="004E0378">
        <w:rPr>
          <w:sz w:val="24"/>
          <w:szCs w:val="24"/>
          <w:lang w:val="fi-FI"/>
        </w:rPr>
        <w:t xml:space="preserve"> </w:t>
      </w:r>
      <w:r w:rsidRPr="004E0378">
        <w:rPr>
          <w:sz w:val="24"/>
          <w:szCs w:val="24"/>
          <w:lang w:val="fi-FI"/>
        </w:rPr>
        <w:tab/>
        <w:t xml:space="preserve">ĠU C, C/2024/2101, 26.3.2024, ELI: </w:t>
      </w:r>
      <w:hyperlink r:id="rId1" w:history="1">
        <w:r w:rsidRPr="004E0378">
          <w:rPr>
            <w:rStyle w:val="Hyperlink"/>
            <w:sz w:val="24"/>
            <w:szCs w:val="24"/>
            <w:lang w:val="fi-FI"/>
          </w:rPr>
          <w:t>http://data.europa.eu/eli/C/2024/2101/oj</w:t>
        </w:r>
      </w:hyperlink>
    </w:p>
  </w:footnote>
  <w:footnote w:id="2">
    <w:p w:rsidR="00935BD4" w:rsidRPr="00945809" w:rsidRDefault="00935BD4">
      <w:pPr>
        <w:pStyle w:val="FootnoteText"/>
        <w:rPr>
          <w:sz w:val="24"/>
          <w:szCs w:val="24"/>
          <w:lang w:val="mt-MT"/>
        </w:rPr>
      </w:pPr>
      <w:r w:rsidRPr="004E0378">
        <w:rPr>
          <w:rStyle w:val="FootnoteReference"/>
          <w:sz w:val="24"/>
          <w:szCs w:val="24"/>
        </w:rPr>
        <w:footnoteRef/>
      </w:r>
      <w:r w:rsidRPr="004E0378">
        <w:rPr>
          <w:sz w:val="24"/>
          <w:szCs w:val="24"/>
          <w:lang w:val="fi-FI"/>
        </w:rPr>
        <w:t xml:space="preserve"> </w:t>
      </w:r>
      <w:r w:rsidRPr="004E0378">
        <w:rPr>
          <w:sz w:val="24"/>
          <w:szCs w:val="24"/>
          <w:lang w:val="mt-MT"/>
        </w:rPr>
        <w:tab/>
      </w:r>
      <w:r w:rsidRPr="004E0378">
        <w:rPr>
          <w:sz w:val="24"/>
          <w:szCs w:val="24"/>
          <w:lang w:val="mt-MT"/>
        </w:rPr>
        <w:t>ĠU</w:t>
      </w:r>
      <w:r w:rsidRPr="004E0378">
        <w:rPr>
          <w:sz w:val="24"/>
          <w:szCs w:val="24"/>
          <w:lang w:val="fi-FI"/>
        </w:rPr>
        <w:t xml:space="preserve"> C, C/2024/1980, 18.3.2024, ELI: </w:t>
      </w:r>
      <w:hyperlink r:id="rId2" w:history="1">
        <w:r w:rsidRPr="004E0378">
          <w:rPr>
            <w:rStyle w:val="Hyperlink"/>
            <w:sz w:val="24"/>
            <w:szCs w:val="24"/>
            <w:lang w:val="fi-FI"/>
          </w:rPr>
          <w:t>http://data.europa.eu/eli/C/2024/1980/oj</w:t>
        </w:r>
      </w:hyperlink>
    </w:p>
  </w:footnote>
  <w:footnote w:id="3">
    <w:p w:rsidR="00935BD4" w:rsidRPr="00935BD4" w:rsidRDefault="00935BD4" w:rsidP="00935BD4">
      <w:pPr>
        <w:pStyle w:val="FootnoteTextForceStyle"/>
        <w:rPr>
          <w:lang w:val="mt-MT"/>
        </w:rPr>
      </w:pPr>
      <w:r>
        <w:rPr>
          <w:vertAlign w:val="superscript"/>
        </w:rPr>
        <w:footnoteRef/>
      </w:r>
      <w:r w:rsidRPr="00935BD4">
        <w:rPr>
          <w:lang w:val="mt-MT"/>
        </w:rPr>
        <w:tab/>
      </w:r>
      <w:r w:rsidRPr="00935BD4">
        <w:rPr>
          <w:lang w:val="mt-MT"/>
        </w:rPr>
        <w:t>ĠU C , , p. .</w:t>
      </w:r>
    </w:p>
  </w:footnote>
  <w:footnote w:id="4">
    <w:p w:rsidR="00935BD4" w:rsidRPr="00935BD4" w:rsidRDefault="00935BD4" w:rsidP="00935BD4">
      <w:pPr>
        <w:pStyle w:val="FootnoteTextForceStyle"/>
        <w:rPr>
          <w:lang w:val="mt-MT"/>
        </w:rPr>
      </w:pPr>
      <w:r>
        <w:rPr>
          <w:vertAlign w:val="superscript"/>
        </w:rPr>
        <w:footnoteRef/>
      </w:r>
      <w:r w:rsidRPr="00935BD4">
        <w:rPr>
          <w:lang w:val="mt-MT"/>
        </w:rPr>
        <w:tab/>
        <w:t>Ir-Regolament (KE) Nru 805/2004 tal-Parlament Ewropew u tal-Kunsill tal-21 ta’ April 2004 li joħloq Ordni Ewropew ta’ Infurzar għal talbiet mhux kontestati (ĠU L 143, 30.04.2004, p. 15).</w:t>
      </w:r>
    </w:p>
  </w:footnote>
  <w:footnote w:id="5">
    <w:p w:rsidR="00935BD4" w:rsidRPr="00935BD4" w:rsidRDefault="00935BD4" w:rsidP="00935BD4">
      <w:pPr>
        <w:pStyle w:val="FootnoteTextForceStyle"/>
        <w:rPr>
          <w:lang w:val="mt-MT"/>
        </w:rPr>
      </w:pPr>
      <w:r>
        <w:rPr>
          <w:vertAlign w:val="superscript"/>
        </w:rPr>
        <w:footnoteRef/>
      </w:r>
      <w:r w:rsidRPr="00935BD4">
        <w:rPr>
          <w:lang w:val="mt-MT"/>
        </w:rPr>
        <w:tab/>
      </w:r>
      <w:r w:rsidRPr="00935BD4">
        <w:rPr>
          <w:lang w:val="mt-MT"/>
        </w:rPr>
        <w:t>Ir-Regolament (KE) Nru 1896/2006 tal-Parlament Ewropew u tal-Kunsill tat-12 ta’ Diċembru 2006 li joħloq proċedura għal ordni ta’ ħlas Ewropea (ĠU L 399, 30.12.2006, p. 1).</w:t>
      </w:r>
    </w:p>
  </w:footnote>
  <w:footnote w:id="6">
    <w:p w:rsidR="00935BD4" w:rsidRPr="00935BD4" w:rsidRDefault="00935BD4" w:rsidP="00935BD4">
      <w:pPr>
        <w:pStyle w:val="FootnoteTextForceStyle"/>
        <w:rPr>
          <w:lang w:val="mt-MT"/>
        </w:rPr>
      </w:pPr>
      <w:r>
        <w:rPr>
          <w:vertAlign w:val="superscript"/>
        </w:rPr>
        <w:footnoteRef/>
      </w:r>
      <w:r w:rsidRPr="00935BD4">
        <w:rPr>
          <w:lang w:val="mt-MT"/>
        </w:rPr>
        <w:tab/>
      </w:r>
      <w:r w:rsidRPr="00935BD4">
        <w:rPr>
          <w:lang w:val="mt-MT"/>
        </w:rPr>
        <w:t>Ir-Regolament (KE) Nru 861/2007 tal-Parlament Ewropew u tal-Kunsill tal-11 ta’ Lulju 2007 li jistabbilixxi Proċedura Ewropea għal Talbiet Żgħar (ĠU L 199, 31.7.2007, p. 1)</w:t>
      </w:r>
    </w:p>
  </w:footnote>
  <w:footnote w:id="7">
    <w:p w:rsidR="00935BD4" w:rsidRPr="00935BD4" w:rsidRDefault="00935BD4" w:rsidP="00935BD4">
      <w:pPr>
        <w:pStyle w:val="FootnoteTextForceStyle"/>
        <w:rPr>
          <w:lang w:val="mt-MT"/>
        </w:rPr>
      </w:pPr>
      <w:r>
        <w:rPr>
          <w:vertAlign w:val="superscript"/>
        </w:rPr>
        <w:footnoteRef/>
      </w:r>
      <w:r w:rsidRPr="00935BD4">
        <w:rPr>
          <w:lang w:val="mt-MT"/>
        </w:rPr>
        <w:tab/>
      </w:r>
      <w:r w:rsidRPr="00935BD4">
        <w:rPr>
          <w:lang w:val="mt-MT"/>
        </w:rPr>
        <w:t>Ir-Regolament (UE) Nru 1215/2012 tal-Parlament Ewropew u tal-Kunsill tat-12 ta’ Diċembru 2012 dwar il-ġuriżdizzjoni u r-rikonoxximent u l-eżekuzzjoni ta’ sentenzi fi kwistjonijiet ċivili u kummerċjali (ĠU L 351, 20.12.2012, p. 1).</w:t>
      </w:r>
    </w:p>
  </w:footnote>
  <w:footnote w:id="8">
    <w:p w:rsidR="00935BD4" w:rsidRPr="00935BD4" w:rsidRDefault="00935BD4" w:rsidP="00935BD4">
      <w:pPr>
        <w:pStyle w:val="FootnoteTextForceStyle"/>
        <w:rPr>
          <w:lang w:val="mt-MT"/>
        </w:rPr>
      </w:pPr>
      <w:r>
        <w:rPr>
          <w:vertAlign w:val="superscript"/>
        </w:rPr>
        <w:footnoteRef/>
      </w:r>
      <w:r w:rsidRPr="00935BD4">
        <w:rPr>
          <w:lang w:val="mt-MT"/>
        </w:rPr>
        <w:tab/>
      </w:r>
      <w:r w:rsidRPr="00935BD4">
        <w:rPr>
          <w:lang w:val="mt-MT"/>
        </w:rPr>
        <w:t>Id-Direttiva 2011/7/UE tal-Parlament Ewropew u tal-Kunsill tas-16 ta’ Frar 2011 dwar il-ġlieda kontra l-ħlas tard fi tranżazzjonijiet kummerċjali (ĠU L 48, 23.2.2011, p. 1).</w:t>
      </w:r>
    </w:p>
  </w:footnote>
  <w:footnote w:id="9">
    <w:p w:rsidR="00935BD4" w:rsidRPr="00935BD4" w:rsidRDefault="00935BD4" w:rsidP="00935BD4">
      <w:pPr>
        <w:pStyle w:val="FootnoteTextForceStyle"/>
        <w:rPr>
          <w:lang w:val="mt-MT"/>
        </w:rPr>
      </w:pPr>
      <w:r>
        <w:rPr>
          <w:vertAlign w:val="superscript"/>
        </w:rPr>
        <w:footnoteRef/>
      </w:r>
      <w:r w:rsidRPr="00935BD4">
        <w:rPr>
          <w:lang w:val="mt-MT"/>
        </w:rPr>
        <w:tab/>
      </w:r>
      <w:r w:rsidRPr="00935BD4">
        <w:rPr>
          <w:lang w:val="mt-MT"/>
        </w:rPr>
        <w:t>COM(2020) 103 final.</w:t>
      </w:r>
    </w:p>
  </w:footnote>
  <w:footnote w:id="10">
    <w:p w:rsidR="00935BD4" w:rsidRPr="00935BD4" w:rsidRDefault="00935BD4" w:rsidP="00935BD4">
      <w:pPr>
        <w:pStyle w:val="FootnoteTextForceStyle"/>
        <w:rPr>
          <w:lang w:val="mt-MT"/>
        </w:rPr>
      </w:pPr>
      <w:r>
        <w:rPr>
          <w:vertAlign w:val="superscript"/>
        </w:rPr>
        <w:footnoteRef/>
      </w:r>
      <w:r w:rsidRPr="00935BD4">
        <w:rPr>
          <w:lang w:val="mt-MT"/>
        </w:rPr>
        <w:tab/>
      </w:r>
      <w:r w:rsidRPr="00935BD4">
        <w:rPr>
          <w:lang w:val="mt-MT"/>
        </w:rPr>
        <w:t>Id-Direttiva (UE) 2019/1023 tal-Parlament Ewropew u tal-Kunsill tal-20 ta’ Ġunju 2019 dwar oqfsa ta’ ristrutturar preventiv, dwar il-ħelsien mid-dejn u l-iskwalifiki u dwar miżuri sabiex tiżdied l-effiċjenza tal-proċeduri li jikkonċernaw ir-ristrutturar, l-insolvenza u l-ħelsien mid-dejn u li temenda d-Direttiva (UE) 2017/1132 (ĠU L 172, 26.6.2019, p. 18).</w:t>
      </w:r>
    </w:p>
  </w:footnote>
  <w:footnote w:id="11">
    <w:p w:rsidR="00935BD4" w:rsidRPr="00935BD4" w:rsidRDefault="00935BD4" w:rsidP="00935BD4">
      <w:pPr>
        <w:pStyle w:val="FootnoteTextForceStyle"/>
        <w:rPr>
          <w:lang w:val="es-ES"/>
        </w:rPr>
      </w:pPr>
      <w:r>
        <w:rPr>
          <w:vertAlign w:val="superscript"/>
        </w:rPr>
        <w:footnoteRef/>
      </w:r>
      <w:r w:rsidRPr="00935BD4">
        <w:rPr>
          <w:lang w:val="es-ES"/>
        </w:rPr>
        <w:tab/>
        <w:t>Is-sentenza tal-20 ta’ Ottubru 2022, BFF Finance Iberia SAU vs Gerencia Regional de Salud de la Junta de Castilla y León (ĠU C 53, 15.2.2021, p. 19) C585/20, EU:C:2022:806, il-paragrafu 53.</w:t>
      </w:r>
    </w:p>
  </w:footnote>
  <w:footnote w:id="12">
    <w:p w:rsidR="00935BD4" w:rsidRPr="00935BD4" w:rsidRDefault="00935BD4" w:rsidP="00935BD4">
      <w:pPr>
        <w:pStyle w:val="FootnoteTextForceStyle"/>
        <w:rPr>
          <w:lang w:val="es-ES"/>
        </w:rPr>
      </w:pPr>
      <w:r>
        <w:rPr>
          <w:vertAlign w:val="superscript"/>
        </w:rPr>
        <w:footnoteRef/>
      </w:r>
      <w:r w:rsidRPr="00935BD4">
        <w:rPr>
          <w:lang w:val="es-ES"/>
        </w:rPr>
        <w:tab/>
        <w:t>Id-Direttiva 2014/23/UE tal-Parlament Ewropew u tal-Kunsill tas-26 ta’ Frar 2014 dwar l-għoti ta’ kuntratti ta’ konċessjoni (ĠU L 94, 28.3.2014, p. 1-64).</w:t>
      </w:r>
    </w:p>
  </w:footnote>
  <w:footnote w:id="13">
    <w:p w:rsidR="00935BD4" w:rsidRPr="00935BD4" w:rsidRDefault="00935BD4" w:rsidP="00935BD4">
      <w:pPr>
        <w:pStyle w:val="FootnoteTextForceStyle"/>
        <w:rPr>
          <w:lang w:val="es-ES"/>
        </w:rPr>
      </w:pPr>
      <w:r>
        <w:rPr>
          <w:vertAlign w:val="superscript"/>
        </w:rPr>
        <w:footnoteRef/>
      </w:r>
      <w:r w:rsidRPr="00935BD4">
        <w:rPr>
          <w:lang w:val="es-ES"/>
        </w:rPr>
        <w:tab/>
        <w:t>Id-Direttiva 2014/24/UE tal-Parlament Ewropew u tal-Kunsill tas-26 ta’ Frar 2014 dwar l-akkwist pubbliku u li tħassar id-Direttiva 2004/18/KE (ĠU L 94, 28.3.2014, p. 65-242).</w:t>
      </w:r>
    </w:p>
  </w:footnote>
  <w:footnote w:id="14">
    <w:p w:rsidR="00935BD4" w:rsidRPr="00935BD4" w:rsidRDefault="00935BD4" w:rsidP="00935BD4">
      <w:pPr>
        <w:pStyle w:val="FootnoteTextForceStyle"/>
        <w:rPr>
          <w:lang w:val="es-ES"/>
        </w:rPr>
      </w:pPr>
      <w:r>
        <w:rPr>
          <w:vertAlign w:val="superscript"/>
        </w:rPr>
        <w:footnoteRef/>
      </w:r>
      <w:r w:rsidRPr="00935BD4">
        <w:rPr>
          <w:lang w:val="es-ES"/>
        </w:rPr>
        <w:tab/>
        <w:t>Id-Direttiva 2014/25/UE tal-Parlament Ewropew u tal-Kunsill tas-26 ta’ Frar 2014 dwar l-akkwist minn entitajiet li joperaw fis-setturi tas-servizzi tal-ilma, l-enerġija, it-trasport u postali u li tħassar id-Direttiva 2004/17/KE (ĠU L 94, 28.3.2014, p. 243-374).</w:t>
      </w:r>
    </w:p>
  </w:footnote>
  <w:footnote w:id="15">
    <w:p w:rsidR="00935BD4" w:rsidRPr="00935BD4" w:rsidRDefault="00935BD4" w:rsidP="00935BD4">
      <w:pPr>
        <w:pStyle w:val="FootnoteTextForceStyle"/>
        <w:rPr>
          <w:lang w:val="es-ES"/>
        </w:rPr>
      </w:pPr>
      <w:r>
        <w:rPr>
          <w:vertAlign w:val="superscript"/>
        </w:rPr>
        <w:footnoteRef/>
      </w:r>
      <w:r w:rsidRPr="00935BD4">
        <w:rPr>
          <w:lang w:val="es-ES"/>
        </w:rPr>
        <w:tab/>
        <w:t>Id-Direttiva 2009/81/KE tal-Parlament Ewropew u tal-Kunsill tat-13 ta’ Lulju 2009 dwar il-koordinazzjoni tal-proċeduri għall-għoti ta’ ċerti kuntratti ta’ xogħlijiet, provvisti u servizzi minn awtoritajiet jew entitajiet kontraenti fl-oqsma tad-difiża u s-sigurtà, u li temenda d-Direttiva 2004/17/KE u d-Direttiva 2004/18/KE (ĠUL 216, 20.08.2009, p. 76-136).</w:t>
      </w:r>
    </w:p>
  </w:footnote>
  <w:footnote w:id="16">
    <w:p w:rsidR="00935BD4" w:rsidRPr="00935BD4" w:rsidRDefault="00935BD4" w:rsidP="00935BD4">
      <w:pPr>
        <w:pStyle w:val="FootnoteTextForceStyle"/>
        <w:rPr>
          <w:lang w:val="es-ES"/>
        </w:rPr>
      </w:pPr>
      <w:r>
        <w:rPr>
          <w:vertAlign w:val="superscript"/>
        </w:rPr>
        <w:footnoteRef/>
      </w:r>
      <w:r w:rsidRPr="00935BD4">
        <w:rPr>
          <w:lang w:val="es-ES"/>
        </w:rPr>
        <w:tab/>
        <w:t>Is-sentenza tal-20 ta’ Ottubru 2022, BFF Finance Iberia SAU vs Gerencia Regional de Salud de la Junta de Castilla y León, C-585/20, ECLI:EU:C:2022:806.</w:t>
      </w:r>
    </w:p>
  </w:footnote>
  <w:footnote w:id="17">
    <w:p w:rsidR="00935BD4" w:rsidRPr="00935BD4" w:rsidRDefault="00935BD4" w:rsidP="00935BD4">
      <w:pPr>
        <w:pStyle w:val="FootnoteTextForceStyle"/>
        <w:rPr>
          <w:lang w:val="es-ES"/>
        </w:rPr>
      </w:pPr>
      <w:r>
        <w:rPr>
          <w:vertAlign w:val="superscript"/>
        </w:rPr>
        <w:footnoteRef/>
      </w:r>
      <w:r w:rsidRPr="00935BD4">
        <w:rPr>
          <w:lang w:val="es-ES"/>
        </w:rPr>
        <w:tab/>
        <w:t>Id-Direttiva tal-Kunsill 2006/112/KE tat-28 ta’ Novembru 2006 dwar is-sistema komuni ta’ taxxa fuq il-valur miżjud (ĠU L 347, 11.12.2006, p. 1).</w:t>
      </w:r>
    </w:p>
  </w:footnote>
  <w:footnote w:id="18">
    <w:p w:rsidR="00935BD4" w:rsidRPr="00935BD4" w:rsidRDefault="00935BD4" w:rsidP="00935BD4">
      <w:pPr>
        <w:pStyle w:val="FootnoteTextForceStyle"/>
        <w:rPr>
          <w:lang w:val="sv-SE"/>
        </w:rPr>
      </w:pPr>
      <w:r>
        <w:rPr>
          <w:vertAlign w:val="superscript"/>
        </w:rPr>
        <w:footnoteRef/>
      </w:r>
      <w:r w:rsidRPr="00935BD4">
        <w:rPr>
          <w:lang w:val="sv-SE"/>
        </w:rPr>
        <w:tab/>
        <w:t>Id-Direttiva 2014/55/UE tal-Parlament Ewropew u tal-Kunsill tas-16 ta’ April 2014 dwar il-fatturazzjoni elettronika fl-akkwist pubbliku (ĠU L 133, 6.5.2014, p. 1).</w:t>
      </w:r>
    </w:p>
  </w:footnote>
  <w:footnote w:id="19">
    <w:p w:rsidR="00935BD4" w:rsidRPr="00935BD4" w:rsidRDefault="00935BD4" w:rsidP="00935BD4">
      <w:pPr>
        <w:pStyle w:val="FootnoteTextForceStyle"/>
        <w:rPr>
          <w:lang w:val="sv-SE"/>
        </w:rPr>
      </w:pPr>
      <w:r>
        <w:rPr>
          <w:vertAlign w:val="superscript"/>
        </w:rPr>
        <w:footnoteRef/>
      </w:r>
      <w:r w:rsidRPr="00935BD4">
        <w:rPr>
          <w:lang w:val="sv-SE"/>
        </w:rPr>
        <w:tab/>
        <w:t>Id-Direttiva (UE) 2019/633 tal-Parlament Ewropew u tal-Kunsill tas-17 ta’ April 2019 dwar prattiki kummerċjali inġusti fir-relazzjonijiet bejn in-negozji fil-katina tal-provvista agrikola u alimentari (ĠU L 111, 25.4.2019, p. 59).</w:t>
      </w:r>
    </w:p>
  </w:footnote>
  <w:footnote w:id="20">
    <w:p w:rsidR="00935BD4" w:rsidRPr="00935BD4" w:rsidRDefault="00935BD4" w:rsidP="00935BD4">
      <w:pPr>
        <w:pStyle w:val="FootnoteTextForceStyle"/>
        <w:rPr>
          <w:lang w:val="sv-SE"/>
        </w:rPr>
      </w:pPr>
      <w:r>
        <w:rPr>
          <w:vertAlign w:val="superscript"/>
        </w:rPr>
        <w:footnoteRef/>
      </w:r>
      <w:r w:rsidRPr="00935BD4">
        <w:rPr>
          <w:lang w:val="sv-SE"/>
        </w:rPr>
        <w:tab/>
        <w:t>L-Artikolu 23 tar-Regolament (UE) Nru 1308/2013 tal-Parlament Ewropew u tal-Kunsill tas-17 ta’ Diċembru 2013 li jistabbilixxi organizzazzjoni komuni tas-swieq fi prodotti agrikoli (ĠU L 347, 20.12.2013, p. 671).</w:t>
      </w:r>
    </w:p>
  </w:footnote>
  <w:footnote w:id="21">
    <w:p w:rsidR="00935BD4" w:rsidRPr="00935BD4" w:rsidRDefault="00935BD4" w:rsidP="00935BD4">
      <w:pPr>
        <w:pStyle w:val="FootnoteTextForceStyle"/>
        <w:rPr>
          <w:lang w:val="sv-SE"/>
        </w:rPr>
      </w:pPr>
      <w:r>
        <w:rPr>
          <w:vertAlign w:val="superscript"/>
        </w:rPr>
        <w:footnoteRef/>
      </w:r>
      <w:r w:rsidRPr="00935BD4">
        <w:rPr>
          <w:lang w:val="sv-SE"/>
        </w:rPr>
        <w:tab/>
        <w:t>L-Artikolu 172a tar-Regolament (UE) Nru 1308/2013 tal-Parlament Ewropew u tal-Kunsill tas-17 ta’ Diċembru 2013 li jistabbilixxi organizzazzjoni komuni tas-swieq fi prodotti agrikoli (ĠU L 347, 20.12.2013, p. 671).</w:t>
      </w:r>
    </w:p>
  </w:footnote>
  <w:footnote w:id="22">
    <w:p w:rsidR="00935BD4" w:rsidRPr="00935BD4" w:rsidRDefault="00935BD4" w:rsidP="00935BD4">
      <w:pPr>
        <w:pStyle w:val="FootnoteTextForceStyle"/>
        <w:rPr>
          <w:lang w:val="sv-SE"/>
        </w:rPr>
      </w:pPr>
      <w:r>
        <w:rPr>
          <w:vertAlign w:val="superscript"/>
        </w:rPr>
        <w:footnoteRef/>
      </w:r>
      <w:r w:rsidRPr="00935BD4">
        <w:rPr>
          <w:lang w:val="sv-SE"/>
        </w:rPr>
        <w:tab/>
        <w:t>L-Artikolu 147a tar-Regolament (UE) Nru 1308/2013 tal-Parlament Ewropew u tal-Kunsill tas-17 ta’ Diċembru 2013 li jistabbilixxi organizzazzjoni komuni tas-swieq fi prodotti agrikoli (ĠU L 347, 20.12.2013, p. 671).</w:t>
      </w:r>
    </w:p>
  </w:footnote>
  <w:footnote w:id="23">
    <w:p w:rsidR="00935BD4" w:rsidRPr="00935BD4" w:rsidRDefault="00935BD4" w:rsidP="00935BD4">
      <w:pPr>
        <w:pStyle w:val="FootnoteTextForceStyle"/>
        <w:rPr>
          <w:lang w:val="sv-SE"/>
        </w:rPr>
      </w:pPr>
      <w:r>
        <w:rPr>
          <w:vertAlign w:val="superscript"/>
        </w:rPr>
        <w:footnoteRef/>
      </w:r>
      <w:r w:rsidRPr="00935BD4">
        <w:rPr>
          <w:lang w:val="sv-SE"/>
        </w:rPr>
        <w:tab/>
        <w:t>Id-Direttiva (UE) 2019/1023 tal-Parlament Ewropew u tal-Kunsill tal-20 ta’ Ġunju 2019 dwar oqfsa ta’ ristrutturar preventiv, dwar il-ħelsien mid-dejn u l-iskwalifiki u dwar miżuri sabiex tiżdied l-effiċjenza tal-proċeduri li jikkonċernaw ir-ristrutturar, l-insolvenza u l-ħelsien mid-dejn u li temenda d-Direttiva (UE) 2017/1132 (ĠU L 172, 26.6.2019, p. 18).</w:t>
      </w:r>
    </w:p>
  </w:footnote>
  <w:footnote w:id="24">
    <w:p w:rsidR="00935BD4" w:rsidRPr="00935BD4" w:rsidRDefault="00935BD4" w:rsidP="00935BD4">
      <w:pPr>
        <w:pStyle w:val="FootnoteTextForceStyle"/>
        <w:rPr>
          <w:lang w:val="sv-SE"/>
        </w:rPr>
      </w:pPr>
      <w:r>
        <w:rPr>
          <w:vertAlign w:val="superscript"/>
        </w:rPr>
        <w:footnoteRef/>
      </w:r>
      <w:r w:rsidRPr="00935BD4">
        <w:rPr>
          <w:lang w:val="sv-SE"/>
        </w:rPr>
        <w:tab/>
        <w:t>Id-Direttiva 2009/81/KE tal-Parlament Ewropew u tal-Kunsill tat-13 ta’ Lulju 2009 dwar il-koordinazzjoni tal-proċeduri għall-għoti ta’ ċerti kuntratti ta’ xogħlijiet, provvisti u servizzi minn awtoritajiet jew entitajiet kontraenti fl-oqsma tad-difiża u s-sigurtà, u li temenda d-Direttivi 2004/17/KE u 2004/18/KE.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MT"/>
    <w:docVar w:name="dvnumam" w:val="91"/>
    <w:docVar w:name="dvpe" w:val="756.002"/>
    <w:docVar w:name="dvrapporteur" w:val="Rapporteur: "/>
    <w:docVar w:name="dvstar" w:val="***I"/>
    <w:docVar w:name="dvtitre" w:val="Riżoluzzjoni leġiżlattiva tal-Parlament Ewropew tat-23 ta' April 2024 dwar il-proposta għal regolament tal-Parlament Ewropew u tal-Kunsill dwar il-ġlieda kontra l-ħlasijiet tard fit-tranżazzjonijiet kummerċjali(COM(2023)0533 – C9-0338/2023 – 2023/0323(COD))"/>
  </w:docVars>
  <w:rsids>
    <w:rsidRoot w:val="004F500D"/>
    <w:rsid w:val="00002272"/>
    <w:rsid w:val="00064002"/>
    <w:rsid w:val="000677B9"/>
    <w:rsid w:val="000831BA"/>
    <w:rsid w:val="000A42CC"/>
    <w:rsid w:val="000E7DD9"/>
    <w:rsid w:val="0010095E"/>
    <w:rsid w:val="00125B37"/>
    <w:rsid w:val="00187494"/>
    <w:rsid w:val="001E0836"/>
    <w:rsid w:val="001F32AE"/>
    <w:rsid w:val="002767FF"/>
    <w:rsid w:val="002B18FE"/>
    <w:rsid w:val="002B5493"/>
    <w:rsid w:val="002D1A57"/>
    <w:rsid w:val="00343214"/>
    <w:rsid w:val="00361C00"/>
    <w:rsid w:val="00395FA1"/>
    <w:rsid w:val="003D3C7C"/>
    <w:rsid w:val="003E15D4"/>
    <w:rsid w:val="00411CCE"/>
    <w:rsid w:val="0041666E"/>
    <w:rsid w:val="00421060"/>
    <w:rsid w:val="00471C19"/>
    <w:rsid w:val="004867E3"/>
    <w:rsid w:val="00494A28"/>
    <w:rsid w:val="004C0004"/>
    <w:rsid w:val="004C5D52"/>
    <w:rsid w:val="004E0378"/>
    <w:rsid w:val="004F500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3C1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BD4"/>
    <w:rsid w:val="00945809"/>
    <w:rsid w:val="009509D8"/>
    <w:rsid w:val="00950B64"/>
    <w:rsid w:val="00974F93"/>
    <w:rsid w:val="00981893"/>
    <w:rsid w:val="009D4CC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DF8"/>
    <w:rsid w:val="00D56C11"/>
    <w:rsid w:val="00D834A0"/>
    <w:rsid w:val="00D872DF"/>
    <w:rsid w:val="00D91E21"/>
    <w:rsid w:val="00DA7FCD"/>
    <w:rsid w:val="00E03F3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C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9059E"/>
  <w15:chartTrackingRefBased/>
  <w15:docId w15:val="{962E1BC4-5FE7-47A9-815C-0249FD29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3C12"/>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0836"/>
    <w:rPr>
      <w:b/>
      <w:kern w:val="28"/>
      <w:sz w:val="28"/>
      <w:lang w:val="fr-FR" w:eastAsia="fr-FR"/>
    </w:rPr>
  </w:style>
  <w:style w:type="character" w:customStyle="1" w:styleId="Heading2Char">
    <w:name w:val="Heading 2 Char"/>
    <w:basedOn w:val="DefaultParagraphFont"/>
    <w:link w:val="Heading2"/>
    <w:semiHidden/>
    <w:rsid w:val="001E0836"/>
    <w:rPr>
      <w:sz w:val="24"/>
      <w:lang w:val="fr-FR" w:eastAsia="fr-FR"/>
    </w:rPr>
  </w:style>
  <w:style w:type="character" w:customStyle="1" w:styleId="Heading3Char">
    <w:name w:val="Heading 3 Char"/>
    <w:basedOn w:val="DefaultParagraphFont"/>
    <w:link w:val="Heading3"/>
    <w:semiHidden/>
    <w:rsid w:val="001E0836"/>
    <w:rPr>
      <w:rFonts w:ascii="Arial" w:hAnsi="Arial"/>
      <w:sz w:val="24"/>
      <w:lang w:val="fr-FR" w:eastAsia="fr-FR"/>
    </w:rPr>
  </w:style>
  <w:style w:type="character" w:customStyle="1" w:styleId="Heading4Char">
    <w:name w:val="Heading 4 Char"/>
    <w:basedOn w:val="DefaultParagraphFont"/>
    <w:link w:val="Heading4"/>
    <w:semiHidden/>
    <w:rsid w:val="001E0836"/>
    <w:rPr>
      <w:sz w:val="24"/>
      <w:lang w:val="en-US" w:eastAsia="fr-FR"/>
    </w:rPr>
  </w:style>
  <w:style w:type="character" w:customStyle="1" w:styleId="Heading5Char">
    <w:name w:val="Heading 5 Char"/>
    <w:basedOn w:val="DefaultParagraphFont"/>
    <w:link w:val="Heading5"/>
    <w:semiHidden/>
    <w:rsid w:val="001E0836"/>
    <w:rPr>
      <w:sz w:val="24"/>
      <w:lang w:val="en-US" w:eastAsia="fr-FR"/>
    </w:rPr>
  </w:style>
  <w:style w:type="character" w:customStyle="1" w:styleId="Heading6Char">
    <w:name w:val="Heading 6 Char"/>
    <w:basedOn w:val="DefaultParagraphFont"/>
    <w:link w:val="Heading6"/>
    <w:semiHidden/>
    <w:rsid w:val="001E0836"/>
    <w:rPr>
      <w:i/>
      <w:sz w:val="22"/>
      <w:lang w:val="mt-MT"/>
    </w:rPr>
  </w:style>
  <w:style w:type="character" w:customStyle="1" w:styleId="Heading7Char">
    <w:name w:val="Heading 7 Char"/>
    <w:basedOn w:val="DefaultParagraphFont"/>
    <w:link w:val="Heading7"/>
    <w:semiHidden/>
    <w:rsid w:val="001E0836"/>
    <w:rPr>
      <w:rFonts w:ascii="Arial" w:hAnsi="Arial"/>
      <w:sz w:val="24"/>
      <w:lang w:val="mt-MT"/>
    </w:rPr>
  </w:style>
  <w:style w:type="character" w:customStyle="1" w:styleId="Heading8Char">
    <w:name w:val="Heading 8 Char"/>
    <w:basedOn w:val="DefaultParagraphFont"/>
    <w:link w:val="Heading8"/>
    <w:semiHidden/>
    <w:rsid w:val="001E0836"/>
    <w:rPr>
      <w:rFonts w:ascii="Arial" w:hAnsi="Arial"/>
      <w:i/>
      <w:sz w:val="24"/>
      <w:lang w:val="mt-MT"/>
    </w:rPr>
  </w:style>
  <w:style w:type="character" w:customStyle="1" w:styleId="Heading9Char">
    <w:name w:val="Heading 9 Char"/>
    <w:basedOn w:val="DefaultParagraphFont"/>
    <w:link w:val="Heading9"/>
    <w:semiHidden/>
    <w:rsid w:val="001E0836"/>
    <w:rPr>
      <w:rFonts w:ascii="Arial" w:hAnsi="Arial"/>
      <w:b/>
      <w:i/>
      <w:sz w:val="18"/>
      <w:lang w:val="mt-MT"/>
    </w:rPr>
  </w:style>
  <w:style w:type="paragraph" w:styleId="TOCHeading">
    <w:name w:val="TOC Heading"/>
    <w:basedOn w:val="Normal"/>
    <w:next w:val="Normal"/>
    <w:unhideWhenUsed/>
    <w:qFormat/>
    <w:rsid w:val="001E0836"/>
    <w:pPr>
      <w:widowControl/>
      <w:spacing w:after="240"/>
    </w:pPr>
    <w:rPr>
      <w:lang w:val="en-GB"/>
    </w:rPr>
  </w:style>
  <w:style w:type="paragraph" w:customStyle="1" w:styleId="EPFooter2">
    <w:name w:val="EPFooter2"/>
    <w:basedOn w:val="Normal"/>
    <w:next w:val="Normal"/>
    <w:rsid w:val="001E083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0836"/>
    <w:pPr>
      <w:keepNext/>
      <w:spacing w:after="240"/>
      <w:jc w:val="right"/>
    </w:pPr>
    <w:rPr>
      <w:rFonts w:ascii="Arial" w:hAnsi="Arial"/>
      <w:b/>
    </w:rPr>
  </w:style>
  <w:style w:type="paragraph" w:customStyle="1" w:styleId="Normal6a">
    <w:name w:val="Normal6a"/>
    <w:basedOn w:val="Normal"/>
    <w:rsid w:val="001E0836"/>
    <w:pPr>
      <w:spacing w:after="120"/>
    </w:pPr>
  </w:style>
  <w:style w:type="paragraph" w:customStyle="1" w:styleId="PageHeading">
    <w:name w:val="PageHeading"/>
    <w:basedOn w:val="Normal"/>
    <w:rsid w:val="001E0836"/>
    <w:pPr>
      <w:keepNext/>
      <w:spacing w:after="480"/>
      <w:jc w:val="center"/>
    </w:pPr>
    <w:rPr>
      <w:rFonts w:ascii="Arial" w:hAnsi="Arial" w:cs="Arial"/>
      <w:b/>
    </w:rPr>
  </w:style>
  <w:style w:type="paragraph" w:customStyle="1" w:styleId="NormalBold">
    <w:name w:val="NormalBold"/>
    <w:basedOn w:val="Normal"/>
    <w:link w:val="NormalBoldChar"/>
    <w:rsid w:val="001E0836"/>
    <w:rPr>
      <w:b/>
    </w:rPr>
  </w:style>
  <w:style w:type="paragraph" w:customStyle="1" w:styleId="NormalBold12a">
    <w:name w:val="NormalBold12a"/>
    <w:basedOn w:val="Normal"/>
    <w:rsid w:val="001E0836"/>
    <w:pPr>
      <w:spacing w:after="240"/>
    </w:pPr>
    <w:rPr>
      <w:b/>
    </w:rPr>
  </w:style>
  <w:style w:type="paragraph" w:customStyle="1" w:styleId="AmJustText">
    <w:name w:val="AmJustText"/>
    <w:basedOn w:val="Normal"/>
    <w:rsid w:val="001E0836"/>
    <w:pPr>
      <w:spacing w:after="240"/>
    </w:pPr>
    <w:rPr>
      <w:i/>
    </w:rPr>
  </w:style>
  <w:style w:type="paragraph" w:customStyle="1" w:styleId="NormalHanging12a">
    <w:name w:val="NormalHanging12a"/>
    <w:basedOn w:val="Normal"/>
    <w:rsid w:val="001E0836"/>
    <w:pPr>
      <w:spacing w:after="240"/>
      <w:ind w:left="567" w:hanging="567"/>
    </w:pPr>
  </w:style>
  <w:style w:type="paragraph" w:customStyle="1" w:styleId="CoverNormal24a">
    <w:name w:val="CoverNormal24a"/>
    <w:basedOn w:val="Normal"/>
    <w:rsid w:val="001E0836"/>
    <w:pPr>
      <w:spacing w:after="480"/>
      <w:ind w:left="1417"/>
    </w:pPr>
  </w:style>
  <w:style w:type="paragraph" w:customStyle="1" w:styleId="CoverNormal">
    <w:name w:val="CoverNormal"/>
    <w:basedOn w:val="Normal"/>
    <w:rsid w:val="001E0836"/>
    <w:pPr>
      <w:ind w:left="1418"/>
    </w:pPr>
  </w:style>
  <w:style w:type="paragraph" w:customStyle="1" w:styleId="AmCrossRef">
    <w:name w:val="AmCrossRef"/>
    <w:basedOn w:val="Normal"/>
    <w:rsid w:val="001E0836"/>
    <w:pPr>
      <w:spacing w:before="240" w:after="240"/>
      <w:jc w:val="center"/>
    </w:pPr>
    <w:rPr>
      <w:i/>
    </w:rPr>
  </w:style>
  <w:style w:type="paragraph" w:customStyle="1" w:styleId="AmJustTitle">
    <w:name w:val="AmJustTitle"/>
    <w:basedOn w:val="Normal"/>
    <w:next w:val="AmJustText"/>
    <w:rsid w:val="001E0836"/>
    <w:pPr>
      <w:keepNext/>
      <w:spacing w:before="240" w:after="240"/>
      <w:jc w:val="center"/>
    </w:pPr>
    <w:rPr>
      <w:i/>
    </w:rPr>
  </w:style>
  <w:style w:type="paragraph" w:customStyle="1" w:styleId="CoverReference">
    <w:name w:val="CoverReference"/>
    <w:basedOn w:val="Normal"/>
    <w:rsid w:val="001E0836"/>
    <w:pPr>
      <w:spacing w:before="1080"/>
      <w:jc w:val="right"/>
    </w:pPr>
    <w:rPr>
      <w:rFonts w:ascii="Arial" w:hAnsi="Arial" w:cs="Arial"/>
      <w:b/>
    </w:rPr>
  </w:style>
  <w:style w:type="paragraph" w:customStyle="1" w:styleId="CoverDocType">
    <w:name w:val="CoverDocType"/>
    <w:basedOn w:val="Normal"/>
    <w:rsid w:val="001E0836"/>
    <w:pPr>
      <w:ind w:left="1418"/>
    </w:pPr>
    <w:rPr>
      <w:rFonts w:ascii="Arial" w:hAnsi="Arial"/>
      <w:b/>
      <w:sz w:val="48"/>
    </w:rPr>
  </w:style>
  <w:style w:type="paragraph" w:customStyle="1" w:styleId="CoverDocType24a">
    <w:name w:val="CoverDocType24a"/>
    <w:basedOn w:val="Normal"/>
    <w:rsid w:val="001E0836"/>
    <w:pPr>
      <w:spacing w:after="480"/>
      <w:ind w:left="1418"/>
    </w:pPr>
    <w:rPr>
      <w:rFonts w:ascii="Arial" w:hAnsi="Arial"/>
      <w:b/>
      <w:sz w:val="48"/>
    </w:rPr>
  </w:style>
  <w:style w:type="paragraph" w:customStyle="1" w:styleId="CoverDate">
    <w:name w:val="CoverDate"/>
    <w:basedOn w:val="Normal"/>
    <w:rsid w:val="001E0836"/>
    <w:pPr>
      <w:spacing w:before="240" w:after="1200"/>
    </w:pPr>
  </w:style>
  <w:style w:type="paragraph" w:styleId="Header">
    <w:name w:val="header"/>
    <w:basedOn w:val="Normal"/>
    <w:link w:val="HeaderChar"/>
    <w:rsid w:val="001E0836"/>
    <w:pPr>
      <w:tabs>
        <w:tab w:val="center" w:pos="4513"/>
        <w:tab w:val="right" w:pos="9026"/>
      </w:tabs>
    </w:pPr>
  </w:style>
  <w:style w:type="character" w:customStyle="1" w:styleId="HeaderChar">
    <w:name w:val="Header Char"/>
    <w:basedOn w:val="DefaultParagraphFont"/>
    <w:link w:val="Header"/>
    <w:rsid w:val="001E0836"/>
    <w:rPr>
      <w:sz w:val="24"/>
      <w:lang w:val="mt-MT"/>
    </w:rPr>
  </w:style>
  <w:style w:type="paragraph" w:customStyle="1" w:styleId="AmOrLang">
    <w:name w:val="AmOrLang"/>
    <w:basedOn w:val="Normal"/>
    <w:rsid w:val="001E0836"/>
    <w:pPr>
      <w:spacing w:before="240" w:after="240"/>
      <w:jc w:val="right"/>
    </w:pPr>
  </w:style>
  <w:style w:type="paragraph" w:customStyle="1" w:styleId="AmColumnHeading">
    <w:name w:val="AmColumnHeading"/>
    <w:basedOn w:val="Normal"/>
    <w:rsid w:val="001E0836"/>
    <w:pPr>
      <w:spacing w:after="240"/>
      <w:jc w:val="center"/>
    </w:pPr>
    <w:rPr>
      <w:i/>
    </w:rPr>
  </w:style>
  <w:style w:type="paragraph" w:customStyle="1" w:styleId="AmNumberTabs">
    <w:name w:val="AmNumberTabs"/>
    <w:basedOn w:val="Normal"/>
    <w:rsid w:val="001E08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E0836"/>
    <w:pPr>
      <w:spacing w:before="240"/>
    </w:pPr>
    <w:rPr>
      <w:b/>
    </w:rPr>
  </w:style>
  <w:style w:type="paragraph" w:customStyle="1" w:styleId="EPBody">
    <w:name w:val="EPBody"/>
    <w:basedOn w:val="Normal"/>
    <w:rsid w:val="001E0836"/>
    <w:pPr>
      <w:jc w:val="center"/>
    </w:pPr>
    <w:rPr>
      <w:rFonts w:ascii="Arial" w:hAnsi="Arial" w:cs="Arial"/>
      <w:i/>
      <w:sz w:val="22"/>
      <w:szCs w:val="22"/>
    </w:rPr>
  </w:style>
  <w:style w:type="paragraph" w:customStyle="1" w:styleId="EPFooter">
    <w:name w:val="EPFooter"/>
    <w:basedOn w:val="Normal"/>
    <w:rsid w:val="001E0836"/>
    <w:pPr>
      <w:tabs>
        <w:tab w:val="center" w:pos="4535"/>
        <w:tab w:val="right" w:pos="9071"/>
      </w:tabs>
      <w:spacing w:before="240" w:after="240"/>
    </w:pPr>
    <w:rPr>
      <w:color w:val="010000"/>
      <w:sz w:val="22"/>
    </w:rPr>
  </w:style>
  <w:style w:type="paragraph" w:customStyle="1" w:styleId="EPComma">
    <w:name w:val="EPComma"/>
    <w:basedOn w:val="Normal"/>
    <w:rsid w:val="001E0836"/>
    <w:pPr>
      <w:spacing w:before="480" w:after="240"/>
    </w:pPr>
  </w:style>
  <w:style w:type="paragraph" w:customStyle="1" w:styleId="Lgendesigne">
    <w:name w:val="Légende signe"/>
    <w:basedOn w:val="Normal"/>
    <w:rsid w:val="001E0836"/>
    <w:pPr>
      <w:tabs>
        <w:tab w:val="right" w:pos="454"/>
        <w:tab w:val="left" w:pos="737"/>
      </w:tabs>
      <w:ind w:left="737" w:hanging="737"/>
    </w:pPr>
    <w:rPr>
      <w:snapToGrid w:val="0"/>
      <w:sz w:val="18"/>
      <w:lang w:eastAsia="en-US"/>
    </w:rPr>
  </w:style>
  <w:style w:type="paragraph" w:customStyle="1" w:styleId="Lgendetitre">
    <w:name w:val="Légende titre"/>
    <w:basedOn w:val="Normal"/>
    <w:rsid w:val="001E0836"/>
    <w:pPr>
      <w:spacing w:before="240" w:after="240"/>
    </w:pPr>
    <w:rPr>
      <w:b/>
      <w:i/>
      <w:snapToGrid w:val="0"/>
      <w:lang w:eastAsia="en-US"/>
    </w:rPr>
  </w:style>
  <w:style w:type="paragraph" w:customStyle="1" w:styleId="Lgendestandard">
    <w:name w:val="Légende standard"/>
    <w:basedOn w:val="Normal"/>
    <w:rsid w:val="001E0836"/>
    <w:rPr>
      <w:sz w:val="18"/>
    </w:rPr>
  </w:style>
  <w:style w:type="paragraph" w:customStyle="1" w:styleId="Default">
    <w:name w:val="Default"/>
    <w:rsid w:val="001E0836"/>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mt-MT"/>
      <w14:textOutline w14:w="0" w14:cap="flat" w14:cmpd="sng" w14:algn="ctr">
        <w14:noFill/>
        <w14:prstDash w14:val="solid"/>
        <w14:bevel/>
      </w14:textOutline>
    </w:rPr>
  </w:style>
  <w:style w:type="paragraph" w:customStyle="1" w:styleId="Normal6">
    <w:name w:val="Normal6"/>
    <w:basedOn w:val="Normal"/>
    <w:link w:val="Normal6Char"/>
    <w:rsid w:val="001E0836"/>
    <w:pPr>
      <w:spacing w:after="120"/>
    </w:pPr>
  </w:style>
  <w:style w:type="character" w:customStyle="1" w:styleId="NormalBoldChar">
    <w:name w:val="NormalBold Char"/>
    <w:basedOn w:val="DefaultParagraphFont"/>
    <w:link w:val="NormalBold"/>
    <w:rsid w:val="001E0836"/>
    <w:rPr>
      <w:b/>
      <w:sz w:val="24"/>
      <w:lang w:val="mt-MT"/>
    </w:rPr>
  </w:style>
  <w:style w:type="character" w:customStyle="1" w:styleId="Normal6Char">
    <w:name w:val="Normal6 Char"/>
    <w:basedOn w:val="DefaultParagraphFont"/>
    <w:link w:val="Normal6"/>
    <w:rsid w:val="001E0836"/>
    <w:rPr>
      <w:sz w:val="24"/>
      <w:lang w:val="mt-MT"/>
    </w:rPr>
  </w:style>
  <w:style w:type="paragraph" w:customStyle="1" w:styleId="ColumnHeading">
    <w:name w:val="ColumnHeading"/>
    <w:basedOn w:val="Normal"/>
    <w:rsid w:val="001E0836"/>
    <w:pPr>
      <w:spacing w:after="240"/>
      <w:jc w:val="center"/>
    </w:pPr>
    <w:rPr>
      <w:i/>
    </w:rPr>
  </w:style>
  <w:style w:type="paragraph" w:customStyle="1" w:styleId="AMNumberTabs0">
    <w:name w:val="AMNumberTabs"/>
    <w:basedOn w:val="Normal"/>
    <w:rsid w:val="001E08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E0836"/>
    <w:pPr>
      <w:jc w:val="right"/>
    </w:pPr>
    <w:rPr>
      <w:lang w:val="mt-MT"/>
    </w:rPr>
  </w:style>
  <w:style w:type="paragraph" w:styleId="Footer">
    <w:name w:val="footer"/>
    <w:basedOn w:val="Normal"/>
    <w:link w:val="FooterChar"/>
    <w:rsid w:val="001E0836"/>
    <w:pPr>
      <w:tabs>
        <w:tab w:val="center" w:pos="4513"/>
        <w:tab w:val="right" w:pos="9026"/>
      </w:tabs>
    </w:pPr>
  </w:style>
  <w:style w:type="character" w:customStyle="1" w:styleId="FooterChar">
    <w:name w:val="Footer Char"/>
    <w:basedOn w:val="DefaultParagraphFont"/>
    <w:link w:val="Footer"/>
    <w:rsid w:val="001E0836"/>
    <w:rPr>
      <w:sz w:val="24"/>
      <w:lang w:val="mt-MT"/>
    </w:rPr>
  </w:style>
  <w:style w:type="paragraph" w:styleId="BalloonText">
    <w:name w:val="Balloon Text"/>
    <w:basedOn w:val="Normal"/>
    <w:link w:val="BalloonTextChar"/>
    <w:unhideWhenUsed/>
    <w:rsid w:val="001E0836"/>
    <w:rPr>
      <w:rFonts w:ascii="Segoe UI" w:hAnsi="Segoe UI" w:cs="Segoe UI"/>
      <w:sz w:val="18"/>
      <w:szCs w:val="18"/>
    </w:rPr>
  </w:style>
  <w:style w:type="character" w:customStyle="1" w:styleId="BalloonTextChar">
    <w:name w:val="Balloon Text Char"/>
    <w:basedOn w:val="DefaultParagraphFont"/>
    <w:link w:val="BalloonText"/>
    <w:rsid w:val="001E0836"/>
    <w:rPr>
      <w:rFonts w:ascii="Segoe UI" w:hAnsi="Segoe UI" w:cs="Segoe UI"/>
      <w:sz w:val="18"/>
      <w:szCs w:val="18"/>
      <w:lang w:val="mt-MT"/>
    </w:rPr>
  </w:style>
  <w:style w:type="character" w:styleId="CommentReference">
    <w:name w:val="annotation reference"/>
    <w:basedOn w:val="DefaultParagraphFont"/>
    <w:rsid w:val="001E0836"/>
    <w:rPr>
      <w:sz w:val="16"/>
      <w:szCs w:val="16"/>
    </w:rPr>
  </w:style>
  <w:style w:type="paragraph" w:styleId="CommentText">
    <w:name w:val="annotation text"/>
    <w:basedOn w:val="Normal"/>
    <w:link w:val="CommentTextChar"/>
    <w:rsid w:val="001E0836"/>
    <w:rPr>
      <w:sz w:val="20"/>
    </w:rPr>
  </w:style>
  <w:style w:type="character" w:customStyle="1" w:styleId="CommentTextChar">
    <w:name w:val="Comment Text Char"/>
    <w:basedOn w:val="DefaultParagraphFont"/>
    <w:link w:val="CommentText"/>
    <w:rsid w:val="001E0836"/>
    <w:rPr>
      <w:lang w:val="mt-MT"/>
    </w:rPr>
  </w:style>
  <w:style w:type="paragraph" w:styleId="CommentSubject">
    <w:name w:val="annotation subject"/>
    <w:basedOn w:val="CommentText"/>
    <w:next w:val="CommentText"/>
    <w:link w:val="CommentSubjectChar"/>
    <w:unhideWhenUsed/>
    <w:rsid w:val="001E0836"/>
    <w:rPr>
      <w:b/>
      <w:bCs/>
    </w:rPr>
  </w:style>
  <w:style w:type="character" w:customStyle="1" w:styleId="CommentSubjectChar">
    <w:name w:val="Comment Subject Char"/>
    <w:basedOn w:val="CommentTextChar"/>
    <w:link w:val="CommentSubject"/>
    <w:rsid w:val="001E0836"/>
    <w:rPr>
      <w:b/>
      <w:bCs/>
      <w:lang w:val="mt-MT"/>
    </w:rPr>
  </w:style>
  <w:style w:type="paragraph" w:customStyle="1" w:styleId="Normal24a">
    <w:name w:val="Normal24a"/>
    <w:basedOn w:val="Normal"/>
    <w:rsid w:val="001E0836"/>
    <w:pPr>
      <w:spacing w:after="480"/>
    </w:pPr>
  </w:style>
  <w:style w:type="paragraph" w:customStyle="1" w:styleId="NormalBoldCenter">
    <w:name w:val="NormalBoldCenter"/>
    <w:basedOn w:val="Normal"/>
    <w:rsid w:val="001E0836"/>
    <w:pPr>
      <w:jc w:val="center"/>
    </w:pPr>
    <w:rPr>
      <w:b/>
    </w:rPr>
  </w:style>
  <w:style w:type="character" w:customStyle="1" w:styleId="NormalBold12bChar">
    <w:name w:val="NormalBold12b Char"/>
    <w:basedOn w:val="DefaultParagraphFont"/>
    <w:link w:val="NormalBold12b"/>
    <w:locked/>
    <w:rsid w:val="001E0836"/>
    <w:rPr>
      <w:b/>
      <w:sz w:val="24"/>
      <w:lang w:val="mt-MT"/>
    </w:rPr>
  </w:style>
  <w:style w:type="paragraph" w:customStyle="1" w:styleId="Normal12a">
    <w:name w:val="Normal12a"/>
    <w:basedOn w:val="Normal"/>
    <w:rsid w:val="001E0836"/>
    <w:pPr>
      <w:spacing w:after="240"/>
    </w:pPr>
  </w:style>
  <w:style w:type="paragraph" w:customStyle="1" w:styleId="RollCallVotes">
    <w:name w:val="RollCallVotes"/>
    <w:basedOn w:val="Normal"/>
    <w:rsid w:val="001E0836"/>
    <w:pPr>
      <w:spacing w:before="120" w:after="120"/>
      <w:jc w:val="center"/>
    </w:pPr>
    <w:rPr>
      <w:b/>
      <w:bCs/>
      <w:snapToGrid w:val="0"/>
      <w:sz w:val="16"/>
      <w:lang w:eastAsia="en-US"/>
    </w:rPr>
  </w:style>
  <w:style w:type="paragraph" w:customStyle="1" w:styleId="RollCallTabs">
    <w:name w:val="RollCallTabs"/>
    <w:basedOn w:val="Normal"/>
    <w:qFormat/>
    <w:rsid w:val="001E0836"/>
    <w:pPr>
      <w:tabs>
        <w:tab w:val="center" w:pos="284"/>
        <w:tab w:val="left" w:pos="426"/>
      </w:tabs>
    </w:pPr>
    <w:rPr>
      <w:snapToGrid w:val="0"/>
      <w:lang w:eastAsia="en-US"/>
    </w:rPr>
  </w:style>
  <w:style w:type="paragraph" w:customStyle="1" w:styleId="RollCallSymbols14pt">
    <w:name w:val="RollCallSymbols14pt"/>
    <w:basedOn w:val="Normal"/>
    <w:rsid w:val="001E0836"/>
    <w:pPr>
      <w:spacing w:before="120" w:after="120"/>
      <w:jc w:val="center"/>
    </w:pPr>
    <w:rPr>
      <w:rFonts w:ascii="Arial" w:hAnsi="Arial"/>
      <w:b/>
      <w:bCs/>
      <w:snapToGrid w:val="0"/>
      <w:sz w:val="28"/>
      <w:lang w:eastAsia="en-US"/>
    </w:rPr>
  </w:style>
  <w:style w:type="paragraph" w:customStyle="1" w:styleId="RollCallTable">
    <w:name w:val="RollCallTable"/>
    <w:basedOn w:val="Normal"/>
    <w:rsid w:val="001E0836"/>
    <w:pPr>
      <w:spacing w:before="120" w:after="120"/>
    </w:pPr>
    <w:rPr>
      <w:snapToGrid w:val="0"/>
      <w:sz w:val="16"/>
      <w:lang w:eastAsia="en-US"/>
    </w:rPr>
  </w:style>
  <w:style w:type="character" w:styleId="Hyperlink">
    <w:name w:val="Hyperlink"/>
    <w:basedOn w:val="DefaultParagraphFont"/>
    <w:rsid w:val="00945809"/>
    <w:rPr>
      <w:color w:val="0563C1" w:themeColor="hyperlink"/>
      <w:u w:val="single"/>
    </w:rPr>
  </w:style>
  <w:style w:type="paragraph" w:customStyle="1" w:styleId="FootnoteTextForceStyle">
    <w:name w:val="Footnote Text ForceStyle"/>
    <w:rsid w:val="00935BD4"/>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CDC3E-45DB-4882-B5AF-ABE5D2FA9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8177</Words>
  <Characters>59645</Characters>
  <Application>Microsoft Office Word</Application>
  <DocSecurity>0</DocSecurity>
  <Lines>497</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LUKSITE Marija</cp:lastModifiedBy>
  <cp:revision>2</cp:revision>
  <cp:lastPrinted>2004-11-19T15:42:00Z</cp:lastPrinted>
  <dcterms:created xsi:type="dcterms:W3CDTF">2024-12-02T13:57:00Z</dcterms:created>
  <dcterms:modified xsi:type="dcterms:W3CDTF">2024-12-02T13:57:00Z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A9-0156/2024</vt:lpwstr>
  </property>
  <property fmtid="{D5CDD505-2E9C-101B-9397-08002B2CF9AE}" pid="4" name="&lt;Type&gt;">
    <vt:lpwstr>RR</vt:lpwstr>
  </property>
</Properties>
</file>