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66001">
        <w:trPr>
          <w:trHeight w:hRule="exact" w:val="1418"/>
        </w:trPr>
        <w:tc>
          <w:tcPr>
            <w:tcW w:w="6804" w:type="dxa"/>
            <w:shd w:val="clear" w:color="auto" w:fill="auto"/>
            <w:vAlign w:val="center"/>
          </w:tcPr>
          <w:p w:rsidR="00166001" w:rsidRDefault="00992344">
            <w:pPr>
              <w:pStyle w:val="EPName"/>
            </w:pPr>
            <w:r>
              <w:t>Európsky parlament</w:t>
            </w:r>
          </w:p>
          <w:p w:rsidR="00166001" w:rsidRDefault="00992344">
            <w:pPr>
              <w:pStyle w:val="EPTerm"/>
              <w:rPr>
                <w:rStyle w:val="HideTWBExt"/>
                <w:noProof w:val="0"/>
                <w:vanish w:val="0"/>
                <w:color w:val="auto"/>
              </w:rPr>
            </w:pPr>
            <w:r>
              <w:t>2019-2024</w:t>
            </w:r>
          </w:p>
        </w:tc>
        <w:tc>
          <w:tcPr>
            <w:tcW w:w="2268" w:type="dxa"/>
            <w:shd w:val="clear" w:color="auto" w:fill="auto"/>
          </w:tcPr>
          <w:p w:rsidR="00166001" w:rsidRDefault="00992344">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66001" w:rsidRDefault="00166001">
      <w:pPr>
        <w:pStyle w:val="LineTop"/>
      </w:pPr>
    </w:p>
    <w:p w:rsidR="00166001" w:rsidRDefault="00992344">
      <w:pPr>
        <w:pStyle w:val="EPBodyTA1"/>
      </w:pPr>
      <w:r>
        <w:t>PRIJATÉ TEXTY</w:t>
      </w:r>
    </w:p>
    <w:p w:rsidR="00166001" w:rsidRDefault="00166001">
      <w:pPr>
        <w:pStyle w:val="LineBottom"/>
      </w:pPr>
    </w:p>
    <w:p w:rsidR="00166001" w:rsidRDefault="00992344">
      <w:pPr>
        <w:pStyle w:val="ATHeading1"/>
      </w:pPr>
      <w:bookmarkStart w:id="0" w:name="TANumber"/>
      <w:proofErr w:type="spellStart"/>
      <w:r>
        <w:t>P9_TA</w:t>
      </w:r>
      <w:proofErr w:type="spellEnd"/>
      <w:r>
        <w:t>(2024)0</w:t>
      </w:r>
      <w:bookmarkEnd w:id="0"/>
      <w:r>
        <w:t>299</w:t>
      </w:r>
    </w:p>
    <w:p w:rsidR="00166001" w:rsidRDefault="00992344">
      <w:pPr>
        <w:pStyle w:val="ATHeading2"/>
      </w:pPr>
      <w:bookmarkStart w:id="1" w:name="title"/>
      <w:r>
        <w:t>Boj proti oneskoreným platbám v obchodných transakciách</w:t>
      </w:r>
      <w:bookmarkEnd w:id="1"/>
    </w:p>
    <w:p w:rsidR="00166001" w:rsidRDefault="00992344">
      <w:pPr>
        <w:rPr>
          <w:i/>
          <w:vanish/>
        </w:rPr>
      </w:pPr>
      <w:r>
        <w:rPr>
          <w:i/>
        </w:rPr>
        <w:fldChar w:fldCharType="begin"/>
      </w:r>
      <w:r>
        <w:rPr>
          <w:i/>
        </w:rPr>
        <w:instrText xml:space="preserve"> </w:instrText>
      </w:r>
      <w:proofErr w:type="spellStart"/>
      <w:r>
        <w:rPr>
          <w:i/>
        </w:rPr>
        <w:instrText>TC</w:instrText>
      </w:r>
      <w:proofErr w:type="spellEnd"/>
      <w:r>
        <w:rPr>
          <w:i/>
        </w:rPr>
        <w:instrText>"(</w:instrText>
      </w:r>
      <w:bookmarkStart w:id="2" w:name="DocNumber"/>
      <w:proofErr w:type="spellStart"/>
      <w:r>
        <w:rPr>
          <w:i/>
        </w:rPr>
        <w:instrText>A9</w:instrText>
      </w:r>
      <w:proofErr w:type="spellEnd"/>
      <w:r>
        <w:rPr>
          <w:i/>
        </w:rPr>
        <w:instrText>-0156/2024</w:instrText>
      </w:r>
      <w:bookmarkEnd w:id="2"/>
      <w:r>
        <w:rPr>
          <w:i/>
        </w:rPr>
        <w:instrText xml:space="preserve"> - Spravodajkyňa: </w:instrText>
      </w:r>
      <w:proofErr w:type="spellStart"/>
      <w:r>
        <w:rPr>
          <w:i/>
        </w:rPr>
        <w:instrText>Róża</w:instrText>
      </w:r>
      <w:proofErr w:type="spellEnd"/>
      <w:r>
        <w:rPr>
          <w:i/>
        </w:rPr>
        <w:instrText xml:space="preserve"> </w:instrText>
      </w:r>
      <w:proofErr w:type="spellStart"/>
      <w:r>
        <w:rPr>
          <w:i/>
        </w:rPr>
        <w:instrText>Thun</w:instrText>
      </w:r>
      <w:proofErr w:type="spellEnd"/>
      <w:r>
        <w:rPr>
          <w:i/>
        </w:rPr>
        <w:instrText xml:space="preserve"> </w:instrText>
      </w:r>
      <w:proofErr w:type="spellStart"/>
      <w:r>
        <w:rPr>
          <w:i/>
        </w:rPr>
        <w:instrText>und</w:instrText>
      </w:r>
      <w:proofErr w:type="spellEnd"/>
      <w:r>
        <w:rPr>
          <w:i/>
        </w:rPr>
        <w:instrText xml:space="preserve"> </w:instrText>
      </w:r>
      <w:proofErr w:type="spellStart"/>
      <w:r>
        <w:rPr>
          <w:i/>
        </w:rPr>
        <w:instrText>Hohenstein</w:instrText>
      </w:r>
      <w:proofErr w:type="spellEnd"/>
      <w:r>
        <w:rPr>
          <w:i/>
        </w:rPr>
        <w:instrText>)"\</w:instrText>
      </w:r>
      <w:proofErr w:type="spellStart"/>
      <w:r>
        <w:rPr>
          <w:i/>
        </w:rPr>
        <w:instrText>l3</w:instrText>
      </w:r>
      <w:proofErr w:type="spellEnd"/>
      <w:r>
        <w:rPr>
          <w:i/>
        </w:rPr>
        <w:instrText xml:space="preserve"> \n&gt; \* </w:instrText>
      </w:r>
      <w:proofErr w:type="spellStart"/>
      <w:r>
        <w:rPr>
          <w:i/>
        </w:rPr>
        <w:instrText>MERGEFORMAT</w:instrText>
      </w:r>
      <w:proofErr w:type="spellEnd"/>
      <w:r>
        <w:rPr>
          <w:i/>
        </w:rPr>
        <w:instrText xml:space="preserve"> </w:instrText>
      </w:r>
      <w:r>
        <w:rPr>
          <w:i/>
        </w:rPr>
        <w:fldChar w:fldCharType="end"/>
      </w:r>
    </w:p>
    <w:p w:rsidR="00166001" w:rsidRDefault="00992344">
      <w:pPr>
        <w:rPr>
          <w:vanish/>
        </w:rPr>
      </w:pPr>
      <w:bookmarkStart w:id="3" w:name="Commission"/>
      <w:r>
        <w:rPr>
          <w:vanish/>
        </w:rPr>
        <w:t>Výbor pre vnútorný trh a ochranu spotrebiteľa</w:t>
      </w:r>
      <w:bookmarkEnd w:id="3"/>
    </w:p>
    <w:p w:rsidR="00166001" w:rsidRDefault="00992344">
      <w:pPr>
        <w:rPr>
          <w:vanish/>
        </w:rPr>
      </w:pPr>
      <w:bookmarkStart w:id="4" w:name="PE"/>
      <w:proofErr w:type="spellStart"/>
      <w:r>
        <w:rPr>
          <w:vanish/>
        </w:rPr>
        <w:t>PE756.002</w:t>
      </w:r>
      <w:bookmarkEnd w:id="4"/>
      <w:proofErr w:type="spellEnd"/>
    </w:p>
    <w:p w:rsidR="00166001" w:rsidRDefault="00992344">
      <w:pPr>
        <w:pStyle w:val="ATHeading3"/>
      </w:pPr>
      <w:bookmarkStart w:id="5" w:name="Sujet"/>
      <w:r>
        <w:t>Legislatívne uznesenie Európskeho parlamentu z 23. apríla 2024 o návrhu nariadenia Európskeho parlamentu a Rady o boji proti oneskoreným platbám v obchodných transakciách</w:t>
      </w:r>
      <w:bookmarkEnd w:id="5"/>
      <w:r>
        <w:t xml:space="preserve"> </w:t>
      </w:r>
      <w:bookmarkStart w:id="6" w:name="References"/>
      <w:r>
        <w:t>(</w:t>
      </w:r>
      <w:proofErr w:type="spellStart"/>
      <w:r>
        <w:t>COM</w:t>
      </w:r>
      <w:proofErr w:type="spellEnd"/>
      <w:r>
        <w:t xml:space="preserve">(2023)0533 – </w:t>
      </w:r>
      <w:proofErr w:type="spellStart"/>
      <w:r>
        <w:t>C9</w:t>
      </w:r>
      <w:proofErr w:type="spellEnd"/>
      <w:r>
        <w:t>-0338/2023 – 2023/0323(COD))</w:t>
      </w:r>
      <w:bookmarkEnd w:id="6"/>
    </w:p>
    <w:p w:rsidR="00166001" w:rsidRDefault="00992344">
      <w:pPr>
        <w:pStyle w:val="NormalBold"/>
      </w:pPr>
      <w:bookmarkStart w:id="7" w:name="TextBodyBegin"/>
      <w:bookmarkEnd w:id="7"/>
      <w:r>
        <w:t>(Riadny legislatívny postu</w:t>
      </w:r>
      <w:r>
        <w:t>p: prvé čítanie)</w:t>
      </w:r>
    </w:p>
    <w:p w:rsidR="00166001" w:rsidRDefault="00992344">
      <w:pPr>
        <w:pStyle w:val="EPComma"/>
      </w:pPr>
      <w:r>
        <w:rPr>
          <w:i/>
          <w:iCs/>
        </w:rPr>
        <w:t>Európsky parlament,</w:t>
      </w:r>
    </w:p>
    <w:p w:rsidR="00166001" w:rsidRDefault="00992344">
      <w:pPr>
        <w:pStyle w:val="NormalHanging12a"/>
      </w:pPr>
      <w:r>
        <w:t>–</w:t>
      </w:r>
      <w:r>
        <w:tab/>
        <w:t>so zreteľom na návrh Komisie pre Európsky parlament a Radu (</w:t>
      </w:r>
      <w:proofErr w:type="spellStart"/>
      <w:r>
        <w:t>COM</w:t>
      </w:r>
      <w:proofErr w:type="spellEnd"/>
      <w:r>
        <w:t>(2023)0533),</w:t>
      </w:r>
    </w:p>
    <w:p w:rsidR="00166001" w:rsidRDefault="00992344">
      <w:pPr>
        <w:pStyle w:val="NormalHanging12a"/>
      </w:pPr>
      <w:r>
        <w:t>–</w:t>
      </w:r>
      <w:r>
        <w:tab/>
        <w:t xml:space="preserve">so zreteľom na článok 294 ods. 2 a článok 114 Zmluvy o fungovaní Európskej únie, v súlade s ktorými Komisia predložila návrh Európskemu </w:t>
      </w:r>
      <w:r>
        <w:t>parlamentu (</w:t>
      </w:r>
      <w:proofErr w:type="spellStart"/>
      <w:r>
        <w:t>C9</w:t>
      </w:r>
      <w:proofErr w:type="spellEnd"/>
      <w:r>
        <w:noBreakHyphen/>
        <w:t>0338/2023),</w:t>
      </w:r>
    </w:p>
    <w:p w:rsidR="00166001" w:rsidRDefault="00992344">
      <w:pPr>
        <w:pStyle w:val="NormalHanging12a"/>
      </w:pPr>
      <w:r>
        <w:t>–</w:t>
      </w:r>
      <w:r>
        <w:tab/>
        <w:t>so zreteľom na článok 294 ods. 3 Zmluvy o fungovaní Európskej únie,</w:t>
      </w:r>
    </w:p>
    <w:p w:rsidR="00166001" w:rsidRDefault="00992344">
      <w:pPr>
        <w:pStyle w:val="NormalHanging12a"/>
      </w:pPr>
      <w:r>
        <w:t>–</w:t>
      </w:r>
      <w:r>
        <w:tab/>
        <w:t>so zreteľom na stanovisko Európskeho hospodárskeho a sociálneho výboru zo 17. januára 2024</w:t>
      </w:r>
      <w:r>
        <w:rPr>
          <w:rStyle w:val="FootnoteReference"/>
        </w:rPr>
        <w:footnoteReference w:id="1"/>
      </w:r>
      <w:r>
        <w:t>,</w:t>
      </w:r>
    </w:p>
    <w:p w:rsidR="00166001" w:rsidRDefault="00992344">
      <w:pPr>
        <w:pStyle w:val="NormalHanging12a"/>
      </w:pPr>
      <w:r>
        <w:t>–</w:t>
      </w:r>
      <w:r>
        <w:tab/>
        <w:t>so zreteľom na stanovisko Výboru regiónov z 31. januára 2024</w:t>
      </w:r>
      <w:r>
        <w:rPr>
          <w:rStyle w:val="FootnoteReference"/>
        </w:rPr>
        <w:footnoteReference w:id="2"/>
      </w:r>
      <w:r>
        <w:t>,</w:t>
      </w:r>
    </w:p>
    <w:p w:rsidR="00166001" w:rsidRDefault="00992344">
      <w:pPr>
        <w:pStyle w:val="NormalHanging12a"/>
      </w:pPr>
      <w:r>
        <w:t>–</w:t>
      </w:r>
      <w:r>
        <w:tab/>
        <w:t>so zreteľom na článok 59 rokovacieho poriadku,</w:t>
      </w:r>
    </w:p>
    <w:p w:rsidR="00166001" w:rsidRDefault="00992344">
      <w:pPr>
        <w:pStyle w:val="NormalHanging12a"/>
      </w:pPr>
      <w:r>
        <w:t>–</w:t>
      </w:r>
      <w:r>
        <w:tab/>
        <w:t>so zreteľom na správu Výboru pre vnútorný trh a ochranu spotrebiteľa (</w:t>
      </w:r>
      <w:proofErr w:type="spellStart"/>
      <w:r>
        <w:t>A9</w:t>
      </w:r>
      <w:proofErr w:type="spellEnd"/>
      <w:r>
        <w:t>-0156/2024),</w:t>
      </w:r>
    </w:p>
    <w:p w:rsidR="00166001" w:rsidRDefault="00992344">
      <w:pPr>
        <w:pStyle w:val="NormalHanging12a"/>
      </w:pPr>
      <w:r>
        <w:t>1.</w:t>
      </w:r>
      <w:r>
        <w:tab/>
        <w:t>prijíma nasledujúcu pozíciu v prvom čítaní;</w:t>
      </w:r>
    </w:p>
    <w:p w:rsidR="00166001" w:rsidRDefault="00992344">
      <w:pPr>
        <w:pStyle w:val="NormalHanging12a"/>
      </w:pPr>
      <w:r>
        <w:t>2.</w:t>
      </w:r>
      <w:r>
        <w:tab/>
        <w:t>žiada Komisiu, aby mu vec znovu predložila, ak nahrádza, podstatne me</w:t>
      </w:r>
      <w:r>
        <w:t>ní alebo má v úmysle podstatne zmeniť svoj návrh;</w:t>
      </w:r>
    </w:p>
    <w:p w:rsidR="00166001" w:rsidRDefault="00992344" w:rsidP="00992344">
      <w:pPr>
        <w:pStyle w:val="NormalHanging12a"/>
      </w:pPr>
      <w:r>
        <w:t>3.</w:t>
      </w:r>
      <w:r>
        <w:tab/>
        <w:t>poveruje svoju predsedníčku, aby postúpila túto pozíciu Rade, Komisii a národným parlamentom.</w:t>
      </w:r>
    </w:p>
    <w:p w:rsidR="00166001" w:rsidRDefault="00166001">
      <w:pPr>
        <w:widowControl/>
        <w:sectPr w:rsidR="001660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66001" w:rsidRDefault="00992344">
      <w:pPr>
        <w:pStyle w:val="Institutionquiagit"/>
        <w:keepNext w:val="0"/>
        <w:spacing w:before="0" w:after="240"/>
        <w:jc w:val="left"/>
        <w:outlineLvl w:val="0"/>
        <w:rPr>
          <w:b/>
        </w:rPr>
      </w:pPr>
      <w:proofErr w:type="spellStart"/>
      <w:r>
        <w:rPr>
          <w:b/>
        </w:rPr>
        <w:lastRenderedPageBreak/>
        <w:t>P9_TC</w:t>
      </w:r>
      <w:r>
        <w:rPr>
          <w:b/>
        </w:rPr>
        <w:t>1</w:t>
      </w:r>
      <w:proofErr w:type="spellEnd"/>
      <w:r>
        <w:rPr>
          <w:b/>
        </w:rPr>
        <w:t>-COD(2023)0323</w:t>
      </w:r>
    </w:p>
    <w:p w:rsidR="00166001" w:rsidRDefault="00992344">
      <w:pPr>
        <w:pStyle w:val="AmNumberTabs"/>
        <w:rPr>
          <w:noProof/>
        </w:rPr>
      </w:pPr>
      <w:r>
        <w:t xml:space="preserve">Pozícia Európskeho parlamentu prijatá v prvom čítaní 23. apríla 2024 na účely prijatia nariadenia Európskeho parlamentu a Rady (EÚ) 2024/... </w:t>
      </w:r>
      <w:r>
        <w:rPr>
          <w:noProof/>
        </w:rPr>
        <w:t>o boji proti oneskoreným platbám v obchodných transakciách</w:t>
      </w:r>
    </w:p>
    <w:p w:rsidR="00166001" w:rsidRDefault="00992344">
      <w:pPr>
        <w:widowControl/>
        <w:spacing w:before="120" w:after="120" w:line="360" w:lineRule="auto"/>
        <w:jc w:val="center"/>
        <w:rPr>
          <w:rFonts w:eastAsia="Calibri"/>
          <w:noProof/>
          <w:szCs w:val="22"/>
          <w:lang w:eastAsia="en-US"/>
        </w:rPr>
      </w:pPr>
      <w:r>
        <w:rPr>
          <w:rFonts w:eastAsia="Calibri"/>
          <w:noProof/>
          <w:szCs w:val="22"/>
          <w:lang w:eastAsia="en-US"/>
        </w:rPr>
        <w:t>(Text s významom pre EHP)</w:t>
      </w:r>
    </w:p>
    <w:p w:rsidR="00166001" w:rsidRDefault="00992344">
      <w:pPr>
        <w:keepNext/>
        <w:widowControl/>
        <w:spacing w:before="720" w:after="120" w:line="360" w:lineRule="auto"/>
        <w:rPr>
          <w:rFonts w:eastAsia="Calibri"/>
          <w:noProof/>
          <w:szCs w:val="22"/>
          <w:lang w:eastAsia="en-US"/>
        </w:rPr>
      </w:pPr>
      <w:r>
        <w:rPr>
          <w:rFonts w:eastAsia="Calibri"/>
          <w:noProof/>
          <w:szCs w:val="22"/>
          <w:lang w:eastAsia="en-US"/>
        </w:rPr>
        <w:t xml:space="preserve">EURÓPSKY </w:t>
      </w:r>
      <w:r>
        <w:rPr>
          <w:rFonts w:eastAsia="Calibri"/>
          <w:noProof/>
          <w:szCs w:val="22"/>
          <w:lang w:eastAsia="en-US"/>
        </w:rPr>
        <w:t>PARLAMENT A RADA EURÓPSKEJ ÚNIE,</w:t>
      </w:r>
    </w:p>
    <w:p w:rsidR="00166001" w:rsidRDefault="00992344">
      <w:pPr>
        <w:widowControl/>
        <w:spacing w:before="120" w:after="120" w:line="360" w:lineRule="auto"/>
        <w:rPr>
          <w:rFonts w:eastAsia="Calibri"/>
          <w:noProof/>
          <w:szCs w:val="22"/>
          <w:lang w:eastAsia="en-US"/>
        </w:rPr>
      </w:pPr>
      <w:r>
        <w:rPr>
          <w:rFonts w:eastAsia="Calibri"/>
          <w:noProof/>
          <w:szCs w:val="22"/>
          <w:lang w:eastAsia="en-US"/>
        </w:rPr>
        <w:t>so zreteľom na Zmluvu o fungovaní Európskej únie, a najmä na jej článok 114,</w:t>
      </w:r>
    </w:p>
    <w:p w:rsidR="00166001" w:rsidRDefault="00992344">
      <w:pPr>
        <w:widowControl/>
        <w:spacing w:before="120" w:after="120" w:line="360" w:lineRule="auto"/>
        <w:rPr>
          <w:rFonts w:eastAsia="Calibri"/>
          <w:noProof/>
          <w:szCs w:val="22"/>
          <w:lang w:eastAsia="en-US"/>
        </w:rPr>
      </w:pPr>
      <w:r>
        <w:rPr>
          <w:rFonts w:eastAsia="Calibri"/>
          <w:noProof/>
          <w:szCs w:val="22"/>
          <w:lang w:eastAsia="en-US"/>
        </w:rPr>
        <w:t>so zreteľom na návrh Európskej komisie,</w:t>
      </w:r>
    </w:p>
    <w:p w:rsidR="00166001" w:rsidRDefault="00992344">
      <w:pPr>
        <w:widowControl/>
        <w:spacing w:before="120" w:after="120" w:line="360" w:lineRule="auto"/>
        <w:rPr>
          <w:rFonts w:eastAsia="Calibri"/>
          <w:noProof/>
          <w:szCs w:val="22"/>
          <w:lang w:eastAsia="en-US"/>
        </w:rPr>
      </w:pPr>
      <w:r>
        <w:rPr>
          <w:rFonts w:eastAsia="Calibri"/>
          <w:noProof/>
          <w:szCs w:val="22"/>
          <w:lang w:eastAsia="en-US"/>
        </w:rPr>
        <w:t>po postúpení návrhu legislatívneho aktu národným parlamentom,</w:t>
      </w:r>
    </w:p>
    <w:p w:rsidR="00166001" w:rsidRDefault="00992344">
      <w:pPr>
        <w:widowControl/>
        <w:spacing w:before="120" w:after="120" w:line="360" w:lineRule="auto"/>
        <w:rPr>
          <w:rFonts w:eastAsia="Calibri"/>
          <w:noProof/>
          <w:szCs w:val="22"/>
          <w:lang w:eastAsia="en-US"/>
        </w:rPr>
      </w:pPr>
      <w:r>
        <w:rPr>
          <w:rFonts w:eastAsia="Calibri"/>
          <w:noProof/>
          <w:szCs w:val="22"/>
          <w:lang w:eastAsia="en-US"/>
        </w:rPr>
        <w:t>so zreteľom na stanovisko Európskeho hospodá</w:t>
      </w:r>
      <w:r>
        <w:rPr>
          <w:rFonts w:eastAsia="Calibri"/>
          <w:noProof/>
          <w:szCs w:val="22"/>
          <w:lang w:eastAsia="en-US"/>
        </w:rPr>
        <w:t>rskeho a sociálneho výboru</w:t>
      </w:r>
      <w:r>
        <w:rPr>
          <w:rFonts w:eastAsia="Calibri"/>
          <w:noProof/>
          <w:szCs w:val="22"/>
          <w:vertAlign w:val="superscript"/>
          <w:lang w:eastAsia="en-US"/>
        </w:rPr>
        <w:footnoteReference w:id="3"/>
      </w:r>
      <w:r>
        <w:rPr>
          <w:rFonts w:eastAsia="Calibri"/>
          <w:noProof/>
          <w:szCs w:val="22"/>
          <w:lang w:eastAsia="en-US"/>
        </w:rPr>
        <w:t xml:space="preserve">, </w:t>
      </w:r>
    </w:p>
    <w:p w:rsidR="00166001" w:rsidRDefault="00992344">
      <w:pPr>
        <w:widowControl/>
        <w:spacing w:before="120" w:after="120" w:line="360" w:lineRule="auto"/>
        <w:rPr>
          <w:rFonts w:eastAsia="Calibri"/>
          <w:noProof/>
          <w:szCs w:val="22"/>
          <w:lang w:eastAsia="en-US"/>
        </w:rPr>
      </w:pPr>
      <w:r>
        <w:rPr>
          <w:rFonts w:eastAsia="Calibri"/>
          <w:noProof/>
          <w:szCs w:val="22"/>
          <w:lang w:eastAsia="en-US"/>
        </w:rPr>
        <w:t>konajúc v súlade s riadnym legislatívnym postupom,</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rPr>
          <w:rFonts w:eastAsia="Calibri"/>
          <w:noProof/>
          <w:szCs w:val="22"/>
          <w:lang w:eastAsia="en-US"/>
        </w:rPr>
      </w:pPr>
      <w:r>
        <w:rPr>
          <w:rFonts w:eastAsia="Calibri"/>
          <w:noProof/>
          <w:szCs w:val="22"/>
          <w:lang w:eastAsia="en-US"/>
        </w:rPr>
        <w:lastRenderedPageBreak/>
        <w:t>keďže:</w:t>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t>(1)</w:t>
      </w:r>
      <w:r>
        <w:rPr>
          <w:rFonts w:eastAsia="Calibri"/>
          <w:noProof/>
          <w:szCs w:val="22"/>
          <w:lang w:eastAsia="en-US"/>
        </w:rPr>
        <w:tab/>
        <w:t xml:space="preserve">Väčšinu tovaru a služieb v rámci vnútorného trhu dodávajú hospodárske subjekty iným hospodárskym subjektom a orgánom verejnej moci na základe odložených platieb, </w:t>
      </w:r>
      <w:r>
        <w:rPr>
          <w:rFonts w:eastAsia="Calibri"/>
          <w:noProof/>
          <w:szCs w:val="22"/>
          <w:lang w:eastAsia="en-US"/>
        </w:rPr>
        <w:t xml:space="preserve">keď dodávateľ poskytne svojmu zákazníkovi čas na zaplatenie faktúry podľa dohody strán, podľa údajov na faktúre dodávateľa alebo podľa zákona. </w:t>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t>(2)</w:t>
      </w:r>
      <w:r>
        <w:rPr>
          <w:rFonts w:eastAsia="Calibri"/>
          <w:noProof/>
          <w:szCs w:val="22"/>
          <w:lang w:eastAsia="en-US"/>
        </w:rPr>
        <w:tab/>
        <w:t>Mnoho platieb v obchodných transakciách medzi hospodárskymi subjektmi alebo medzi hospodárskymi subjektmi a </w:t>
      </w:r>
      <w:r>
        <w:rPr>
          <w:rFonts w:eastAsia="Calibri"/>
          <w:noProof/>
          <w:szCs w:val="22"/>
          <w:lang w:eastAsia="en-US"/>
        </w:rPr>
        <w:t>orgánmi verejnej moci sa uskutočňuje neskôr, než ako je dohodnuté v zmluve alebo stanovené vo všeobecných obchodných podmienkach či v zákone</w:t>
      </w:r>
      <w:r>
        <w:rPr>
          <w:rFonts w:eastAsia="Calibri"/>
          <w:b/>
          <w:i/>
          <w:szCs w:val="22"/>
          <w:lang w:eastAsia="en-US"/>
        </w:rPr>
        <w:t>, hoci tovar je dodaný alebo služby poskytnuté</w:t>
      </w:r>
      <w:r>
        <w:rPr>
          <w:rFonts w:eastAsia="Calibri"/>
          <w:noProof/>
          <w:szCs w:val="22"/>
          <w:lang w:eastAsia="en-US"/>
        </w:rPr>
        <w:t xml:space="preserve">. </w:t>
      </w:r>
      <w:r>
        <w:rPr>
          <w:rFonts w:eastAsia="Calibri"/>
          <w:b/>
          <w:noProof/>
          <w:szCs w:val="22"/>
          <w:lang w:eastAsia="en-US"/>
        </w:rPr>
        <w:t xml:space="preserve"> [Am. 1]</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(3)</w:t>
      </w:r>
      <w:r>
        <w:rPr>
          <w:rFonts w:eastAsia="Calibri"/>
          <w:noProof/>
          <w:szCs w:val="22"/>
          <w:lang w:eastAsia="en-US"/>
        </w:rPr>
        <w:tab/>
        <w:t xml:space="preserve">Oneskorené platby </w:t>
      </w:r>
      <w:r>
        <w:rPr>
          <w:rFonts w:eastAsia="Calibri"/>
          <w:b/>
          <w:i/>
          <w:szCs w:val="22"/>
          <w:lang w:eastAsia="en-US"/>
        </w:rPr>
        <w:t>a platby odložené nad rámec zákonom</w:t>
      </w:r>
      <w:r>
        <w:rPr>
          <w:rFonts w:eastAsia="Calibri"/>
          <w:b/>
          <w:i/>
          <w:szCs w:val="22"/>
          <w:lang w:eastAsia="en-US"/>
        </w:rPr>
        <w:t xml:space="preserve"> stanovených lehôt </w:t>
      </w:r>
      <w:r>
        <w:rPr>
          <w:rFonts w:eastAsia="Calibri"/>
          <w:noProof/>
          <w:szCs w:val="22"/>
          <w:lang w:eastAsia="en-US"/>
        </w:rPr>
        <w:t xml:space="preserve">majú priamy vplyv na likviditu a predvídateľnosť peňažných tokov, čím sa zvyšujú potreby prevádzkového kapitálu a ohrozuje </w:t>
      </w:r>
      <w:r>
        <w:rPr>
          <w:rFonts w:eastAsia="Calibri"/>
          <w:strike/>
          <w:noProof/>
          <w:szCs w:val="22"/>
          <w:lang w:eastAsia="en-US"/>
        </w:rPr>
        <w:t>prístup spoločnosti k externému financovaniu</w:t>
      </w:r>
      <w:r>
        <w:rPr>
          <w:rFonts w:eastAsia="Calibri"/>
          <w:b/>
          <w:i/>
          <w:szCs w:val="22"/>
          <w:lang w:eastAsia="en-US"/>
        </w:rPr>
        <w:t>sa ziskovosť, keď je potrebné, aby veriteľ získal externé financovanie</w:t>
      </w:r>
      <w:r>
        <w:rPr>
          <w:rFonts w:eastAsia="Calibri"/>
          <w:b/>
          <w:i/>
          <w:szCs w:val="22"/>
          <w:lang w:eastAsia="en-US"/>
        </w:rPr>
        <w:t xml:space="preserve"> z dôvodu oneskorenej platby</w:t>
      </w:r>
      <w:r>
        <w:rPr>
          <w:rFonts w:eastAsia="Calibri"/>
          <w:noProof/>
          <w:szCs w:val="22"/>
          <w:lang w:eastAsia="en-US"/>
        </w:rPr>
        <w:t xml:space="preserve">. To ovplyvňuje konkurencieschopnosť, znižuje produktivitu, vedie k prepúšťaniu, zvyšuje pravdepodobnosť platobnej neschopnosti a konkurzov a predstavuje zásadnú prekážku rastu </w:t>
      </w:r>
      <w:r>
        <w:rPr>
          <w:rFonts w:eastAsia="Calibri"/>
          <w:b/>
          <w:i/>
          <w:szCs w:val="22"/>
          <w:lang w:eastAsia="en-US"/>
        </w:rPr>
        <w:t>aj vzhľadom na to, že inflácia časom znižuje reálnu</w:t>
      </w:r>
      <w:r>
        <w:rPr>
          <w:rFonts w:eastAsia="Calibri"/>
          <w:b/>
          <w:i/>
          <w:szCs w:val="22"/>
          <w:lang w:eastAsia="en-US"/>
        </w:rPr>
        <w:t xml:space="preserve"> hodnotu úverov</w:t>
      </w:r>
      <w:r>
        <w:rPr>
          <w:rFonts w:eastAsia="Calibri"/>
          <w:noProof/>
          <w:szCs w:val="22"/>
          <w:lang w:eastAsia="en-US"/>
        </w:rPr>
        <w:t xml:space="preserve">. Škodlivé účinky oneskorených platieb sa šíria v dodávateľských reťazcoch, pretože oneskorenie platieb sa často prenáša na dodávateľov. Týmito negatívnymi dôsledkami sú zasiahnuté </w:t>
      </w:r>
      <w:r>
        <w:rPr>
          <w:rFonts w:eastAsia="Calibri"/>
          <w:strike/>
          <w:noProof/>
          <w:szCs w:val="22"/>
          <w:lang w:eastAsia="en-US"/>
        </w:rPr>
        <w:t>najmä</w:t>
      </w:r>
      <w:r>
        <w:rPr>
          <w:rFonts w:eastAsia="Calibri"/>
          <w:noProof/>
          <w:szCs w:val="22"/>
          <w:lang w:eastAsia="en-US"/>
        </w:rPr>
        <w:t xml:space="preserve"> malé a stredné podniky (MSP) </w:t>
      </w:r>
      <w:r>
        <w:rPr>
          <w:rFonts w:eastAsia="Calibri"/>
          <w:b/>
          <w:i/>
          <w:szCs w:val="22"/>
          <w:lang w:eastAsia="en-US"/>
        </w:rPr>
        <w:t xml:space="preserve">a najmä </w:t>
      </w:r>
      <w:proofErr w:type="spellStart"/>
      <w:r>
        <w:rPr>
          <w:rFonts w:eastAsia="Calibri"/>
          <w:b/>
          <w:i/>
          <w:szCs w:val="22"/>
          <w:lang w:eastAsia="en-US"/>
        </w:rPr>
        <w:t>mikropodniky</w:t>
      </w:r>
      <w:proofErr w:type="spellEnd"/>
      <w:r>
        <w:rPr>
          <w:rFonts w:eastAsia="Calibri"/>
          <w:noProof/>
          <w:szCs w:val="22"/>
          <w:lang w:eastAsia="en-US"/>
        </w:rPr>
        <w:t>, kto</w:t>
      </w:r>
      <w:r>
        <w:rPr>
          <w:rFonts w:eastAsia="Calibri"/>
          <w:noProof/>
          <w:szCs w:val="22"/>
          <w:lang w:eastAsia="en-US"/>
        </w:rPr>
        <w:t xml:space="preserve">rých existencia od pravidelných a predvídateľných peňažných tokov bytostne závisí. Oneskorené platby preto z dôvodu svojich negatívnych hospodárskych a sociálnych dôsledkov predstavujú pre hospodárstvo Únie značný problém. </w:t>
      </w:r>
      <w:r>
        <w:rPr>
          <w:rFonts w:eastAsia="Calibri"/>
          <w:b/>
          <w:i/>
          <w:szCs w:val="22"/>
          <w:lang w:eastAsia="en-US"/>
        </w:rPr>
        <w:t>Riziko týchto negatívnych vplyvov</w:t>
      </w:r>
      <w:r>
        <w:rPr>
          <w:rFonts w:eastAsia="Calibri"/>
          <w:b/>
          <w:i/>
          <w:szCs w:val="22"/>
          <w:lang w:eastAsia="en-US"/>
        </w:rPr>
        <w:t xml:space="preserve"> sa výrazne zvyšuje v období hospodárskeho poklesu, keď je prístup k financovaniu zložitejší.</w:t>
      </w:r>
      <w:r>
        <w:rPr>
          <w:rFonts w:eastAsia="Calibri"/>
          <w:b/>
          <w:szCs w:val="22"/>
          <w:lang w:eastAsia="en-US"/>
        </w:rPr>
        <w:t xml:space="preserve"> [Am. 2]</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lastRenderedPageBreak/>
        <w:t>(4)</w:t>
      </w:r>
      <w:r>
        <w:rPr>
          <w:rFonts w:eastAsia="Calibri"/>
          <w:noProof/>
          <w:szCs w:val="22"/>
          <w:lang w:eastAsia="en-US"/>
        </w:rPr>
        <w:tab/>
        <w:t>Hoci vymáhanie oneskorených platieb súdnou cestou už uľahčujú nariadenia Európskeho parlamentu a Rady (ES) č. 805/2004</w:t>
      </w:r>
      <w:r>
        <w:rPr>
          <w:rFonts w:eastAsia="Calibri"/>
          <w:noProof/>
          <w:szCs w:val="22"/>
          <w:vertAlign w:val="superscript"/>
          <w:lang w:eastAsia="en-US"/>
        </w:rPr>
        <w:footnoteReference w:id="4"/>
      </w:r>
      <w:r>
        <w:rPr>
          <w:rFonts w:eastAsia="Calibri"/>
          <w:noProof/>
          <w:szCs w:val="22"/>
          <w:lang w:eastAsia="en-US"/>
        </w:rPr>
        <w:t>, (ES) č. 1896/2006</w:t>
      </w:r>
      <w:r>
        <w:rPr>
          <w:rFonts w:eastAsia="Calibri"/>
          <w:noProof/>
          <w:szCs w:val="22"/>
          <w:vertAlign w:val="superscript"/>
          <w:lang w:eastAsia="en-US"/>
        </w:rPr>
        <w:footnoteReference w:id="5"/>
      </w:r>
      <w:r>
        <w:rPr>
          <w:rFonts w:eastAsia="Calibri"/>
          <w:noProof/>
          <w:szCs w:val="22"/>
          <w:lang w:eastAsia="en-US"/>
        </w:rPr>
        <w:t>, (ES) č.</w:t>
      </w:r>
      <w:r>
        <w:rPr>
          <w:rFonts w:eastAsia="Calibri"/>
          <w:noProof/>
          <w:szCs w:val="22"/>
          <w:lang w:eastAsia="en-US"/>
        </w:rPr>
        <w:t xml:space="preserve"> 861/2007</w:t>
      </w:r>
      <w:r>
        <w:rPr>
          <w:rFonts w:eastAsia="Calibri"/>
          <w:noProof/>
          <w:szCs w:val="22"/>
          <w:vertAlign w:val="superscript"/>
          <w:lang w:eastAsia="en-US"/>
        </w:rPr>
        <w:footnoteReference w:id="6"/>
      </w:r>
      <w:r>
        <w:rPr>
          <w:rFonts w:eastAsia="Calibri"/>
          <w:noProof/>
          <w:szCs w:val="22"/>
          <w:lang w:eastAsia="en-US"/>
        </w:rPr>
        <w:t xml:space="preserve"> a (EÚ) č. 1215/2012</w:t>
      </w:r>
      <w:r>
        <w:rPr>
          <w:rFonts w:eastAsia="Calibri"/>
          <w:noProof/>
          <w:szCs w:val="22"/>
          <w:vertAlign w:val="superscript"/>
          <w:lang w:eastAsia="en-US"/>
        </w:rPr>
        <w:footnoteReference w:id="7"/>
      </w:r>
      <w:r>
        <w:rPr>
          <w:rFonts w:eastAsia="Calibri"/>
          <w:noProof/>
          <w:szCs w:val="22"/>
          <w:lang w:eastAsia="en-US"/>
        </w:rPr>
        <w:t xml:space="preserve">, s cieľom odradiť od oneskorených platieb v obchodných transakciách je nevyhnutné stanoviť doplňujúce ustanovenia. </w:t>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t>(5)</w:t>
      </w:r>
      <w:r>
        <w:rPr>
          <w:rFonts w:eastAsia="Calibri"/>
          <w:noProof/>
          <w:szCs w:val="22"/>
          <w:lang w:eastAsia="en-US"/>
        </w:rPr>
        <w:tab/>
        <w:t>Podniky by mali mať možnosť obchodovať na celom vnútornom trhu za podmienok, ktoré zaručujú, že cezhrani</w:t>
      </w:r>
      <w:r>
        <w:rPr>
          <w:rFonts w:eastAsia="Calibri"/>
          <w:noProof/>
          <w:szCs w:val="22"/>
          <w:lang w:eastAsia="en-US"/>
        </w:rPr>
        <w:t xml:space="preserve">čné transakcie so sebou neprinášajú väčšie riziká než domáci obchod. Uplatňovaním podstatne rozdielnych pravidiel na domáce a cezhraničné transakcie by došlo k narušeniu hospodárskej súťaže. </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(6)</w:t>
      </w:r>
      <w:r>
        <w:rPr>
          <w:rFonts w:eastAsia="Calibri"/>
          <w:noProof/>
          <w:szCs w:val="22"/>
          <w:lang w:eastAsia="en-US"/>
        </w:rPr>
        <w:tab/>
        <w:t>V smernici Európskeho parlamentu a Rady 2011/7/EÚ</w:t>
      </w:r>
      <w:r>
        <w:rPr>
          <w:rFonts w:eastAsia="Calibri"/>
          <w:noProof/>
          <w:szCs w:val="22"/>
          <w:vertAlign w:val="superscript"/>
          <w:lang w:eastAsia="en-US"/>
        </w:rPr>
        <w:footnoteReference w:id="8"/>
      </w:r>
      <w:r>
        <w:rPr>
          <w:rFonts w:eastAsia="Calibri"/>
          <w:noProof/>
          <w:szCs w:val="22"/>
          <w:lang w:eastAsia="en-US"/>
        </w:rPr>
        <w:t xml:space="preserve"> sa stan</w:t>
      </w:r>
      <w:r>
        <w:rPr>
          <w:rFonts w:eastAsia="Calibri"/>
          <w:noProof/>
          <w:szCs w:val="22"/>
          <w:lang w:eastAsia="en-US"/>
        </w:rPr>
        <w:t>ovujú pravidlá boja proti oneskoreným platbám v obchodných transakciách. V roku 2019 Európsky parlament zistil v uvedenej smernici niekoľko nedostatkov. V stratégii pre MSP pre udržateľnú a digitálnu Európu</w:t>
      </w:r>
      <w:r>
        <w:rPr>
          <w:rFonts w:eastAsia="Calibri"/>
          <w:noProof/>
          <w:szCs w:val="22"/>
          <w:vertAlign w:val="superscript"/>
          <w:lang w:eastAsia="en-US"/>
        </w:rPr>
        <w:footnoteReference w:id="9"/>
      </w:r>
      <w:r>
        <w:rPr>
          <w:rFonts w:eastAsia="Calibri"/>
          <w:noProof/>
          <w:szCs w:val="22"/>
          <w:lang w:eastAsia="en-US"/>
        </w:rPr>
        <w:t xml:space="preserve"> sa vyzýva na zabezpečenie prostredia bez oneskor</w:t>
      </w:r>
      <w:r>
        <w:rPr>
          <w:rFonts w:eastAsia="Calibri"/>
          <w:noProof/>
          <w:szCs w:val="22"/>
          <w:lang w:eastAsia="en-US"/>
        </w:rPr>
        <w:t>ených platieb pre MSP a na posilnenie presadzovania smernice 2011/7/EÚ. V roku 2021 platforma Fit for Future vo svojom stanovisku upozornila na kritické problémy pri vykonávaní uvedenej smernice. Hlavné nedostatky zistené v týchto iniciatívach sa týkajú: n</w:t>
      </w:r>
      <w:r>
        <w:rPr>
          <w:rFonts w:eastAsia="Calibri"/>
          <w:noProof/>
          <w:szCs w:val="22"/>
          <w:lang w:eastAsia="en-US"/>
        </w:rPr>
        <w:t>ejednoznačných ustanovení o „značne nevýhodných“ lehotách splatnosti pri transakciách medzi podnikmi, nekalých platobných praktík a lehôt pre postupy prijímania a overovania; paušálnej náhrady; asymetrie pravidiel týkajúcich sa lehôt splatnosti pri transak</w:t>
      </w:r>
      <w:r>
        <w:rPr>
          <w:rFonts w:eastAsia="Calibri"/>
          <w:noProof/>
          <w:szCs w:val="22"/>
          <w:lang w:eastAsia="en-US"/>
        </w:rPr>
        <w:t xml:space="preserve">ciách medzi vládou a podnikmi a transakciách medzi podnikmi; neexistencie maximálnej lehoty splatnosti pre obchodné transakcie v rámci transakcií medzi podnikmi; </w:t>
      </w:r>
      <w:r>
        <w:rPr>
          <w:rFonts w:eastAsia="Calibri"/>
          <w:b/>
          <w:i/>
          <w:szCs w:val="22"/>
          <w:lang w:eastAsia="en-US"/>
        </w:rPr>
        <w:t>asymetrie vo vyjednávacej sile medzi veľkými a silnejšími dlžníkmi a malými veriteľmi; neexist</w:t>
      </w:r>
      <w:r>
        <w:rPr>
          <w:rFonts w:eastAsia="Calibri"/>
          <w:b/>
          <w:i/>
          <w:szCs w:val="22"/>
          <w:lang w:eastAsia="en-US"/>
        </w:rPr>
        <w:t>encie maximálnej lehoty splatnosti pre obchodné transakcie v rámci transakcií medzi podnikmi;</w:t>
      </w:r>
      <w:r>
        <w:rPr>
          <w:rFonts w:eastAsia="Calibri"/>
          <w:szCs w:val="22"/>
          <w:lang w:eastAsia="en-US"/>
        </w:rPr>
        <w:t xml:space="preserve"> </w:t>
      </w:r>
      <w:r>
        <w:rPr>
          <w:rFonts w:eastAsia="Calibri"/>
          <w:noProof/>
          <w:szCs w:val="22"/>
          <w:lang w:eastAsia="en-US"/>
        </w:rPr>
        <w:t>nedostatočného monitorovania dodržiavania a presadzovania predpisov; chýbajúcich nástrojov na boj proti informačnej asymetrii, ako aj nástrojov pre veriteľov, ktoré im umožňujú prijímať opatrenia proti dlžníkom, a nedostatku synergií s rámcom verejného obs</w:t>
      </w:r>
      <w:r>
        <w:rPr>
          <w:rFonts w:eastAsia="Calibri"/>
          <w:noProof/>
          <w:szCs w:val="22"/>
          <w:lang w:eastAsia="en-US"/>
        </w:rPr>
        <w:t xml:space="preserve">tarávania. </w:t>
      </w:r>
      <w:r>
        <w:rPr>
          <w:rFonts w:eastAsia="Calibri"/>
          <w:b/>
          <w:noProof/>
          <w:szCs w:val="22"/>
          <w:lang w:eastAsia="en-US"/>
        </w:rPr>
        <w:t xml:space="preserve"> [Am. 3]</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lastRenderedPageBreak/>
        <w:t>(7)</w:t>
      </w:r>
      <w:r>
        <w:rPr>
          <w:rFonts w:eastAsia="Calibri"/>
          <w:noProof/>
          <w:szCs w:val="22"/>
          <w:lang w:eastAsia="en-US"/>
        </w:rPr>
        <w:tab/>
        <w:t>V záujme odstránenia týchto nedostatkov by sa smernica 2011/7/EÚ mala nahradiť.</w:t>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t>(8)</w:t>
      </w:r>
      <w:r>
        <w:rPr>
          <w:rFonts w:eastAsia="Calibri"/>
          <w:noProof/>
          <w:szCs w:val="22"/>
          <w:lang w:eastAsia="en-US"/>
        </w:rPr>
        <w:tab/>
        <w:t>Mali by sa prijať ustanovenia na zabránenie oneskoreným platbám v obchodných transakciách, ktoré pozostávajú z dodania tovaru alebo poskytovania s</w:t>
      </w:r>
      <w:r>
        <w:rPr>
          <w:rFonts w:eastAsia="Calibri"/>
          <w:noProof/>
          <w:szCs w:val="22"/>
          <w:lang w:eastAsia="en-US"/>
        </w:rPr>
        <w:t>lužieb za odplatu, bez ohľadu na to, či sa uskutočňujú medzi podnikmi alebo medzi podnikmi a verejnými obstarávateľmi/obstarávateľmi, ak sú títo verejní obstarávatelia/obstarávatelia v pozícii dlžníka, keďže títo verejní obstarávatelia/obstarávatelia sprac</w:t>
      </w:r>
      <w:r>
        <w:rPr>
          <w:rFonts w:eastAsia="Calibri"/>
          <w:noProof/>
          <w:szCs w:val="22"/>
          <w:lang w:eastAsia="en-US"/>
        </w:rPr>
        <w:t xml:space="preserve">úvajú značný objem platieb podnikom. </w:t>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t>(9)</w:t>
      </w:r>
      <w:r>
        <w:rPr>
          <w:rFonts w:eastAsia="Calibri"/>
          <w:noProof/>
          <w:szCs w:val="22"/>
          <w:lang w:eastAsia="en-US"/>
        </w:rPr>
        <w:tab/>
        <w:t xml:space="preserve">Pri verejných zákazkách na práce a stavebné a inžinierske práce sú veľmi často stanovené príliš dlhé lehoty splatnosti a dochádza k oneskoreniam. Toto nariadenie by sa preto malo vzťahovať aj na tieto činnosti. </w:t>
      </w:r>
    </w:p>
    <w:p w:rsidR="00166001" w:rsidRDefault="00992344">
      <w:pPr>
        <w:widowControl/>
        <w:spacing w:before="120" w:after="120" w:line="360" w:lineRule="auto"/>
        <w:ind w:left="851" w:hanging="851"/>
        <w:rPr>
          <w:rFonts w:eastAsia="Calibri"/>
          <w:b/>
          <w:noProof/>
          <w:szCs w:val="22"/>
          <w:lang w:eastAsia="en-US"/>
        </w:rPr>
      </w:pPr>
      <w:r>
        <w:rPr>
          <w:rFonts w:eastAsia="Calibri"/>
          <w:b/>
          <w:i/>
          <w:szCs w:val="22"/>
          <w:lang w:eastAsia="en-US"/>
        </w:rPr>
        <w:t>(</w:t>
      </w:r>
      <w:proofErr w:type="spellStart"/>
      <w:r>
        <w:rPr>
          <w:rFonts w:eastAsia="Calibri"/>
          <w:b/>
          <w:i/>
          <w:szCs w:val="22"/>
          <w:lang w:eastAsia="en-US"/>
        </w:rPr>
        <w:t>9</w:t>
      </w:r>
      <w:r>
        <w:rPr>
          <w:rFonts w:eastAsia="Calibri"/>
          <w:b/>
          <w:i/>
          <w:szCs w:val="22"/>
          <w:lang w:eastAsia="en-US"/>
        </w:rPr>
        <w:t>a</w:t>
      </w:r>
      <w:proofErr w:type="spellEnd"/>
      <w:r>
        <w:rPr>
          <w:rFonts w:eastAsia="Calibri"/>
          <w:b/>
          <w:i/>
          <w:szCs w:val="22"/>
          <w:lang w:eastAsia="en-US"/>
        </w:rPr>
        <w:t xml:space="preserve">) </w:t>
      </w:r>
      <w:r>
        <w:rPr>
          <w:rFonts w:eastAsia="Calibri"/>
          <w:szCs w:val="22"/>
          <w:lang w:eastAsia="en-US"/>
        </w:rPr>
        <w:tab/>
      </w:r>
      <w:r>
        <w:rPr>
          <w:rFonts w:eastAsia="Calibri"/>
          <w:b/>
          <w:i/>
          <w:szCs w:val="22"/>
          <w:lang w:eastAsia="en-US"/>
        </w:rPr>
        <w:t xml:space="preserve">Kultúrna rozmanitosť je zakotvená v článku 167 </w:t>
      </w:r>
      <w:proofErr w:type="spellStart"/>
      <w:r>
        <w:rPr>
          <w:rFonts w:eastAsia="Calibri"/>
          <w:b/>
          <w:i/>
          <w:szCs w:val="22"/>
          <w:lang w:eastAsia="en-US"/>
        </w:rPr>
        <w:t>ZFEÚ</w:t>
      </w:r>
      <w:proofErr w:type="spellEnd"/>
      <w:r>
        <w:rPr>
          <w:rFonts w:eastAsia="Calibri"/>
          <w:b/>
          <w:i/>
          <w:szCs w:val="22"/>
          <w:lang w:eastAsia="en-US"/>
        </w:rPr>
        <w:t xml:space="preserve"> a musí sa chrániť, pričom kultúrne hospodárske odvetvia sa vyznačujú osobitnými črtami, najmä pomalým obratom v obchode s knihami.</w:t>
      </w:r>
      <w:r>
        <w:rPr>
          <w:rFonts w:eastAsia="Calibri"/>
          <w:b/>
          <w:szCs w:val="22"/>
          <w:lang w:eastAsia="en-US"/>
        </w:rPr>
        <w:t xml:space="preserve"> [Am. 92]</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(10)</w:t>
      </w:r>
      <w:r>
        <w:rPr>
          <w:rFonts w:eastAsia="Calibri"/>
          <w:noProof/>
          <w:szCs w:val="22"/>
          <w:lang w:eastAsia="en-US"/>
        </w:rPr>
        <w:tab/>
      </w:r>
      <w:r>
        <w:rPr>
          <w:rFonts w:eastAsia="Calibri"/>
          <w:noProof/>
          <w:szCs w:val="22"/>
          <w:lang w:eastAsia="en-US"/>
        </w:rPr>
        <w:t xml:space="preserve">Transakcie so spotrebiteľmi, platby uskutočnené ako náhrada škody </w:t>
      </w:r>
      <w:r>
        <w:rPr>
          <w:rFonts w:eastAsia="Calibri"/>
          <w:strike/>
          <w:noProof/>
          <w:szCs w:val="22"/>
          <w:lang w:eastAsia="en-US"/>
        </w:rPr>
        <w:t>vrátane platieb od poisťovní</w:t>
      </w:r>
      <w:r>
        <w:rPr>
          <w:rFonts w:eastAsia="Calibri"/>
          <w:noProof/>
          <w:szCs w:val="22"/>
          <w:lang w:eastAsia="en-US"/>
        </w:rPr>
        <w:t xml:space="preserve"> a platobné povinnosti, ktoré možno zrušiť, odložiť alebo od ktorých možno upustiť v rámci insolvenčného konania alebo reštrukturalizačného konania vrátane konaní</w:t>
      </w:r>
      <w:r>
        <w:rPr>
          <w:rFonts w:eastAsia="Calibri"/>
          <w:noProof/>
          <w:szCs w:val="22"/>
          <w:lang w:eastAsia="en-US"/>
        </w:rPr>
        <w:t xml:space="preserve"> o preventívnej reštrukturalizácii podľa smernice Európskeho parlamentu a Rady (EÚ) 2019/1023</w:t>
      </w:r>
      <w:r>
        <w:rPr>
          <w:rFonts w:eastAsia="Calibri"/>
          <w:noProof/>
          <w:szCs w:val="22"/>
          <w:vertAlign w:val="superscript"/>
          <w:lang w:eastAsia="en-US"/>
        </w:rPr>
        <w:footnoteReference w:id="10"/>
      </w:r>
      <w:r>
        <w:rPr>
          <w:rFonts w:eastAsia="Calibri"/>
          <w:noProof/>
          <w:szCs w:val="22"/>
          <w:lang w:eastAsia="en-US"/>
        </w:rPr>
        <w:t xml:space="preserve">, alebo v súvislosti s nimi, by sa z rozsahu pôsobnosti tohto nariadenia mali vylúčiť. </w:t>
      </w:r>
      <w:r>
        <w:rPr>
          <w:rFonts w:eastAsia="Calibri"/>
          <w:b/>
          <w:i/>
          <w:szCs w:val="22"/>
          <w:lang w:eastAsia="en-US"/>
        </w:rPr>
        <w:t>Toto nariadenie by sa však malo vzťahovať na platby uskutočnené ako plnenie</w:t>
      </w:r>
      <w:r>
        <w:rPr>
          <w:rFonts w:eastAsia="Calibri"/>
          <w:b/>
          <w:i/>
          <w:szCs w:val="22"/>
          <w:lang w:eastAsia="en-US"/>
        </w:rPr>
        <w:t xml:space="preserve"> záväzkov vyplývajúcich z poistných zmlúv. Do rozsahu pôsobnosti tohto nariadenia by mali patriť najmä platby uskutočnené v rámci transakcií medzi poisťovňami a podnikmi výmenou za dodanie tovaru alebo poskytnutie služieb za odmenu, a to aj ako náhrada iný</w:t>
      </w:r>
      <w:r>
        <w:rPr>
          <w:rFonts w:eastAsia="Calibri"/>
          <w:b/>
          <w:i/>
          <w:szCs w:val="22"/>
          <w:lang w:eastAsia="en-US"/>
        </w:rPr>
        <w:t>m tretím stranám.</w:t>
      </w:r>
      <w:r>
        <w:rPr>
          <w:rFonts w:eastAsia="Calibri"/>
          <w:b/>
          <w:noProof/>
          <w:szCs w:val="22"/>
          <w:lang w:eastAsia="en-US"/>
        </w:rPr>
        <w:t xml:space="preserve"> [Am. 4]</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(11)</w:t>
      </w:r>
      <w:r>
        <w:rPr>
          <w:rFonts w:eastAsia="Calibri"/>
          <w:noProof/>
          <w:szCs w:val="22"/>
          <w:lang w:eastAsia="en-US"/>
        </w:rPr>
        <w:tab/>
        <w:t>Oneskorená platba predstavuje porušenie zmluvy, ktoré je v dôsledku nízkych alebo žiadnych účtovaných úrokov z omeškania alebo zdĺhavých konaní o náhradu škody finančne atraktívnym riešením pre dlžníkov. Na odvrátenie tohto</w:t>
      </w:r>
      <w:r>
        <w:rPr>
          <w:rFonts w:eastAsia="Calibri"/>
          <w:noProof/>
          <w:szCs w:val="22"/>
          <w:lang w:eastAsia="en-US"/>
        </w:rPr>
        <w:t xml:space="preserve"> trendu a odradenie od oneskorených platieb je potrebná rázna zmena smerom ku kultúre včasných platieb vrátane ustanovenia, podľa ktorého by vylúčenie práva účtovať úrok z omeškania bolo neplatné. Zmluvné lehoty splatnosti by sa preto mali obmedziť na 30 k</w:t>
      </w:r>
      <w:r>
        <w:rPr>
          <w:rFonts w:eastAsia="Calibri"/>
          <w:noProof/>
          <w:szCs w:val="22"/>
          <w:lang w:eastAsia="en-US"/>
        </w:rPr>
        <w:t xml:space="preserve">alendárnych dní v prípade transakcií medzi podnikmi, ako aj transakcií medzi vládou a podnikmi, ak je dlžníkom orgán verejnej moci. </w:t>
      </w:r>
      <w:r>
        <w:rPr>
          <w:rFonts w:eastAsia="Calibri"/>
          <w:b/>
          <w:i/>
          <w:szCs w:val="22"/>
          <w:lang w:eastAsia="en-US"/>
        </w:rPr>
        <w:t xml:space="preserve">Tento posun je potrebný aj na obmedzenie tzv. faktora strachu, ktorým trpia </w:t>
      </w:r>
      <w:proofErr w:type="spellStart"/>
      <w:r>
        <w:rPr>
          <w:rFonts w:eastAsia="Calibri"/>
          <w:b/>
          <w:i/>
          <w:szCs w:val="22"/>
          <w:lang w:eastAsia="en-US"/>
        </w:rPr>
        <w:t>mikropodniky</w:t>
      </w:r>
      <w:proofErr w:type="spellEnd"/>
      <w:r>
        <w:rPr>
          <w:rFonts w:eastAsia="Calibri"/>
          <w:b/>
          <w:i/>
          <w:szCs w:val="22"/>
          <w:lang w:eastAsia="en-US"/>
        </w:rPr>
        <w:t xml:space="preserve"> a malé podniky, keď majú pohľadávky</w:t>
      </w:r>
      <w:r>
        <w:rPr>
          <w:rFonts w:eastAsia="Calibri"/>
          <w:b/>
          <w:i/>
          <w:szCs w:val="22"/>
          <w:lang w:eastAsia="en-US"/>
        </w:rPr>
        <w:t xml:space="preserve"> voči väčším spoločnostiam, a ktorý často vedie k tomu, že títo veritelia akceptujú výmenou za prísľub budúceho obchodu dlhšie lehoty splatnosti, ako by im vyhovovalo. Podnikom by sa zároveň mala poskytnúť dodatočná flexibilita, aby mohli využívať zmluvnú </w:t>
      </w:r>
      <w:r>
        <w:rPr>
          <w:rFonts w:eastAsia="Calibri"/>
          <w:b/>
          <w:i/>
          <w:szCs w:val="22"/>
          <w:lang w:eastAsia="en-US"/>
        </w:rPr>
        <w:t>slobodu a rokovať o dlhšej lehote splatnosti až do 60 kalendárnych dní. Táto predĺžená lehota splatnosti by mala byť možná, ak je vzájomne prospešná pre veriteľa a dlžníka. Elektronická fakturácia môže byť tiež užitočným nástrojom na skrátenie lehoty splat</w:t>
      </w:r>
      <w:r>
        <w:rPr>
          <w:rFonts w:eastAsia="Calibri"/>
          <w:b/>
          <w:i/>
          <w:szCs w:val="22"/>
          <w:lang w:eastAsia="en-US"/>
        </w:rPr>
        <w:t>nosti, pretože by veriteľom pomohla v prípade pochybností alebo sporu preukázať dátum doručenia faktúry.</w:t>
      </w:r>
      <w:r>
        <w:rPr>
          <w:rFonts w:eastAsia="Calibri"/>
          <w:b/>
          <w:noProof/>
          <w:szCs w:val="22"/>
          <w:lang w:eastAsia="en-US"/>
        </w:rPr>
        <w:t xml:space="preserve"> [Am. 5]</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b/>
          <w:i/>
          <w:szCs w:val="22"/>
          <w:lang w:eastAsia="en-US"/>
        </w:rPr>
        <w:lastRenderedPageBreak/>
        <w:t>(</w:t>
      </w:r>
      <w:proofErr w:type="spellStart"/>
      <w:r>
        <w:rPr>
          <w:rFonts w:eastAsia="Calibri"/>
          <w:b/>
          <w:i/>
          <w:szCs w:val="22"/>
          <w:lang w:eastAsia="en-US"/>
        </w:rPr>
        <w:t>11a</w:t>
      </w:r>
      <w:proofErr w:type="spellEnd"/>
      <w:r>
        <w:rPr>
          <w:rFonts w:eastAsia="Calibri"/>
          <w:b/>
          <w:i/>
          <w:szCs w:val="22"/>
          <w:lang w:eastAsia="en-US"/>
        </w:rPr>
        <w:t>)</w:t>
      </w:r>
      <w:r>
        <w:rPr>
          <w:rFonts w:eastAsia="Calibri"/>
          <w:b/>
          <w:i/>
          <w:szCs w:val="22"/>
          <w:lang w:eastAsia="en-US"/>
        </w:rPr>
        <w:tab/>
        <w:t>V tejto súvislosti je potrebné uznať existenciu určitých obchodných modelov a odvetvových postupov v maloobchodnom sektore, ktorých cie</w:t>
      </w:r>
      <w:r>
        <w:rPr>
          <w:rFonts w:eastAsia="Calibri"/>
          <w:b/>
          <w:i/>
          <w:szCs w:val="22"/>
          <w:lang w:eastAsia="en-US"/>
        </w:rPr>
        <w:t>ľom je zachovať o niečo dlhšie lehoty splatnosti. Keďže tieto postupy odrážajú nízku rotáciu a sezónnosť určitých kategórií výrobkov, ako aj jedinečné prevádzkové cykly niektorých tovarov kultúrnej hodnoty s dlhodobou spotrebou, ako sú hračky, šperky, špor</w:t>
      </w:r>
      <w:r>
        <w:rPr>
          <w:rFonts w:eastAsia="Calibri"/>
          <w:b/>
          <w:i/>
          <w:szCs w:val="22"/>
          <w:lang w:eastAsia="en-US"/>
        </w:rPr>
        <w:t>tové vybavenie alebo knihy, a sú vzájomne prospešné pre veriteľov a dlžníkov, je žiaduce umožniť v tejto veci obmedzenú flexibilitu, aby zmluvné strany mohli využiť lehotu splatnosti až 120 kalendárnych dní.</w:t>
      </w:r>
      <w:r>
        <w:rPr>
          <w:rFonts w:eastAsia="Calibri"/>
          <w:b/>
          <w:szCs w:val="22"/>
          <w:lang w:eastAsia="en-US"/>
        </w:rPr>
        <w:t xml:space="preserve"> [Am. 6]</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(12)</w:t>
      </w:r>
      <w:r>
        <w:rPr>
          <w:rFonts w:eastAsia="Calibri"/>
          <w:noProof/>
          <w:szCs w:val="22"/>
          <w:lang w:eastAsia="en-US"/>
        </w:rPr>
        <w:tab/>
      </w:r>
      <w:r>
        <w:rPr>
          <w:rFonts w:eastAsia="Calibri"/>
          <w:strike/>
          <w:noProof/>
          <w:szCs w:val="22"/>
          <w:lang w:eastAsia="en-US"/>
        </w:rPr>
        <w:t xml:space="preserve">Často dochádza k prípadom keď sa </w:t>
      </w:r>
      <w:r>
        <w:rPr>
          <w:rFonts w:eastAsia="Calibri"/>
          <w:strike/>
          <w:noProof/>
          <w:szCs w:val="22"/>
          <w:lang w:eastAsia="en-US"/>
        </w:rPr>
        <w:t>na úmyselné predĺženie lehoty splatnosti využívajú p</w:t>
      </w:r>
      <w:r>
        <w:rPr>
          <w:rFonts w:eastAsia="Calibri"/>
          <w:noProof/>
          <w:szCs w:val="22"/>
          <w:lang w:eastAsia="en-US"/>
        </w:rPr>
        <w:t xml:space="preserve">Postupy prijímania alebo overovania na účel potvrdenia súladu dodaného tovaru alebo poskytnutých služieb s požiadavkami zmluvy, ako aj overovanie správnosti a súladu faktúry </w:t>
      </w:r>
      <w:r>
        <w:rPr>
          <w:rFonts w:eastAsia="Calibri"/>
          <w:b/>
          <w:i/>
          <w:szCs w:val="22"/>
          <w:lang w:eastAsia="en-US"/>
        </w:rPr>
        <w:t>sú veľmi užitočné nástroje pri</w:t>
      </w:r>
      <w:r>
        <w:rPr>
          <w:rFonts w:eastAsia="Calibri"/>
          <w:b/>
          <w:i/>
          <w:szCs w:val="22"/>
          <w:lang w:eastAsia="en-US"/>
        </w:rPr>
        <w:t xml:space="preserve"> mnohých obchodných transakciách, najmä na ochranu záujmov predávajúceho a na predchádzanie zbytočným právnym sporom medzi dotknutými stranami</w:t>
      </w:r>
      <w:r>
        <w:rPr>
          <w:rFonts w:eastAsia="Calibri"/>
          <w:szCs w:val="22"/>
          <w:lang w:eastAsia="en-US"/>
        </w:rPr>
        <w:t>.</w:t>
      </w:r>
      <w:r>
        <w:rPr>
          <w:rFonts w:eastAsia="Calibri"/>
          <w:b/>
          <w:i/>
          <w:szCs w:val="22"/>
          <w:lang w:eastAsia="en-US"/>
        </w:rPr>
        <w:t xml:space="preserve"> Cieľom tohto nariadenia nie je obmedziť používanie týchto nástrojov. Tieto postupy sa však často používajú na úm</w:t>
      </w:r>
      <w:r>
        <w:rPr>
          <w:rFonts w:eastAsia="Calibri"/>
          <w:b/>
          <w:i/>
          <w:szCs w:val="22"/>
          <w:lang w:eastAsia="en-US"/>
        </w:rPr>
        <w:t>yselné predĺženie lehoty splatnosti</w:t>
      </w:r>
      <w:r>
        <w:rPr>
          <w:rFonts w:eastAsia="Calibri"/>
          <w:b/>
          <w:i/>
          <w:noProof/>
          <w:szCs w:val="22"/>
          <w:lang w:eastAsia="en-US"/>
        </w:rPr>
        <w:t>.</w:t>
      </w:r>
      <w:r>
        <w:rPr>
          <w:rFonts w:eastAsia="Calibri"/>
          <w:noProof/>
          <w:szCs w:val="22"/>
          <w:lang w:eastAsia="en-US"/>
        </w:rPr>
        <w:t xml:space="preserve"> </w:t>
      </w:r>
      <w:r>
        <w:rPr>
          <w:rFonts w:eastAsia="Calibri"/>
          <w:b/>
          <w:i/>
          <w:szCs w:val="22"/>
          <w:lang w:eastAsia="en-US"/>
        </w:rPr>
        <w:t xml:space="preserve">V súvislosti so stanovením lehoty splatnosti by </w:t>
      </w:r>
      <w:r>
        <w:rPr>
          <w:rFonts w:eastAsia="Calibri"/>
          <w:noProof/>
          <w:szCs w:val="22"/>
          <w:lang w:eastAsia="en-US"/>
        </w:rPr>
        <w:t xml:space="preserve">ich zahrnutie do zmluvy </w:t>
      </w:r>
      <w:r>
        <w:rPr>
          <w:rFonts w:eastAsia="Calibri"/>
          <w:strike/>
          <w:noProof/>
          <w:szCs w:val="22"/>
          <w:lang w:eastAsia="en-US"/>
        </w:rPr>
        <w:t>by</w:t>
      </w:r>
      <w:r>
        <w:rPr>
          <w:rFonts w:eastAsia="Calibri"/>
          <w:noProof/>
          <w:szCs w:val="22"/>
          <w:lang w:eastAsia="en-US"/>
        </w:rPr>
        <w:t xml:space="preserve"> preto malo byť objektívne odôvodnené osobitnou povahou predmetnej zákazky alebo určitými jej charakteristickými znakmi</w:t>
      </w:r>
      <w:r>
        <w:rPr>
          <w:rFonts w:eastAsia="Calibri"/>
          <w:noProof/>
          <w:szCs w:val="22"/>
          <w:vertAlign w:val="superscript"/>
          <w:lang w:eastAsia="en-US"/>
        </w:rPr>
        <w:footnoteReference w:id="11"/>
      </w:r>
      <w:r>
        <w:rPr>
          <w:rFonts w:eastAsia="Calibri"/>
          <w:noProof/>
          <w:szCs w:val="22"/>
          <w:vertAlign w:val="superscript"/>
          <w:lang w:eastAsia="en-US"/>
        </w:rPr>
        <w:t>.</w:t>
      </w:r>
      <w:r>
        <w:rPr>
          <w:rFonts w:eastAsia="Calibri"/>
          <w:noProof/>
          <w:szCs w:val="22"/>
          <w:lang w:eastAsia="en-US"/>
        </w:rPr>
        <w:t>. Preto by malo byť možné stanoviť v zmluve takýto postup overovania alebo prijímania len vtedy, ak je to podľa vnútroštátneho práva potrebné vzhľadom na osobitnú povahu daného tovaru alebo služieb. S cieľom zabrániť tomu, aby sa postup prijímania alebo ov</w:t>
      </w:r>
      <w:r>
        <w:rPr>
          <w:rFonts w:eastAsia="Calibri"/>
          <w:noProof/>
          <w:szCs w:val="22"/>
          <w:lang w:eastAsia="en-US"/>
        </w:rPr>
        <w:t>erovania používal na predlžovanie lehoty splatnosti, by sa mali v zmluve jasne opísať podrobnosti takéhoto postupu vrátane jeho trvania. Na ten istý účel by mal dlžník začať postup overovania alebo prijímania ihneď po prevzatí tovaru a/alebo služieb, ktoré</w:t>
      </w:r>
      <w:r>
        <w:rPr>
          <w:rFonts w:eastAsia="Calibri"/>
          <w:noProof/>
          <w:szCs w:val="22"/>
          <w:lang w:eastAsia="en-US"/>
        </w:rPr>
        <w:t xml:space="preserve"> sú predmetom obchodnej transakcie, od veriteľa, bez ohľadu na to, či veriteľ vystavil faktúru alebo rovnocennú výzvu na zaplatenie. Aby sa neohrozilo dosiahnutie cieľov tohto nariadenia, je vhodné stanoviť maximálne trvanie postupu prijímania alebo overov</w:t>
      </w:r>
      <w:r>
        <w:rPr>
          <w:rFonts w:eastAsia="Calibri"/>
          <w:noProof/>
          <w:szCs w:val="22"/>
          <w:lang w:eastAsia="en-US"/>
        </w:rPr>
        <w:t xml:space="preserve">ania </w:t>
      </w:r>
      <w:r>
        <w:rPr>
          <w:rFonts w:eastAsia="Calibri"/>
          <w:b/>
          <w:i/>
          <w:szCs w:val="22"/>
          <w:lang w:eastAsia="en-US"/>
        </w:rPr>
        <w:t>na účel stanovenia lehoty splatnosti</w:t>
      </w:r>
      <w:r>
        <w:rPr>
          <w:rFonts w:eastAsia="Calibri"/>
          <w:noProof/>
          <w:szCs w:val="22"/>
          <w:lang w:eastAsia="en-US"/>
        </w:rPr>
        <w:t xml:space="preserve">. </w:t>
      </w:r>
      <w:r>
        <w:rPr>
          <w:rFonts w:eastAsia="Calibri"/>
          <w:b/>
          <w:noProof/>
          <w:szCs w:val="22"/>
          <w:lang w:eastAsia="en-US"/>
        </w:rPr>
        <w:t xml:space="preserve"> [Am. 7]</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lastRenderedPageBreak/>
        <w:t>(13)</w:t>
      </w:r>
      <w:r>
        <w:rPr>
          <w:rFonts w:eastAsia="Calibri"/>
          <w:noProof/>
          <w:szCs w:val="22"/>
          <w:lang w:eastAsia="en-US"/>
        </w:rPr>
        <w:tab/>
        <w:t xml:space="preserve">Týmto nariadením by nemali byť dotknuté kratšie lehoty, ktoré môžu byť stanovené vo vnútroštátnom práve a ktoré sú pre veriteľa výhodnejšie. </w:t>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t>(14)</w:t>
      </w:r>
      <w:r>
        <w:rPr>
          <w:rFonts w:eastAsia="Calibri"/>
          <w:noProof/>
          <w:szCs w:val="22"/>
          <w:lang w:eastAsia="en-US"/>
        </w:rPr>
        <w:tab/>
        <w:t xml:space="preserve">Verejné obstarávanie môže zohrávať významnú úlohu </w:t>
      </w:r>
      <w:r>
        <w:rPr>
          <w:rFonts w:eastAsia="Calibri"/>
          <w:noProof/>
          <w:szCs w:val="22"/>
          <w:lang w:eastAsia="en-US"/>
        </w:rPr>
        <w:t xml:space="preserve">pri zlepšovaní výkonnosti platieb. Preto by sa mali zaviesť posilnené synergie medzi politikami a pravidlami verejného obstarávania a cieľmi včasných platieb. Najmä pri verejných stavebných prácach hlavný dodávateľ často neplatí subdodávateľov načas, a to </w:t>
      </w:r>
      <w:r>
        <w:rPr>
          <w:rFonts w:eastAsia="Calibri"/>
          <w:noProof/>
          <w:szCs w:val="22"/>
          <w:lang w:eastAsia="en-US"/>
        </w:rPr>
        <w:t>ani vtedy, keď im verejní obstarávatelia alebo obstarávatelia uhradili zmluvné platby, čo môže viesť k škodlivému dominovému efektu v dodávateľskom reťazci. Je preto vhodné, aby dodávatelia poskytli verejným obstarávateľom a obstarávateľom dôkazy o platbác</w:t>
      </w:r>
      <w:r>
        <w:rPr>
          <w:rFonts w:eastAsia="Calibri"/>
          <w:noProof/>
          <w:szCs w:val="22"/>
          <w:lang w:eastAsia="en-US"/>
        </w:rPr>
        <w:t>h svojim priamym subdodávateľom.</w:t>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t>(15)</w:t>
      </w:r>
      <w:r>
        <w:rPr>
          <w:rFonts w:eastAsia="Calibri"/>
          <w:noProof/>
          <w:szCs w:val="22"/>
          <w:lang w:eastAsia="en-US"/>
        </w:rPr>
        <w:tab/>
        <w:t xml:space="preserve">V záujme konzistentnosti právnych predpisov Únie by sa mali na účely tohto nariadenia uplatňovať pojmy „verejní obstarávatelia“ a „obstarávatelia“ podľa </w:t>
      </w:r>
      <w:bookmarkStart w:id="8" w:name="_Hlk135929646"/>
      <w:r>
        <w:rPr>
          <w:rFonts w:eastAsia="Calibri"/>
          <w:noProof/>
          <w:szCs w:val="22"/>
          <w:lang w:eastAsia="en-US"/>
        </w:rPr>
        <w:t>smerníc Európskeho parlamentu a Rady 2014/23/EÚ</w:t>
      </w:r>
      <w:r>
        <w:rPr>
          <w:rFonts w:eastAsia="Calibri"/>
          <w:noProof/>
          <w:szCs w:val="22"/>
          <w:vertAlign w:val="superscript"/>
          <w:lang w:eastAsia="en-US"/>
        </w:rPr>
        <w:footnoteReference w:id="12"/>
      </w:r>
      <w:r>
        <w:rPr>
          <w:rFonts w:eastAsia="Calibri"/>
          <w:noProof/>
          <w:szCs w:val="22"/>
          <w:lang w:eastAsia="en-US"/>
        </w:rPr>
        <w:t>, 2014/24/EÚ</w:t>
      </w:r>
      <w:r>
        <w:rPr>
          <w:rFonts w:eastAsia="Calibri"/>
          <w:noProof/>
          <w:szCs w:val="22"/>
          <w:vertAlign w:val="superscript"/>
          <w:lang w:eastAsia="en-US"/>
        </w:rPr>
        <w:footnoteReference w:id="13"/>
      </w:r>
      <w:r>
        <w:rPr>
          <w:rFonts w:eastAsia="Calibri"/>
          <w:noProof/>
          <w:szCs w:val="22"/>
          <w:lang w:eastAsia="en-US"/>
        </w:rPr>
        <w:t>, 20</w:t>
      </w:r>
      <w:r>
        <w:rPr>
          <w:rFonts w:eastAsia="Calibri"/>
          <w:noProof/>
          <w:szCs w:val="22"/>
          <w:lang w:eastAsia="en-US"/>
        </w:rPr>
        <w:t>14/25/EÚ</w:t>
      </w:r>
      <w:bookmarkStart w:id="9" w:name="_Hlk135929922"/>
      <w:r>
        <w:rPr>
          <w:rFonts w:eastAsia="Calibri"/>
          <w:noProof/>
          <w:szCs w:val="22"/>
          <w:vertAlign w:val="superscript"/>
          <w:lang w:eastAsia="en-US"/>
        </w:rPr>
        <w:footnoteReference w:id="14"/>
      </w:r>
      <w:bookmarkEnd w:id="8"/>
      <w:r>
        <w:rPr>
          <w:rFonts w:eastAsia="Calibri"/>
          <w:noProof/>
          <w:szCs w:val="22"/>
          <w:lang w:eastAsia="en-US"/>
        </w:rPr>
        <w:t xml:space="preserve"> a 2009/81/ES</w:t>
      </w:r>
      <w:r>
        <w:rPr>
          <w:rFonts w:eastAsia="Calibri"/>
          <w:noProof/>
          <w:szCs w:val="22"/>
          <w:vertAlign w:val="superscript"/>
          <w:lang w:eastAsia="en-US"/>
        </w:rPr>
        <w:footnoteReference w:id="15"/>
      </w:r>
      <w:bookmarkEnd w:id="9"/>
      <w:r>
        <w:rPr>
          <w:rFonts w:eastAsia="Calibri"/>
          <w:noProof/>
          <w:szCs w:val="22"/>
          <w:lang w:eastAsia="en-US"/>
        </w:rPr>
        <w:t xml:space="preserve">. </w:t>
      </w:r>
    </w:p>
    <w:p w:rsidR="00166001" w:rsidRDefault="00992344">
      <w:pPr>
        <w:widowControl/>
        <w:rPr>
          <w:rFonts w:eastAsia="Calibri"/>
          <w:noProof/>
          <w:szCs w:val="22"/>
          <w:lang w:eastAsia="en-US"/>
        </w:rPr>
      </w:pPr>
      <w:bookmarkStart w:id="10" w:name="_Hlk135928634"/>
      <w:r>
        <w:rPr>
          <w:rFonts w:eastAsia="Calibri"/>
          <w:noProof/>
          <w:szCs w:val="22"/>
          <w:lang w:eastAsia="en-US"/>
        </w:rPr>
        <w:br w:type="page"/>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lastRenderedPageBreak/>
        <w:t>(16)</w:t>
      </w:r>
      <w:r>
        <w:rPr>
          <w:rFonts w:eastAsia="Calibri"/>
          <w:noProof/>
          <w:szCs w:val="22"/>
          <w:lang w:eastAsia="en-US"/>
        </w:rPr>
        <w:tab/>
        <w:t xml:space="preserve">Úrok z omeškania by sa mal vypočítavať denne ako jednoduchý úrok. Úrok z omeškania je doplnkom splatnej sumy. Predpokladá sa, že záväzky dlžníka zaniknú až vtedy, keď veriteľ dostane splatnú sumu vrátane príslušných úrokov </w:t>
      </w:r>
      <w:r>
        <w:rPr>
          <w:rFonts w:eastAsia="Calibri"/>
          <w:noProof/>
          <w:szCs w:val="22"/>
          <w:lang w:eastAsia="en-US"/>
        </w:rPr>
        <w:t xml:space="preserve">a paušálnej náhrady. Výška úrokov z omeškania by mala narastať až do uhradenia splatnej sumy veriteľovi. </w:t>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t>(17)</w:t>
      </w:r>
      <w:r>
        <w:rPr>
          <w:rFonts w:eastAsia="Calibri"/>
          <w:noProof/>
          <w:szCs w:val="22"/>
          <w:lang w:eastAsia="en-US"/>
        </w:rPr>
        <w:tab/>
        <w:t>Veriteľ by nemal mať možnosť vzdať sa svojho práva na získanie úrokov z omeškania, keďže úroky z omeškania majú dvojakú funkciu: kompenzovať časť</w:t>
      </w:r>
      <w:r>
        <w:rPr>
          <w:rFonts w:eastAsia="Calibri"/>
          <w:noProof/>
          <w:szCs w:val="22"/>
          <w:lang w:eastAsia="en-US"/>
        </w:rPr>
        <w:t xml:space="preserve"> škody, ktorá vznikla veriteľovi z dôvodu omeškania, a uložiť dlžníkovi sankcie za porušenie zmluvy. S cieľom uľahčiť prijímanie úrokov a náhrady v prípade oneskorenej platby veriteľom by právo veriteľa na ich získanie malo byť automatické s výnimkou prípa</w:t>
      </w:r>
      <w:r>
        <w:rPr>
          <w:rFonts w:eastAsia="Calibri"/>
          <w:noProof/>
          <w:szCs w:val="22"/>
          <w:lang w:eastAsia="en-US"/>
        </w:rPr>
        <w:t xml:space="preserve">dov, keď omeškanie platby nespôsobil svojim zavinením dlžník. </w:t>
      </w:r>
    </w:p>
    <w:bookmarkEnd w:id="10"/>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(18)</w:t>
      </w:r>
      <w:r>
        <w:rPr>
          <w:rFonts w:eastAsia="Calibri"/>
          <w:noProof/>
          <w:szCs w:val="22"/>
          <w:lang w:eastAsia="en-US"/>
        </w:rPr>
        <w:tab/>
        <w:t xml:space="preserve">Aby sa zabezpečilo odradenie od oneskorených platieb, je potrebné, aby veritelia dostali spravodlivú náhradu nákladov na vymáhanie, ktoré im vznikli v dôsledku oneskorenej platby. Tieto </w:t>
      </w:r>
      <w:r>
        <w:rPr>
          <w:rFonts w:eastAsia="Calibri"/>
          <w:noProof/>
          <w:szCs w:val="22"/>
          <w:lang w:eastAsia="en-US"/>
        </w:rPr>
        <w:t xml:space="preserve">náklady by mali zahŕňať náhradu administratívnych nákladov a kompenzáciu interných nákladov, ktoré vznikli v dôsledku oneskorenej platby, </w:t>
      </w:r>
      <w:r>
        <w:rPr>
          <w:rFonts w:eastAsia="Calibri"/>
          <w:b/>
          <w:i/>
          <w:szCs w:val="22"/>
          <w:lang w:eastAsia="en-US"/>
        </w:rPr>
        <w:t xml:space="preserve">mali by sa upraviť tak, aby zodpovedali hodnote príslušnej faktúry, </w:t>
      </w:r>
      <w:r>
        <w:rPr>
          <w:rFonts w:eastAsia="Calibri"/>
          <w:noProof/>
          <w:szCs w:val="22"/>
          <w:lang w:eastAsia="en-US"/>
        </w:rPr>
        <w:t>a mali by sa kumulovať s úrokom z omeškania za kaž</w:t>
      </w:r>
      <w:r>
        <w:rPr>
          <w:rFonts w:eastAsia="Calibri"/>
          <w:noProof/>
          <w:szCs w:val="22"/>
          <w:lang w:eastAsia="en-US"/>
        </w:rPr>
        <w:t>dú jednotlivú obchodnú transakciu, ktorá bola zaplatená oneskorene, ako to stanovil Súdny dvor</w:t>
      </w:r>
      <w:r>
        <w:rPr>
          <w:rFonts w:eastAsia="Calibri"/>
          <w:noProof/>
          <w:szCs w:val="22"/>
          <w:vertAlign w:val="superscript"/>
          <w:lang w:eastAsia="en-US"/>
        </w:rPr>
        <w:footnoteReference w:id="16"/>
      </w:r>
      <w:r>
        <w:rPr>
          <w:rFonts w:eastAsia="Calibri"/>
          <w:noProof/>
          <w:szCs w:val="22"/>
          <w:lang w:eastAsia="en-US"/>
        </w:rPr>
        <w:t>. Pevne stanovená minimálna suma náhrady nákladov na vymáhanie by sa mala určiť bez toho, aby boli dotknuté vnútroštátne ustanovenia, na základe ktorých môže vnú</w:t>
      </w:r>
      <w:r>
        <w:rPr>
          <w:rFonts w:eastAsia="Calibri"/>
          <w:noProof/>
          <w:szCs w:val="22"/>
          <w:lang w:eastAsia="en-US"/>
        </w:rPr>
        <w:t xml:space="preserve">troštátny súd priznať veriteľovi náhradu v súvislosti s akoukoľvek ďalšou škodou týkajúcou sa oneskorenej platby dlžníka. </w:t>
      </w:r>
      <w:r>
        <w:rPr>
          <w:rFonts w:eastAsia="Calibri"/>
          <w:b/>
          <w:noProof/>
          <w:szCs w:val="22"/>
          <w:lang w:eastAsia="en-US"/>
        </w:rPr>
        <w:t xml:space="preserve"> [Am. 8]</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b/>
          <w:i/>
          <w:szCs w:val="22"/>
          <w:lang w:eastAsia="en-US"/>
        </w:rPr>
        <w:lastRenderedPageBreak/>
        <w:t>(</w:t>
      </w:r>
      <w:proofErr w:type="spellStart"/>
      <w:r>
        <w:rPr>
          <w:rFonts w:eastAsia="Calibri"/>
          <w:b/>
          <w:i/>
          <w:szCs w:val="22"/>
          <w:lang w:eastAsia="en-US"/>
        </w:rPr>
        <w:t>18a</w:t>
      </w:r>
      <w:proofErr w:type="spellEnd"/>
      <w:r>
        <w:rPr>
          <w:rFonts w:eastAsia="Calibri"/>
          <w:b/>
          <w:i/>
          <w:szCs w:val="22"/>
          <w:lang w:eastAsia="en-US"/>
        </w:rPr>
        <w:t>)</w:t>
      </w:r>
      <w:r>
        <w:rPr>
          <w:rFonts w:eastAsia="Calibri"/>
          <w:b/>
          <w:i/>
          <w:szCs w:val="22"/>
          <w:lang w:eastAsia="en-US"/>
        </w:rPr>
        <w:tab/>
        <w:t>Týmto nariadením sa podporuje zmluvná sloboda a vykonávanie článku 16 Charty základných práv o slobode podnikania. Na</w:t>
      </w:r>
      <w:r>
        <w:rPr>
          <w:rFonts w:eastAsia="Calibri"/>
          <w:b/>
          <w:i/>
          <w:szCs w:val="22"/>
          <w:lang w:eastAsia="en-US"/>
        </w:rPr>
        <w:t xml:space="preserve"> tento účel toto nariadenie ponecháva výber zmluvných vzťahov, ako aj typ zmluvy a jej modality na zmluvné strany. Výber rôznych typov zmlúv vrátane zmlúv o zásielkach, ak sa faktúra vyhotovuje v dohodnutom čase po dodaní tovaru, nie je žiadnym spôsobom ob</w:t>
      </w:r>
      <w:r>
        <w:rPr>
          <w:rFonts w:eastAsia="Calibri"/>
          <w:b/>
          <w:i/>
          <w:szCs w:val="22"/>
          <w:lang w:eastAsia="en-US"/>
        </w:rPr>
        <w:t>medzený. V prípade zmlúv o zásielkach alebo iných podobných typov zmlúv by sa lehoty stanovené v tomto nariadení mali uplatňovať po doručení faktúry. Keďže toto nariadenie kladie dôraz na lehotu splatnosti po vystavení faktúry, čím prispieva k celkovému zl</w:t>
      </w:r>
      <w:r>
        <w:rPr>
          <w:rFonts w:eastAsia="Calibri"/>
          <w:b/>
          <w:i/>
          <w:szCs w:val="22"/>
          <w:lang w:eastAsia="en-US"/>
        </w:rPr>
        <w:t>epšeniu platobnej kultúry, a len zabezpečuje, aby sa dohodami o lehote splatnosti nezneužívala zmluvná sloboda v neprospech veriteľa, zmluvné strany by mali mať možnosť využívať zmluvnú slobodu a súhlasiť s uprednostňovaným typom dohody.</w:t>
      </w:r>
      <w:r>
        <w:rPr>
          <w:rFonts w:eastAsia="Calibri"/>
          <w:b/>
          <w:szCs w:val="22"/>
          <w:lang w:eastAsia="en-US"/>
        </w:rPr>
        <w:t xml:space="preserve"> [Am. 9]</w:t>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t>(19)</w:t>
      </w:r>
      <w:r>
        <w:rPr>
          <w:rFonts w:eastAsia="Calibri"/>
          <w:noProof/>
          <w:szCs w:val="22"/>
          <w:lang w:eastAsia="en-US"/>
        </w:rPr>
        <w:tab/>
        <w:t xml:space="preserve">Malo </w:t>
      </w:r>
      <w:r>
        <w:rPr>
          <w:rFonts w:eastAsia="Calibri"/>
          <w:noProof/>
          <w:szCs w:val="22"/>
          <w:lang w:eastAsia="en-US"/>
        </w:rPr>
        <w:t>by byť možné uskutočňovať platby v splátkach alebo pomocou rozloženia platieb. Každá jednotlivá splátka alebo platba by však mala byť uhradená na základe dohodnutých podmienok a podľa pravidiel pre oneskorené platby stanovených v tomto nariadení.</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noProof/>
          <w:szCs w:val="22"/>
          <w:lang w:eastAsia="en-US"/>
        </w:rPr>
      </w:pPr>
      <w:r>
        <w:rPr>
          <w:rFonts w:eastAsia="Calibri"/>
          <w:noProof/>
          <w:szCs w:val="22"/>
          <w:lang w:eastAsia="en-US"/>
        </w:rPr>
        <w:lastRenderedPageBreak/>
        <w:t>(20)</w:t>
      </w:r>
      <w:r>
        <w:rPr>
          <w:rFonts w:eastAsia="Calibri"/>
          <w:noProof/>
          <w:szCs w:val="22"/>
          <w:lang w:eastAsia="en-US"/>
        </w:rPr>
        <w:tab/>
        <w:t>Ok</w:t>
      </w:r>
      <w:r>
        <w:rPr>
          <w:rFonts w:eastAsia="Calibri"/>
          <w:noProof/>
          <w:szCs w:val="22"/>
          <w:lang w:eastAsia="en-US"/>
        </w:rPr>
        <w:t>rem pevne stanovenej sumy na pokrytie interných nákladov na vymáhanie by veritelia takisto mali mať nárok na primeranú náhradu ostatných nákladov na vymáhanie, ktoré im vzniknú v dôsledku oneskorenej platby dlžníka. Takéto náklady by mali zahŕňať napríklad</w:t>
      </w:r>
      <w:r>
        <w:rPr>
          <w:rFonts w:eastAsia="Calibri"/>
          <w:noProof/>
          <w:szCs w:val="22"/>
          <w:lang w:eastAsia="en-US"/>
        </w:rPr>
        <w:t xml:space="preserve"> náklady, ktoré vznikli veriteľom v dôsledku využitia služieb právnika alebo spoločnosti vymáhajúcej pohľadávky.</w:t>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t>(21)</w:t>
      </w:r>
      <w:r>
        <w:rPr>
          <w:rFonts w:eastAsia="Calibri"/>
          <w:noProof/>
          <w:szCs w:val="22"/>
          <w:lang w:eastAsia="en-US"/>
        </w:rPr>
        <w:tab/>
        <w:t>Malo by sa zabrániť zneužívaniu zmluvnej slobody v neprospech veriteľa. Ak v dôsledku toho ustanovenie v zmluve alebo praktika, ktoré sa t</w:t>
      </w:r>
      <w:r>
        <w:rPr>
          <w:rFonts w:eastAsia="Calibri"/>
          <w:noProof/>
          <w:szCs w:val="22"/>
          <w:lang w:eastAsia="en-US"/>
        </w:rPr>
        <w:t xml:space="preserve">ýkajú dátumu alebo lehoty splatnosti, platby alebo sadzby úroku z omeškania, náhrady nákladov na vymáhanie, predĺženia trvania postupu overovania alebo prijímania </w:t>
      </w:r>
      <w:r>
        <w:rPr>
          <w:rFonts w:eastAsia="Calibri"/>
          <w:strike/>
          <w:noProof/>
          <w:szCs w:val="22"/>
          <w:lang w:eastAsia="en-US"/>
        </w:rPr>
        <w:t>či úmyselného zdržania</w:t>
      </w:r>
      <w:r>
        <w:rPr>
          <w:rFonts w:eastAsia="Calibri"/>
          <w:noProof/>
          <w:szCs w:val="22"/>
          <w:lang w:eastAsia="en-US"/>
        </w:rPr>
        <w:t xml:space="preserve"> alebo zabránenia momentu odoslania faktúry, nie sú v súlade s týmto na</w:t>
      </w:r>
      <w:r>
        <w:rPr>
          <w:rFonts w:eastAsia="Calibri"/>
          <w:noProof/>
          <w:szCs w:val="22"/>
          <w:lang w:eastAsia="en-US"/>
        </w:rPr>
        <w:t xml:space="preserve">riadením, mali by byť neplatné </w:t>
      </w:r>
      <w:r>
        <w:rPr>
          <w:rFonts w:eastAsia="Calibri"/>
          <w:b/>
          <w:i/>
          <w:szCs w:val="22"/>
          <w:lang w:eastAsia="en-US"/>
        </w:rPr>
        <w:t>a v každom prípade zakázané</w:t>
      </w:r>
      <w:r>
        <w:rPr>
          <w:rFonts w:eastAsia="Calibri"/>
          <w:noProof/>
          <w:szCs w:val="22"/>
          <w:lang w:eastAsia="en-US"/>
        </w:rPr>
        <w:t xml:space="preserve">. </w:t>
      </w:r>
      <w:r>
        <w:rPr>
          <w:rFonts w:eastAsia="Calibri"/>
          <w:b/>
          <w:i/>
          <w:szCs w:val="22"/>
          <w:lang w:eastAsia="en-US"/>
        </w:rPr>
        <w:t>V rovnakom duchu by sa mali zakázať aj určité praktiky, ktoré vedú k zneužitiu zmluvnej slobody v neprospech veriteľa. Dlžník by nemal mať možnosť zabrániť postúpeniu pohľadávok tretím stranám ale</w:t>
      </w:r>
      <w:r>
        <w:rPr>
          <w:rFonts w:eastAsia="Calibri"/>
          <w:b/>
          <w:i/>
          <w:szCs w:val="22"/>
          <w:lang w:eastAsia="en-US"/>
        </w:rPr>
        <w:t>bo použitiu exekučného príkazu vydaného súdom zo strany veriteľa, ani by nemal mať možnosť ich obmedziť.</w:t>
      </w:r>
      <w:r>
        <w:rPr>
          <w:rFonts w:eastAsia="Calibri"/>
          <w:b/>
          <w:szCs w:val="22"/>
          <w:lang w:eastAsia="en-US"/>
        </w:rPr>
        <w:t xml:space="preserve"> [Am. 10]</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(22)</w:t>
      </w:r>
      <w:r>
        <w:rPr>
          <w:rFonts w:eastAsia="Calibri"/>
          <w:noProof/>
          <w:szCs w:val="22"/>
          <w:lang w:eastAsia="en-US"/>
        </w:rPr>
        <w:tab/>
      </w:r>
      <w:r>
        <w:rPr>
          <w:rFonts w:eastAsia="Calibri"/>
          <w:noProof/>
          <w:szCs w:val="22"/>
          <w:lang w:eastAsia="en-US"/>
        </w:rPr>
        <w:t xml:space="preserve">Aby sa podporilo úsilie o zamedzenie zneužívania zmluvnej slobody na ujmu veriteľov, organizácie oficiálne uznané ako organizácie zastupujúce veriteľov alebo organizácie s legitímnym záujmom na zastupovaní podnikov by s cieľom zabrániť oneskoreným platbám </w:t>
      </w:r>
      <w:r>
        <w:rPr>
          <w:rFonts w:eastAsia="Calibri"/>
          <w:noProof/>
          <w:szCs w:val="22"/>
          <w:lang w:eastAsia="en-US"/>
        </w:rPr>
        <w:t xml:space="preserve">mali mať možnosť podať žalobu na vnútroštátnom súde alebo správnom orgáne </w:t>
      </w:r>
      <w:r>
        <w:rPr>
          <w:rFonts w:eastAsia="Calibri"/>
          <w:b/>
          <w:i/>
          <w:szCs w:val="22"/>
          <w:lang w:eastAsia="en-US"/>
        </w:rPr>
        <w:t>a ukončiť neplatné zmluvné podmienky a praktiky</w:t>
      </w:r>
      <w:r>
        <w:rPr>
          <w:rFonts w:eastAsia="Calibri"/>
          <w:noProof/>
          <w:szCs w:val="22"/>
          <w:lang w:eastAsia="en-US"/>
        </w:rPr>
        <w:t xml:space="preserve">. </w:t>
      </w:r>
      <w:r>
        <w:rPr>
          <w:rFonts w:eastAsia="Calibri"/>
          <w:b/>
          <w:noProof/>
          <w:szCs w:val="22"/>
          <w:lang w:eastAsia="en-US"/>
        </w:rPr>
        <w:t xml:space="preserve"> [Am. 11]</w:t>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t>(23)</w:t>
      </w:r>
      <w:r>
        <w:rPr>
          <w:rFonts w:eastAsia="Calibri"/>
          <w:noProof/>
          <w:szCs w:val="22"/>
          <w:lang w:eastAsia="en-US"/>
        </w:rPr>
        <w:tab/>
        <w:t xml:space="preserve">V snahe zaručiť úplné zaplatenie splatnej sumy je dôležité zabezpečiť, aby predávajúcemu zostalo zachované vlastnícke </w:t>
      </w:r>
      <w:r>
        <w:rPr>
          <w:rFonts w:eastAsia="Calibri"/>
          <w:noProof/>
          <w:szCs w:val="22"/>
          <w:lang w:eastAsia="en-US"/>
        </w:rPr>
        <w:t xml:space="preserve">právo k tovaru až do úplného zaplatenia jeho ceny, ak výhrada vlastníctva bola výslovne dohodnutá medzi kupujúcim a predávajúcim pred dodaním tovaru. </w:t>
      </w:r>
      <w:r>
        <w:rPr>
          <w:rFonts w:eastAsia="Calibri"/>
          <w:b/>
          <w:i/>
          <w:szCs w:val="22"/>
          <w:lang w:eastAsia="en-US"/>
        </w:rPr>
        <w:t>S cieľom zohľadniť osobitosti určitých druhov tovaru, ktoré sa vyznačujú pomalou rotáciou, môžu predajcovi</w:t>
      </w:r>
      <w:r>
        <w:rPr>
          <w:rFonts w:eastAsia="Calibri"/>
          <w:b/>
          <w:i/>
          <w:szCs w:val="22"/>
          <w:lang w:eastAsia="en-US"/>
        </w:rPr>
        <w:t>a využiť aj výhradu vlastníctva na to, aby kupujúcim ponúkli rozšírený úver, ktorý je stále v súlade s týmto nariadením, napríklad pri zásielkovom predaji.</w:t>
      </w:r>
      <w:r>
        <w:rPr>
          <w:rFonts w:eastAsia="Calibri"/>
          <w:b/>
          <w:noProof/>
          <w:szCs w:val="22"/>
          <w:lang w:eastAsia="en-US"/>
        </w:rPr>
        <w:t xml:space="preserve"> [Am. 12]</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(24)</w:t>
      </w:r>
      <w:r>
        <w:rPr>
          <w:rFonts w:eastAsia="Calibri"/>
          <w:noProof/>
          <w:szCs w:val="22"/>
          <w:lang w:eastAsia="en-US"/>
        </w:rPr>
        <w:tab/>
      </w:r>
      <w:r>
        <w:rPr>
          <w:rFonts w:eastAsia="Calibri"/>
          <w:noProof/>
          <w:szCs w:val="22"/>
          <w:lang w:eastAsia="en-US"/>
        </w:rPr>
        <w:t xml:space="preserve">V záujme zabezpečenia správneho uplatňovania tohto nariadenia je dôležité zaistiť transparentnosť, pokiaľ ide o práva a povinnosti stanovené v tomto nariadení. S cieľom zabezpečiť uplatňovanie správnych úrokových sadzieb je dôležité, aby ich členské štáty </w:t>
      </w:r>
      <w:r>
        <w:rPr>
          <w:rFonts w:eastAsia="Calibri"/>
          <w:noProof/>
          <w:szCs w:val="22"/>
          <w:lang w:eastAsia="en-US"/>
        </w:rPr>
        <w:t xml:space="preserve">a Komisia zverejnili. </w:t>
      </w:r>
      <w:r>
        <w:rPr>
          <w:rFonts w:eastAsia="Calibri"/>
          <w:b/>
          <w:i/>
          <w:szCs w:val="22"/>
          <w:lang w:eastAsia="en-US"/>
        </w:rPr>
        <w:t>S cieľom prispieť k dosiahnutiu cieľa tohto nariadenia by členské štáty mali prostredníctvom publikácií a kampaní zvýšiť informovanosť podnikov o opravných prostriedkoch v prípade oneskorených platieb a mali by podporovať šírenie osve</w:t>
      </w:r>
      <w:r>
        <w:rPr>
          <w:rFonts w:eastAsia="Calibri"/>
          <w:b/>
          <w:i/>
          <w:szCs w:val="22"/>
          <w:lang w:eastAsia="en-US"/>
        </w:rPr>
        <w:t>dčených postupov.</w:t>
      </w:r>
      <w:r>
        <w:rPr>
          <w:rFonts w:eastAsia="Calibri"/>
          <w:b/>
          <w:szCs w:val="22"/>
          <w:lang w:eastAsia="en-US"/>
        </w:rPr>
        <w:t xml:space="preserve"> [Am. 13]</w:t>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t>(25)</w:t>
      </w:r>
      <w:r>
        <w:rPr>
          <w:rFonts w:eastAsia="Calibri"/>
          <w:noProof/>
          <w:szCs w:val="22"/>
          <w:lang w:eastAsia="en-US"/>
        </w:rPr>
        <w:tab/>
        <w:t>Sankcie za oneskorené platby môžu odrádzať, len ak budú sprevádzané postupmi na dosiahnutie nápravy, ktoré sú z pohľadu veriteľa rýchle a účinné. Všetci veritelia so sídlom v Únii by preto mali mať k dispozícii účelné postup</w:t>
      </w:r>
      <w:r>
        <w:rPr>
          <w:rFonts w:eastAsia="Calibri"/>
          <w:noProof/>
          <w:szCs w:val="22"/>
          <w:lang w:eastAsia="en-US"/>
        </w:rPr>
        <w:t xml:space="preserve">y vymáhania nesporných pohľadávok </w:t>
      </w:r>
      <w:r>
        <w:rPr>
          <w:rFonts w:eastAsia="Calibri"/>
          <w:b/>
          <w:i/>
          <w:szCs w:val="22"/>
          <w:lang w:eastAsia="en-US"/>
        </w:rPr>
        <w:t>v súlade so zásadou nediskriminácie stanovenou v článku 18 Zmluvy o fungovaní Európskej únie (</w:t>
      </w:r>
      <w:proofErr w:type="spellStart"/>
      <w:r>
        <w:rPr>
          <w:rFonts w:eastAsia="Calibri"/>
          <w:b/>
          <w:i/>
          <w:szCs w:val="22"/>
          <w:lang w:eastAsia="en-US"/>
        </w:rPr>
        <w:t>ZFEÚ</w:t>
      </w:r>
      <w:proofErr w:type="spellEnd"/>
      <w:r>
        <w:rPr>
          <w:rFonts w:eastAsia="Calibri"/>
          <w:b/>
          <w:i/>
          <w:szCs w:val="22"/>
          <w:lang w:eastAsia="en-US"/>
        </w:rPr>
        <w:t>)</w:t>
      </w:r>
      <w:r>
        <w:rPr>
          <w:rFonts w:eastAsia="Calibri"/>
          <w:noProof/>
          <w:szCs w:val="22"/>
          <w:lang w:eastAsia="en-US"/>
        </w:rPr>
        <w:t>.</w:t>
      </w:r>
      <w:r>
        <w:rPr>
          <w:rFonts w:eastAsia="Calibri"/>
          <w:b/>
          <w:noProof/>
          <w:szCs w:val="22"/>
          <w:lang w:eastAsia="en-US"/>
        </w:rPr>
        <w:t xml:space="preserve"> [Am. 14]</w:t>
      </w:r>
    </w:p>
    <w:p w:rsidR="00166001" w:rsidRDefault="00992344">
      <w:pPr>
        <w:widowControl/>
        <w:rPr>
          <w:rFonts w:eastAsia="Calibri"/>
          <w:noProof/>
          <w:szCs w:val="22"/>
          <w:lang w:eastAsia="en-US"/>
        </w:rPr>
      </w:pPr>
      <w:bookmarkStart w:id="11" w:name="_Hlk145078016"/>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(26)</w:t>
      </w:r>
      <w:r>
        <w:rPr>
          <w:rFonts w:eastAsia="Calibri"/>
          <w:noProof/>
          <w:szCs w:val="22"/>
          <w:lang w:eastAsia="en-US"/>
        </w:rPr>
        <w:tab/>
        <w:t xml:space="preserve">S cieľom uľahčiť a zabezpečiť súlad s týmto nariadením by členské štáty mali určiť </w:t>
      </w:r>
      <w:r>
        <w:rPr>
          <w:rFonts w:eastAsia="Calibri"/>
          <w:b/>
          <w:i/>
          <w:szCs w:val="22"/>
          <w:lang w:eastAsia="en-US"/>
        </w:rPr>
        <w:t xml:space="preserve">nezávislé </w:t>
      </w:r>
      <w:r>
        <w:rPr>
          <w:rFonts w:eastAsia="Calibri"/>
          <w:noProof/>
          <w:szCs w:val="22"/>
          <w:lang w:eastAsia="en-US"/>
        </w:rPr>
        <w:t>orgány zodpo</w:t>
      </w:r>
      <w:r>
        <w:rPr>
          <w:rFonts w:eastAsia="Calibri"/>
          <w:noProof/>
          <w:szCs w:val="22"/>
          <w:lang w:eastAsia="en-US"/>
        </w:rPr>
        <w:t xml:space="preserve">vedné za jeho presadzovanie, ktoré plnia svoje povinnosti a úlohy objektívnym a spravodlivým spôsobom a zabezpečujú rovnaké zaobchádzanie so súkromnými podnikmi a orgánmi verejnej moci. </w:t>
      </w:r>
      <w:bookmarkEnd w:id="11"/>
      <w:r>
        <w:rPr>
          <w:rFonts w:eastAsia="Calibri"/>
          <w:noProof/>
          <w:szCs w:val="22"/>
          <w:lang w:eastAsia="en-US"/>
        </w:rPr>
        <w:t>Tieto orgány presadzovania práva by mali vykonávať vyšetrovania z vlas</w:t>
      </w:r>
      <w:r>
        <w:rPr>
          <w:rFonts w:eastAsia="Calibri"/>
          <w:noProof/>
          <w:szCs w:val="22"/>
          <w:lang w:eastAsia="en-US"/>
        </w:rPr>
        <w:t xml:space="preserve">tnej iniciatívy, konať na základe sťažností, </w:t>
      </w:r>
      <w:r>
        <w:rPr>
          <w:rFonts w:eastAsia="Calibri"/>
          <w:b/>
          <w:i/>
          <w:szCs w:val="22"/>
          <w:lang w:eastAsia="en-US"/>
        </w:rPr>
        <w:t xml:space="preserve">vrátane anonymných sťažností alebo oznámení, </w:t>
      </w:r>
      <w:r>
        <w:rPr>
          <w:rFonts w:eastAsia="Calibri"/>
          <w:noProof/>
          <w:szCs w:val="22"/>
          <w:lang w:eastAsia="en-US"/>
        </w:rPr>
        <w:t>pričom by mali byť okrem iného oprávnené ukladať sankcie a pravidelne zverejňovať svoje rozhodnutia. Okrem toho by členské štáty v záujme účinnejšieho presadzovania m</w:t>
      </w:r>
      <w:r>
        <w:rPr>
          <w:rFonts w:eastAsia="Calibri"/>
          <w:noProof/>
          <w:szCs w:val="22"/>
          <w:lang w:eastAsia="en-US"/>
        </w:rPr>
        <w:t xml:space="preserve">ali </w:t>
      </w:r>
      <w:r>
        <w:rPr>
          <w:rFonts w:eastAsia="Calibri"/>
          <w:strike/>
          <w:noProof/>
          <w:szCs w:val="22"/>
          <w:lang w:eastAsia="en-US"/>
        </w:rPr>
        <w:t>v čo najväčšej možnej miere využívať digitálne nástroje</w:t>
      </w:r>
      <w:r>
        <w:rPr>
          <w:rFonts w:eastAsia="Calibri"/>
          <w:b/>
          <w:i/>
          <w:szCs w:val="22"/>
          <w:lang w:eastAsia="en-US"/>
        </w:rPr>
        <w:t>využívať digitálne nástroje, aby uľahčili tento proces. Komisia by mala posúdiť, ako orgány presadzovania práva vykonávajú úlohy, ktoré im boli zverené týmto nariadením</w:t>
      </w:r>
      <w:r>
        <w:rPr>
          <w:rFonts w:eastAsia="Calibri"/>
          <w:noProof/>
          <w:szCs w:val="22"/>
          <w:lang w:eastAsia="en-US"/>
        </w:rPr>
        <w:t xml:space="preserve">. </w:t>
      </w:r>
      <w:r>
        <w:rPr>
          <w:rFonts w:eastAsia="Calibri"/>
          <w:b/>
          <w:noProof/>
          <w:szCs w:val="22"/>
          <w:lang w:eastAsia="en-US"/>
        </w:rPr>
        <w:t>[Am. 15]</w:t>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t>(27)</w:t>
      </w:r>
      <w:r>
        <w:rPr>
          <w:rFonts w:eastAsia="Calibri"/>
          <w:noProof/>
          <w:szCs w:val="22"/>
          <w:lang w:eastAsia="en-US"/>
        </w:rPr>
        <w:tab/>
        <w:t>S cieľom zabe</w:t>
      </w:r>
      <w:r>
        <w:rPr>
          <w:rFonts w:eastAsia="Calibri"/>
          <w:noProof/>
          <w:szCs w:val="22"/>
          <w:lang w:eastAsia="en-US"/>
        </w:rPr>
        <w:t xml:space="preserve">zpečiť jednoduché a dostupné prostriedky nápravy by členské štáty mali podporovať dobrovoľné využívanie účinného a nezávislého mechanizmu alternatívneho riešenia sporov na riešenie platobných sporov v obchodných transakciách. </w:t>
      </w:r>
      <w:r>
        <w:rPr>
          <w:rFonts w:eastAsia="Calibri"/>
          <w:b/>
          <w:i/>
          <w:szCs w:val="22"/>
          <w:lang w:eastAsia="en-US"/>
        </w:rPr>
        <w:t>Členské štáty by mohli určiť s</w:t>
      </w:r>
      <w:r>
        <w:rPr>
          <w:rFonts w:eastAsia="Calibri"/>
          <w:b/>
          <w:i/>
          <w:szCs w:val="22"/>
          <w:lang w:eastAsia="en-US"/>
        </w:rPr>
        <w:t>voje obchodné a priemyselné komory za orgány zodpovedné za alternatívne riešenie sporov za predpokladu, že preukážu nestrannosť a nezávislosť od strán. Keďže strany môžu začať rokovania s cieľom dosiahnuť priateľské urovnanie sporných dlhov, takéto urovnan</w:t>
      </w:r>
      <w:r>
        <w:rPr>
          <w:rFonts w:eastAsia="Calibri"/>
          <w:b/>
          <w:i/>
          <w:szCs w:val="22"/>
          <w:lang w:eastAsia="en-US"/>
        </w:rPr>
        <w:t>ia môžu zahŕňať úpravu úrokov a nárokov na náhradu škody za predpokladu, že sú v súlade so zásadami spravodlivosti a neprimerane neznevýhodňujú veriteľa.</w:t>
      </w:r>
      <w:r>
        <w:rPr>
          <w:rFonts w:eastAsia="Calibri"/>
          <w:b/>
          <w:noProof/>
          <w:szCs w:val="22"/>
          <w:lang w:eastAsia="en-US"/>
        </w:rPr>
        <w:t xml:space="preserve"> [Am. 16]</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b/>
          <w:i/>
          <w:szCs w:val="22"/>
          <w:lang w:eastAsia="en-US"/>
        </w:rPr>
        <w:lastRenderedPageBreak/>
        <w:t>(</w:t>
      </w:r>
      <w:proofErr w:type="spellStart"/>
      <w:r>
        <w:rPr>
          <w:rFonts w:eastAsia="Calibri"/>
          <w:b/>
          <w:i/>
          <w:szCs w:val="22"/>
          <w:lang w:eastAsia="en-US"/>
        </w:rPr>
        <w:t>27a</w:t>
      </w:r>
      <w:proofErr w:type="spellEnd"/>
      <w:r>
        <w:rPr>
          <w:rFonts w:eastAsia="Calibri"/>
          <w:b/>
          <w:i/>
          <w:szCs w:val="22"/>
          <w:lang w:eastAsia="en-US"/>
        </w:rPr>
        <w:t>)</w:t>
      </w:r>
      <w:r>
        <w:rPr>
          <w:rFonts w:eastAsia="Calibri"/>
          <w:b/>
          <w:i/>
          <w:szCs w:val="22"/>
          <w:lang w:eastAsia="en-US"/>
        </w:rPr>
        <w:tab/>
        <w:t>Vzhľadom na to, že je potrebné zvýšiť transparentnosť a zodpovednosť pri obchodných t</w:t>
      </w:r>
      <w:r>
        <w:rPr>
          <w:rFonts w:eastAsia="Calibri"/>
          <w:b/>
          <w:i/>
          <w:szCs w:val="22"/>
          <w:lang w:eastAsia="en-US"/>
        </w:rPr>
        <w:t>ransakciách a v súlade s cieľmi podpory zodpovedného finančného riadenia a spravodlivých obchodných postupov je nevyhnutné zaviesť osobitné oznamovacie povinnosti pre verejných obstarávateľov, ako sa uvádza v článku 2 ods. 1 smernice 2014/24/EÚ. Verejní ob</w:t>
      </w:r>
      <w:r>
        <w:rPr>
          <w:rFonts w:eastAsia="Calibri"/>
          <w:b/>
          <w:i/>
          <w:szCs w:val="22"/>
          <w:lang w:eastAsia="en-US"/>
        </w:rPr>
        <w:t>starávatelia by mali každoročne podávať správy o svojich platobných postupoch a poskytovať podrobné informácie o tom, ako rýchlo uskutočňujú svoje platby. Štruktúrovaný prístup k oznamovaniu je potrebný na podporu väčšej transparentnosti platobných postupo</w:t>
      </w:r>
      <w:r>
        <w:rPr>
          <w:rFonts w:eastAsia="Calibri"/>
          <w:b/>
          <w:i/>
          <w:szCs w:val="22"/>
          <w:lang w:eastAsia="en-US"/>
        </w:rPr>
        <w:t xml:space="preserve">v a na pomoc pri určovaní oblastí, v ktorých sú potrebné zlepšenia. Oznamovacia povinnosť by mala zahŕňať zverejňovanie súm v eurách vyplatených v rôznych časových rámcoch po termíne splatnosti stanovenom v tomto nariadení. Podrobné správy by mali zahŕňať </w:t>
      </w:r>
      <w:r>
        <w:rPr>
          <w:rFonts w:eastAsia="Calibri"/>
          <w:b/>
          <w:i/>
          <w:szCs w:val="22"/>
          <w:lang w:eastAsia="en-US"/>
        </w:rPr>
        <w:t xml:space="preserve">kategorizáciu platieb uskutočnených v intervaloch 1 až 30 dní, 31 až 60 dní, 61 až 90 dní a viac ako 90 dní po stanovenej platobnej lehote a súčasťou správy by mal byť aj priemerný čas potrebný na zaplatenie faktúry. S cieľom zabezpečiť, aby sa informácie </w:t>
      </w:r>
      <w:r>
        <w:rPr>
          <w:rFonts w:eastAsia="Calibri"/>
          <w:b/>
          <w:i/>
          <w:szCs w:val="22"/>
          <w:lang w:eastAsia="en-US"/>
        </w:rPr>
        <w:t>nepoužívali len na dodržiavanie regulačných predpisov, ale slúžili aj ako nástroj verejnej kontroly a podporovali najlepšie postupy v oblasti platobnej disciplíny, by správy mali byť verejne dostupné a mali by sa predkladať v elektronickom formáte príslušn</w:t>
      </w:r>
      <w:r>
        <w:rPr>
          <w:rFonts w:eastAsia="Calibri"/>
          <w:b/>
          <w:i/>
          <w:szCs w:val="22"/>
          <w:lang w:eastAsia="en-US"/>
        </w:rPr>
        <w:t>ému orgánu presadzovania práva členského štátu.</w:t>
      </w:r>
      <w:r>
        <w:rPr>
          <w:rFonts w:eastAsia="Calibri"/>
          <w:b/>
          <w:szCs w:val="22"/>
          <w:lang w:eastAsia="en-US"/>
        </w:rPr>
        <w:t xml:space="preserve"> [Am. 17]</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(28)</w:t>
      </w:r>
      <w:r>
        <w:rPr>
          <w:rFonts w:eastAsia="Calibri"/>
          <w:noProof/>
          <w:szCs w:val="22"/>
          <w:lang w:eastAsia="en-US"/>
        </w:rPr>
        <w:tab/>
        <w:t>Faktúry vedú k výzvam na zaplatenie a predstavujú dôležité dokumenty v reťazci transakcií na účel dodávky tovaru a poskytovania služieb, pričom okrem iného umožňujú stanovenie termínov splatno</w:t>
      </w:r>
      <w:r>
        <w:rPr>
          <w:rFonts w:eastAsia="Calibri"/>
          <w:noProof/>
          <w:szCs w:val="22"/>
          <w:lang w:eastAsia="en-US"/>
        </w:rPr>
        <w:t xml:space="preserve">sti. Je dôležité podporovať systémy, ktoré poskytujú právnu istotu, pokiaľ ide o presný dátum prijatia faktúr dlžníkmi, a to aj v oblasti elektronickej fakturácie, kde by prijatie faktúr mohlo generovať elektronické dôkazy </w:t>
      </w:r>
      <w:r>
        <w:rPr>
          <w:rFonts w:eastAsia="Calibri"/>
          <w:b/>
          <w:i/>
          <w:szCs w:val="22"/>
          <w:lang w:eastAsia="en-US"/>
        </w:rPr>
        <w:t>a takisto pomôcť zlepšiť dodržiav</w:t>
      </w:r>
      <w:r>
        <w:rPr>
          <w:rFonts w:eastAsia="Calibri"/>
          <w:b/>
          <w:i/>
          <w:szCs w:val="22"/>
          <w:lang w:eastAsia="en-US"/>
        </w:rPr>
        <w:t>anie povinností v oblasti DPH</w:t>
      </w:r>
      <w:r>
        <w:rPr>
          <w:rFonts w:eastAsia="Calibri"/>
          <w:noProof/>
          <w:szCs w:val="22"/>
          <w:lang w:eastAsia="en-US"/>
        </w:rPr>
        <w:t>, a ktoré sa čiastočne riadia ustanoveniami o fakturácii uvedenými v smernici Rady 2006/112/ES</w:t>
      </w:r>
      <w:r>
        <w:rPr>
          <w:rFonts w:eastAsia="Calibri"/>
          <w:noProof/>
          <w:szCs w:val="22"/>
          <w:vertAlign w:val="superscript"/>
          <w:lang w:eastAsia="en-US"/>
        </w:rPr>
        <w:footnoteReference w:id="17"/>
      </w:r>
      <w:r>
        <w:rPr>
          <w:rFonts w:eastAsia="Calibri"/>
          <w:noProof/>
          <w:szCs w:val="22"/>
          <w:lang w:eastAsia="en-US"/>
        </w:rPr>
        <w:t xml:space="preserve"> a v smernici Európskeho parlamentu a Rady 2014/55/EÚ</w:t>
      </w:r>
      <w:r>
        <w:rPr>
          <w:rFonts w:eastAsia="Calibri"/>
          <w:noProof/>
          <w:szCs w:val="22"/>
          <w:vertAlign w:val="superscript"/>
          <w:lang w:eastAsia="en-US"/>
        </w:rPr>
        <w:footnoteReference w:id="18"/>
      </w:r>
      <w:r>
        <w:rPr>
          <w:rFonts w:eastAsia="Calibri"/>
          <w:noProof/>
          <w:szCs w:val="22"/>
          <w:lang w:eastAsia="en-US"/>
        </w:rPr>
        <w:t xml:space="preserve">. </w:t>
      </w:r>
      <w:r>
        <w:rPr>
          <w:rFonts w:eastAsia="Calibri"/>
          <w:b/>
          <w:noProof/>
          <w:szCs w:val="22"/>
          <w:lang w:eastAsia="en-US"/>
        </w:rPr>
        <w:t xml:space="preserve"> [Am. 18]</w:t>
      </w:r>
    </w:p>
    <w:p w:rsidR="00166001" w:rsidRDefault="00992344">
      <w:pPr>
        <w:widowControl/>
        <w:spacing w:before="120" w:after="120" w:line="360" w:lineRule="auto"/>
        <w:ind w:left="851" w:hanging="851"/>
        <w:rPr>
          <w:rFonts w:eastAsia="Calibri"/>
          <w:b/>
          <w:noProof/>
          <w:szCs w:val="22"/>
          <w:lang w:eastAsia="en-US"/>
        </w:rPr>
      </w:pPr>
      <w:r>
        <w:rPr>
          <w:rFonts w:eastAsia="Calibri"/>
          <w:b/>
          <w:i/>
          <w:szCs w:val="22"/>
          <w:lang w:eastAsia="en-US"/>
        </w:rPr>
        <w:t>(</w:t>
      </w:r>
      <w:proofErr w:type="spellStart"/>
      <w:r>
        <w:rPr>
          <w:rFonts w:eastAsia="Calibri"/>
          <w:b/>
          <w:i/>
          <w:szCs w:val="22"/>
          <w:lang w:eastAsia="en-US"/>
        </w:rPr>
        <w:t>28a</w:t>
      </w:r>
      <w:proofErr w:type="spellEnd"/>
      <w:r>
        <w:rPr>
          <w:rFonts w:eastAsia="Calibri"/>
          <w:b/>
          <w:i/>
          <w:szCs w:val="22"/>
          <w:lang w:eastAsia="en-US"/>
        </w:rPr>
        <w:t>)</w:t>
      </w:r>
      <w:r>
        <w:rPr>
          <w:rFonts w:eastAsia="Calibri"/>
          <w:b/>
          <w:i/>
          <w:szCs w:val="22"/>
          <w:lang w:eastAsia="en-US"/>
        </w:rPr>
        <w:tab/>
        <w:t>Postupné zavádzanie povinnej elektronickej fakturácie môže s</w:t>
      </w:r>
      <w:r>
        <w:rPr>
          <w:rFonts w:eastAsia="Calibri"/>
          <w:b/>
          <w:i/>
          <w:szCs w:val="22"/>
          <w:lang w:eastAsia="en-US"/>
        </w:rPr>
        <w:t>krátiť časy platieb, zvýšiť kontrolu platieb a podporiť prechod MSP na digitálne technológie. Vnútroštátne orgány by mali podporovať MSP zabezpečením primeranej infraštruktúry a podpory.</w:t>
      </w:r>
      <w:r>
        <w:rPr>
          <w:rFonts w:eastAsia="Calibri"/>
          <w:b/>
          <w:szCs w:val="22"/>
          <w:lang w:eastAsia="en-US"/>
        </w:rPr>
        <w:t xml:space="preserve"> [Am. 19]</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(29)</w:t>
      </w:r>
      <w:r>
        <w:rPr>
          <w:rFonts w:eastAsia="Calibri"/>
          <w:noProof/>
          <w:szCs w:val="22"/>
          <w:lang w:eastAsia="en-US"/>
        </w:rPr>
        <w:tab/>
      </w:r>
      <w:r>
        <w:rPr>
          <w:rFonts w:eastAsia="Calibri"/>
          <w:noProof/>
          <w:szCs w:val="22"/>
          <w:lang w:eastAsia="en-US"/>
        </w:rPr>
        <w:t xml:space="preserve">Na obmedzenie oneskorených platieb, zachovanie optimálnych peňažných tokov, zníženie úverového rizika a zvýšenie potenciálu rastu môže mať významný vplyv účinný prístup podnikov, najmä </w:t>
      </w:r>
      <w:proofErr w:type="spellStart"/>
      <w:r>
        <w:rPr>
          <w:rFonts w:eastAsia="Calibri"/>
          <w:b/>
          <w:i/>
          <w:szCs w:val="22"/>
          <w:lang w:eastAsia="en-US"/>
        </w:rPr>
        <w:t>mikropodnikov</w:t>
      </w:r>
      <w:proofErr w:type="spellEnd"/>
      <w:r>
        <w:rPr>
          <w:rFonts w:eastAsia="Calibri"/>
          <w:b/>
          <w:i/>
          <w:szCs w:val="22"/>
          <w:lang w:eastAsia="en-US"/>
        </w:rPr>
        <w:t xml:space="preserve"> a </w:t>
      </w:r>
      <w:r>
        <w:rPr>
          <w:rFonts w:eastAsia="Calibri"/>
          <w:noProof/>
          <w:szCs w:val="22"/>
          <w:lang w:eastAsia="en-US"/>
        </w:rPr>
        <w:t>MSP, k odbornej príprave v oblasti riadenia úverov</w:t>
      </w:r>
      <w:r>
        <w:rPr>
          <w:rFonts w:eastAsia="Calibri"/>
          <w:b/>
          <w:i/>
          <w:szCs w:val="22"/>
          <w:lang w:eastAsia="en-US"/>
        </w:rPr>
        <w:t>, vrá</w:t>
      </w:r>
      <w:r>
        <w:rPr>
          <w:rFonts w:eastAsia="Calibri"/>
          <w:b/>
          <w:i/>
          <w:szCs w:val="22"/>
          <w:lang w:eastAsia="en-US"/>
        </w:rPr>
        <w:t>tane finančných služieb,</w:t>
      </w:r>
      <w:r>
        <w:rPr>
          <w:rFonts w:eastAsia="Calibri"/>
          <w:noProof/>
          <w:szCs w:val="22"/>
          <w:lang w:eastAsia="en-US"/>
        </w:rPr>
        <w:t xml:space="preserve"> a finančnej gramotnosti. </w:t>
      </w:r>
      <w:proofErr w:type="spellStart"/>
      <w:r>
        <w:rPr>
          <w:rFonts w:eastAsia="Calibri"/>
          <w:b/>
          <w:i/>
          <w:szCs w:val="22"/>
          <w:lang w:eastAsia="en-US"/>
        </w:rPr>
        <w:t>Mikropodniky</w:t>
      </w:r>
      <w:proofErr w:type="spellEnd"/>
      <w:r>
        <w:rPr>
          <w:rFonts w:eastAsia="Calibri"/>
          <w:b/>
          <w:i/>
          <w:szCs w:val="22"/>
          <w:lang w:eastAsia="en-US"/>
        </w:rPr>
        <w:t xml:space="preserve"> a </w:t>
      </w:r>
      <w:r>
        <w:rPr>
          <w:rFonts w:eastAsia="Calibri"/>
          <w:noProof/>
          <w:szCs w:val="22"/>
          <w:lang w:eastAsia="en-US"/>
        </w:rPr>
        <w:t xml:space="preserve">MSP však často nemajú kapacitu na investovanie do takejto odbornej prípravy, pričom odborná príprava a vzdelávacie materiály zamerané na zlepšenie znalostí </w:t>
      </w:r>
      <w:proofErr w:type="spellStart"/>
      <w:r>
        <w:rPr>
          <w:rFonts w:eastAsia="Calibri"/>
          <w:b/>
          <w:i/>
          <w:szCs w:val="22"/>
          <w:lang w:eastAsia="en-US"/>
        </w:rPr>
        <w:t>mikropodnikov</w:t>
      </w:r>
      <w:proofErr w:type="spellEnd"/>
      <w:r>
        <w:rPr>
          <w:rFonts w:eastAsia="Calibri"/>
          <w:b/>
          <w:i/>
          <w:szCs w:val="22"/>
          <w:lang w:eastAsia="en-US"/>
        </w:rPr>
        <w:t xml:space="preserve"> a </w:t>
      </w:r>
      <w:r>
        <w:rPr>
          <w:rFonts w:eastAsia="Calibri"/>
          <w:noProof/>
          <w:szCs w:val="22"/>
          <w:lang w:eastAsia="en-US"/>
        </w:rPr>
        <w:t>MSP o správe úverov</w:t>
      </w:r>
      <w:r>
        <w:rPr>
          <w:rFonts w:eastAsia="Calibri"/>
          <w:noProof/>
          <w:szCs w:val="22"/>
          <w:lang w:eastAsia="en-US"/>
        </w:rPr>
        <w:t xml:space="preserve"> a faktúr sú v súčasnosti k dispozícii len vo veľmi obmedzenej miere. Preto je vhodné stanoviť, že </w:t>
      </w:r>
      <w:r>
        <w:rPr>
          <w:rFonts w:eastAsia="Calibri"/>
          <w:b/>
          <w:i/>
          <w:szCs w:val="22"/>
          <w:lang w:eastAsia="en-US"/>
        </w:rPr>
        <w:t xml:space="preserve">je potrebné, aby </w:t>
      </w:r>
      <w:r>
        <w:rPr>
          <w:rFonts w:eastAsia="Calibri"/>
          <w:noProof/>
          <w:szCs w:val="22"/>
          <w:lang w:eastAsia="en-US"/>
        </w:rPr>
        <w:t xml:space="preserve">členské štáty </w:t>
      </w:r>
      <w:r>
        <w:rPr>
          <w:rFonts w:eastAsia="Calibri"/>
          <w:strike/>
          <w:noProof/>
          <w:szCs w:val="22"/>
          <w:lang w:eastAsia="en-US"/>
        </w:rPr>
        <w:t xml:space="preserve">musia </w:t>
      </w:r>
      <w:proofErr w:type="spellStart"/>
      <w:r>
        <w:rPr>
          <w:rFonts w:eastAsia="Calibri"/>
          <w:strike/>
          <w:noProof/>
          <w:szCs w:val="22"/>
          <w:lang w:eastAsia="en-US"/>
        </w:rPr>
        <w:t>zabezpečiť</w:t>
      </w:r>
      <w:r>
        <w:rPr>
          <w:rFonts w:eastAsia="Calibri"/>
          <w:b/>
          <w:i/>
          <w:szCs w:val="22"/>
          <w:lang w:eastAsia="en-US"/>
        </w:rPr>
        <w:t>zabezpečili</w:t>
      </w:r>
      <w:proofErr w:type="spellEnd"/>
      <w:r>
        <w:rPr>
          <w:rFonts w:eastAsia="Calibri"/>
          <w:noProof/>
          <w:szCs w:val="22"/>
          <w:lang w:eastAsia="en-US"/>
        </w:rPr>
        <w:t xml:space="preserve">, aby bola pre </w:t>
      </w:r>
      <w:proofErr w:type="spellStart"/>
      <w:r>
        <w:rPr>
          <w:rFonts w:eastAsia="Calibri"/>
          <w:b/>
          <w:i/>
          <w:szCs w:val="22"/>
          <w:lang w:eastAsia="en-US"/>
        </w:rPr>
        <w:t>mikropodniky</w:t>
      </w:r>
      <w:proofErr w:type="spellEnd"/>
      <w:r>
        <w:rPr>
          <w:rFonts w:eastAsia="Calibri"/>
          <w:b/>
          <w:i/>
          <w:szCs w:val="22"/>
          <w:lang w:eastAsia="en-US"/>
        </w:rPr>
        <w:t xml:space="preserve"> a</w:t>
      </w:r>
      <w:r>
        <w:rPr>
          <w:rFonts w:eastAsia="Calibri"/>
          <w:szCs w:val="22"/>
          <w:lang w:eastAsia="en-US"/>
        </w:rPr>
        <w:t xml:space="preserve"> </w:t>
      </w:r>
      <w:r>
        <w:rPr>
          <w:rFonts w:eastAsia="Calibri"/>
          <w:noProof/>
          <w:szCs w:val="22"/>
          <w:lang w:eastAsia="en-US"/>
        </w:rPr>
        <w:t xml:space="preserve">MSP dostupná odborná príprava v oblasti </w:t>
      </w:r>
      <w:r>
        <w:rPr>
          <w:rFonts w:eastAsia="Calibri"/>
          <w:strike/>
          <w:noProof/>
          <w:szCs w:val="22"/>
          <w:lang w:eastAsia="en-US"/>
        </w:rPr>
        <w:t>riadenia</w:t>
      </w:r>
      <w:r>
        <w:rPr>
          <w:rFonts w:eastAsia="Calibri"/>
          <w:b/>
          <w:i/>
          <w:szCs w:val="22"/>
          <w:lang w:eastAsia="en-US"/>
        </w:rPr>
        <w:t>nástrojov na správu f</w:t>
      </w:r>
      <w:r>
        <w:rPr>
          <w:rFonts w:eastAsia="Calibri"/>
          <w:b/>
          <w:i/>
          <w:szCs w:val="22"/>
          <w:lang w:eastAsia="en-US"/>
        </w:rPr>
        <w:t>aktúr, riadenie</w:t>
      </w:r>
      <w:r>
        <w:rPr>
          <w:rFonts w:eastAsia="Calibri"/>
          <w:noProof/>
          <w:szCs w:val="22"/>
          <w:lang w:eastAsia="en-US"/>
        </w:rPr>
        <w:t xml:space="preserve"> úverov </w:t>
      </w:r>
      <w:r>
        <w:rPr>
          <w:rFonts w:eastAsia="Calibri"/>
          <w:b/>
          <w:i/>
          <w:szCs w:val="22"/>
          <w:lang w:eastAsia="en-US"/>
        </w:rPr>
        <w:t xml:space="preserve">vrátane </w:t>
      </w:r>
      <w:proofErr w:type="spellStart"/>
      <w:r>
        <w:rPr>
          <w:rFonts w:eastAsia="Calibri"/>
          <w:b/>
          <w:i/>
          <w:szCs w:val="22"/>
          <w:lang w:eastAsia="en-US"/>
        </w:rPr>
        <w:t>faktoringu</w:t>
      </w:r>
      <w:proofErr w:type="spellEnd"/>
      <w:r>
        <w:rPr>
          <w:rFonts w:eastAsia="Calibri"/>
          <w:szCs w:val="22"/>
          <w:lang w:eastAsia="en-US"/>
        </w:rPr>
        <w:t xml:space="preserve"> </w:t>
      </w:r>
      <w:r>
        <w:rPr>
          <w:rFonts w:eastAsia="Calibri"/>
          <w:noProof/>
          <w:szCs w:val="22"/>
          <w:lang w:eastAsia="en-US"/>
        </w:rPr>
        <w:t xml:space="preserve">a finančnej gramotnosti, a to aj pokiaľ ide o používanie digitálnych nástrojov na včasnú realizáciu platieb </w:t>
      </w:r>
      <w:r>
        <w:rPr>
          <w:rFonts w:eastAsia="Calibri"/>
          <w:b/>
          <w:i/>
          <w:szCs w:val="22"/>
          <w:lang w:eastAsia="en-US"/>
        </w:rPr>
        <w:t>a finančných služieb</w:t>
      </w:r>
      <w:r>
        <w:rPr>
          <w:rFonts w:eastAsia="Calibri"/>
          <w:noProof/>
          <w:szCs w:val="22"/>
          <w:lang w:eastAsia="en-US"/>
        </w:rPr>
        <w:t>.</w:t>
      </w:r>
      <w:r>
        <w:rPr>
          <w:rFonts w:eastAsia="Calibri"/>
          <w:b/>
          <w:noProof/>
          <w:szCs w:val="22"/>
          <w:lang w:eastAsia="en-US"/>
        </w:rPr>
        <w:t xml:space="preserve"> [Am. 20]</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ind w:left="851" w:hanging="851"/>
        <w:rPr>
          <w:rFonts w:eastAsia="Calibri"/>
          <w:b/>
          <w:szCs w:val="22"/>
          <w:lang w:eastAsia="en-US"/>
        </w:rPr>
      </w:pPr>
      <w:r>
        <w:rPr>
          <w:rFonts w:eastAsia="Calibri"/>
          <w:b/>
          <w:i/>
          <w:szCs w:val="22"/>
          <w:lang w:eastAsia="en-US"/>
        </w:rPr>
        <w:lastRenderedPageBreak/>
        <w:t>(</w:t>
      </w:r>
      <w:proofErr w:type="spellStart"/>
      <w:r>
        <w:rPr>
          <w:rFonts w:eastAsia="Calibri"/>
          <w:b/>
          <w:i/>
          <w:szCs w:val="22"/>
          <w:lang w:eastAsia="en-US"/>
        </w:rPr>
        <w:t>29a</w:t>
      </w:r>
      <w:proofErr w:type="spellEnd"/>
      <w:r>
        <w:rPr>
          <w:rFonts w:eastAsia="Calibri"/>
          <w:b/>
          <w:i/>
          <w:szCs w:val="22"/>
          <w:lang w:eastAsia="en-US"/>
        </w:rPr>
        <w:t>)</w:t>
      </w:r>
      <w:r>
        <w:rPr>
          <w:rFonts w:eastAsia="Calibri"/>
          <w:b/>
          <w:i/>
          <w:szCs w:val="22"/>
          <w:lang w:eastAsia="en-US"/>
        </w:rPr>
        <w:tab/>
        <w:t>Uznávajúc rozhodujúci vplyv praktík oneskorených platieb na hospodá</w:t>
      </w:r>
      <w:r>
        <w:rPr>
          <w:rFonts w:eastAsia="Calibri"/>
          <w:b/>
          <w:i/>
          <w:szCs w:val="22"/>
          <w:lang w:eastAsia="en-US"/>
        </w:rPr>
        <w:t>rske prostredie Európskej únie a s cieľom posilniť transparentnosť, dodržiavanie predpisov a najlepšie postupy by Komisia mala zriadiť Európske stredisko pre monitorovanie oneskorených platieb (ďalej len „stredisko pre monitorovanie“). Stredisko pre monito</w:t>
      </w:r>
      <w:r>
        <w:rPr>
          <w:rFonts w:eastAsia="Calibri"/>
          <w:b/>
          <w:i/>
          <w:szCs w:val="22"/>
          <w:lang w:eastAsia="en-US"/>
        </w:rPr>
        <w:t>rovanie by malo byť kľúčovým prvkom pri monitorovaní, analýze a výmene poznatkov o platobnom správaní v celej Únii, pričom jeho primárnou funkciou by bolo monitorovať včasné aj oneskorené platobné postupy, zhromažďovať a šíriť odborné znalosti, identifikov</w:t>
      </w:r>
      <w:r>
        <w:rPr>
          <w:rFonts w:eastAsia="Calibri"/>
          <w:b/>
          <w:i/>
          <w:szCs w:val="22"/>
          <w:lang w:eastAsia="en-US"/>
        </w:rPr>
        <w:t xml:space="preserve">ať najlepšie a potenciálne škodlivé postupy a hodnotiť účinnosť orgánov presadzovania práva v ich regulačných úlohách. Stredisko pre monitorovanie by sa malo zameriavať na poskytovanie priebežného poradenstva a odborných znalostí Komisii, ktoré sú kľúčové </w:t>
      </w:r>
      <w:r>
        <w:rPr>
          <w:rFonts w:eastAsia="Calibri"/>
          <w:b/>
          <w:i/>
          <w:szCs w:val="22"/>
          <w:lang w:eastAsia="en-US"/>
        </w:rPr>
        <w:t>pre pochopenie a formovanie vývoja platobných postupov a praktík oneskorených platieb v rámci Únie. S cieľom uľahčiť komplexné monitorovanie a účinné fungovanie by členské štáty mali stredisku pre monitorovanie oznamovať základné informácie vrátane zoznamo</w:t>
      </w:r>
      <w:r>
        <w:rPr>
          <w:rFonts w:eastAsia="Calibri"/>
          <w:b/>
          <w:i/>
          <w:szCs w:val="22"/>
          <w:lang w:eastAsia="en-US"/>
        </w:rPr>
        <w:t>v tovaru a služieb, na ktoré sa vzťahujú osobitné platobné postupy, súhrnných údajov z príslušných článkov a podrobností o opatreniach na presadzovanie práva a ich výsledkoch. Stredisko pre monitorovanie, ktorému predsedá Komisia a ktoré pozostáva z vyváže</w:t>
      </w:r>
      <w:r>
        <w:rPr>
          <w:rFonts w:eastAsia="Calibri"/>
          <w:b/>
          <w:i/>
          <w:szCs w:val="22"/>
          <w:lang w:eastAsia="en-US"/>
        </w:rPr>
        <w:t>ného zastúpenia odborníkov a zainteresovaných strán, by malo vydávať výročné správy, stanoviská a príspevky týkajúce sa vykonávania a presadzovania tohto nariadenia. Výstupy by mali odrážať stav platobných postupov a ponúkať usmernenia a odporúčania na zvý</w:t>
      </w:r>
      <w:r>
        <w:rPr>
          <w:rFonts w:eastAsia="Calibri"/>
          <w:b/>
          <w:i/>
          <w:szCs w:val="22"/>
          <w:lang w:eastAsia="en-US"/>
        </w:rPr>
        <w:t>šenie účinnosti a spravodlivosti regulačného rámca upravujúceho oneskorené platby.</w:t>
      </w:r>
      <w:r>
        <w:rPr>
          <w:rFonts w:eastAsia="Calibri"/>
          <w:b/>
          <w:szCs w:val="22"/>
          <w:lang w:eastAsia="en-US"/>
        </w:rPr>
        <w:t xml:space="preserve"> [Am. 21]</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b/>
          <w:i/>
          <w:szCs w:val="22"/>
          <w:lang w:eastAsia="en-US"/>
        </w:rPr>
        <w:lastRenderedPageBreak/>
        <w:t>(</w:t>
      </w:r>
      <w:proofErr w:type="spellStart"/>
      <w:r>
        <w:rPr>
          <w:rFonts w:eastAsia="Calibri"/>
          <w:b/>
          <w:i/>
          <w:szCs w:val="22"/>
          <w:lang w:eastAsia="en-US"/>
        </w:rPr>
        <w:t>29b</w:t>
      </w:r>
      <w:proofErr w:type="spellEnd"/>
      <w:r>
        <w:rPr>
          <w:rFonts w:eastAsia="Calibri"/>
          <w:b/>
          <w:i/>
          <w:szCs w:val="22"/>
          <w:lang w:eastAsia="en-US"/>
        </w:rPr>
        <w:t>)</w:t>
      </w:r>
      <w:r>
        <w:rPr>
          <w:rFonts w:eastAsia="Calibri"/>
          <w:b/>
          <w:i/>
          <w:szCs w:val="22"/>
          <w:lang w:eastAsia="en-US"/>
        </w:rPr>
        <w:tab/>
        <w:t>S cieľom posúdiť a zabezpečiť účinnosť tohto nariadenia by Komisia mala komplexne vyhodnotiť jeho vykonávanie a vplyv prostredníctvom komplexnej správy. Vzh</w:t>
      </w:r>
      <w:r>
        <w:rPr>
          <w:rFonts w:eastAsia="Calibri"/>
          <w:b/>
          <w:i/>
          <w:szCs w:val="22"/>
          <w:lang w:eastAsia="en-US"/>
        </w:rPr>
        <w:t>ľadom na dynamickú povahu obchodných transakcií a meniace sa trhové podmienky by správa mala byť kľúčovým nástrojom na pochopenie účinnosti nariadenia a určenie oblastí, v ktorých je potrebné zlepšenie. Komisia by mala byť na základe zistení správy priprav</w:t>
      </w:r>
      <w:r>
        <w:rPr>
          <w:rFonts w:eastAsia="Calibri"/>
          <w:b/>
          <w:i/>
          <w:szCs w:val="22"/>
          <w:lang w:eastAsia="en-US"/>
        </w:rPr>
        <w:t>ená doplniť ju o legislatívny návrh, ak sa to považuje za potrebné a vhodné, čím sa zabezpečí, aby nariadenie zostalo relevantné, účinné a zosúladené s cieľom podporovať spravodlivé a efektívne platobné postupy v rámci Únie. Štyri roky po nadobudnutí účinn</w:t>
      </w:r>
      <w:r>
        <w:rPr>
          <w:rFonts w:eastAsia="Calibri"/>
          <w:b/>
          <w:i/>
          <w:szCs w:val="22"/>
          <w:lang w:eastAsia="en-US"/>
        </w:rPr>
        <w:t>osti tohto nariadenia a následne každé tri roky by preto Komisia mala predložiť Európskemu parlamentu a Rade správu s cieľom zachovať transparentnosť, posúdiť pokrok a vykonať potrebné úpravy nariadenia. V správe by sa mal preskúmať vplyv rozsahu pôsobnost</w:t>
      </w:r>
      <w:r>
        <w:rPr>
          <w:rFonts w:eastAsia="Calibri"/>
          <w:b/>
          <w:i/>
          <w:szCs w:val="22"/>
          <w:lang w:eastAsia="en-US"/>
        </w:rPr>
        <w:t xml:space="preserve">i tohto nariadenia so zameraním na jeho účinky v konkrétnych odvetviach a obchodných modeloch a poskytnúť prehľad o tom, ako nariadenie ovplyvňuje rozmanité obchodné prostredie. V správe by sa mal vyhodnotiť vplyv vykonaných opatrení, najmä tých, ktoré sa </w:t>
      </w:r>
      <w:r>
        <w:rPr>
          <w:rFonts w:eastAsia="Calibri"/>
          <w:b/>
          <w:i/>
          <w:szCs w:val="22"/>
          <w:lang w:eastAsia="en-US"/>
        </w:rPr>
        <w:t>týkajú lehôt splatnosti, na zvýšenie peňažného toku a likvidity na trhu, aby sa objasnila praktická účinnosť týchto opatrení pri zlepšovaní finančnej dynamiky. V správe by sa mala posúdiť aj účinnosť orgánov presadzovania práva pri zabezpečovaní súladu a r</w:t>
      </w:r>
      <w:r>
        <w:rPr>
          <w:rFonts w:eastAsia="Calibri"/>
          <w:b/>
          <w:i/>
          <w:szCs w:val="22"/>
          <w:lang w:eastAsia="en-US"/>
        </w:rPr>
        <w:t xml:space="preserve">iešení platobných problémov. Ďalším aspektom správy by sa mali preskúmať potenciálne prínosy zavedenia elektronickej fakturácie v celej Únii a jej úloha pri skrátení lehôt splatnosti. Na uľahčenie tohto komplexného hodnotenia by členské štáty mali Komisii </w:t>
      </w:r>
      <w:r>
        <w:rPr>
          <w:rFonts w:eastAsia="Calibri"/>
          <w:b/>
          <w:i/>
          <w:szCs w:val="22"/>
          <w:lang w:eastAsia="en-US"/>
        </w:rPr>
        <w:t>poskytnúť potrebné informácie vrátane podrobností o opatreniach na presadzovanie práva a výsledkoch. Správa by mala obsahovať aj posúdenie celkového vplyvu tohto nariadenia na obchodné transakcie a účinnosti Európskeho strediska pre monitorovanie oneskoren</w:t>
      </w:r>
      <w:r>
        <w:rPr>
          <w:rFonts w:eastAsia="Calibri"/>
          <w:b/>
          <w:i/>
          <w:szCs w:val="22"/>
          <w:lang w:eastAsia="en-US"/>
        </w:rPr>
        <w:t>ých platieb pri monitorovaní platobných postupov v rámci Únie.</w:t>
      </w:r>
      <w:r>
        <w:rPr>
          <w:rFonts w:eastAsia="Calibri"/>
          <w:b/>
          <w:szCs w:val="22"/>
          <w:lang w:eastAsia="en-US"/>
        </w:rPr>
        <w:t xml:space="preserve"> [Am. 22]</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(30)</w:t>
      </w:r>
      <w:r>
        <w:rPr>
          <w:rFonts w:eastAsia="Calibri"/>
          <w:noProof/>
          <w:szCs w:val="22"/>
          <w:lang w:eastAsia="en-US"/>
        </w:rPr>
        <w:tab/>
        <w:t>Niektoré ustanovenia v tomto nariadení súvisia s ustanoveniami smernice Európskeho parlamentu a Rady (EÚ) 2019/633</w:t>
      </w:r>
      <w:r>
        <w:rPr>
          <w:rFonts w:eastAsia="Calibri"/>
          <w:noProof/>
          <w:szCs w:val="22"/>
          <w:vertAlign w:val="superscript"/>
          <w:lang w:eastAsia="en-US"/>
        </w:rPr>
        <w:footnoteReference w:id="19"/>
      </w:r>
      <w:r>
        <w:rPr>
          <w:rFonts w:eastAsia="Calibri"/>
          <w:noProof/>
          <w:szCs w:val="22"/>
          <w:lang w:eastAsia="en-US"/>
        </w:rPr>
        <w:t>. Vzťah medzi smernicami 2011/7/EÚ a (EÚ) 2019/633 je vysvetle</w:t>
      </w:r>
      <w:r>
        <w:rPr>
          <w:rFonts w:eastAsia="Calibri"/>
          <w:noProof/>
          <w:szCs w:val="22"/>
          <w:lang w:eastAsia="en-US"/>
        </w:rPr>
        <w:t>ný v odôvodneniach 17 a 18 a v článku 3 ods. 1 smernice (EÚ) 2019/633. Keďže týmto nariadením sa nahrádza smernica 2011/7/EÚ, nemali by ním byť dotknuté pravidlá stanovené v smernici (EÚ) 2019/633 vrátane ustanovení, ktoré sa vzťahujú na platby uskutočnené</w:t>
      </w:r>
      <w:r>
        <w:rPr>
          <w:rFonts w:eastAsia="Calibri"/>
          <w:noProof/>
          <w:szCs w:val="22"/>
          <w:lang w:eastAsia="en-US"/>
        </w:rPr>
        <w:t xml:space="preserve"> v rámci školského programu</w:t>
      </w:r>
      <w:r>
        <w:rPr>
          <w:rFonts w:eastAsia="Calibri"/>
          <w:noProof/>
          <w:szCs w:val="22"/>
          <w:vertAlign w:val="superscript"/>
          <w:lang w:eastAsia="en-US"/>
        </w:rPr>
        <w:footnoteReference w:id="20"/>
      </w:r>
      <w:r>
        <w:rPr>
          <w:rFonts w:eastAsia="Calibri"/>
          <w:noProof/>
          <w:szCs w:val="22"/>
          <w:lang w:eastAsia="en-US"/>
        </w:rPr>
        <w:t>, dohody o rozdelení hodnôt</w:t>
      </w:r>
      <w:r>
        <w:rPr>
          <w:rFonts w:eastAsia="Calibri"/>
          <w:noProof/>
          <w:szCs w:val="22"/>
          <w:vertAlign w:val="superscript"/>
          <w:lang w:eastAsia="en-US"/>
        </w:rPr>
        <w:footnoteReference w:id="21"/>
      </w:r>
      <w:r>
        <w:rPr>
          <w:rFonts w:eastAsia="Calibri"/>
          <w:noProof/>
          <w:szCs w:val="22"/>
          <w:lang w:eastAsia="en-US"/>
        </w:rPr>
        <w:t xml:space="preserve"> a určité platby za predaj hrozna, muštu a vína v inom ako spotrebiteľskom obale v sektore vinohradníctva a vinárstva</w:t>
      </w:r>
      <w:r>
        <w:rPr>
          <w:rFonts w:eastAsia="Calibri"/>
          <w:noProof/>
          <w:szCs w:val="22"/>
          <w:vertAlign w:val="superscript"/>
          <w:lang w:eastAsia="en-US"/>
        </w:rPr>
        <w:footnoteReference w:id="22"/>
      </w:r>
      <w:r>
        <w:rPr>
          <w:rFonts w:eastAsia="Calibri"/>
          <w:strike/>
          <w:noProof/>
          <w:szCs w:val="22"/>
          <w:lang w:eastAsia="en-US"/>
        </w:rPr>
        <w:t>, s výnimkou maximálnych lehôt splatnosti týkajúcich sa dodávok poľnohospodárskych</w:t>
      </w:r>
      <w:r>
        <w:rPr>
          <w:rFonts w:eastAsia="Calibri"/>
          <w:strike/>
          <w:noProof/>
          <w:szCs w:val="22"/>
          <w:lang w:eastAsia="en-US"/>
        </w:rPr>
        <w:t xml:space="preserve"> a potravinových výrobkov, ktoré nepodliehajú skaze</w:t>
      </w:r>
      <w:r>
        <w:rPr>
          <w:rFonts w:eastAsia="Calibri"/>
          <w:noProof/>
          <w:szCs w:val="22"/>
          <w:lang w:eastAsia="en-US"/>
        </w:rPr>
        <w:t>. Toto nariadenie však nebráni členským štátom v tom, aby zaviedli alebo zachovali vnútroštátne ustanovenia uplatniteľné v poľnohospodárskom a potravinárskom sektore, ktoré stanovujú prísnejšie platobné po</w:t>
      </w:r>
      <w:r>
        <w:rPr>
          <w:rFonts w:eastAsia="Calibri"/>
          <w:noProof/>
          <w:szCs w:val="22"/>
          <w:lang w:eastAsia="en-US"/>
        </w:rPr>
        <w:t xml:space="preserve">dmienky alebo odlišný výpočet lehôt splatnosti </w:t>
      </w:r>
      <w:r>
        <w:rPr>
          <w:rFonts w:eastAsia="Calibri"/>
          <w:i/>
          <w:noProof/>
          <w:szCs w:val="22"/>
          <w:lang w:eastAsia="en-US"/>
        </w:rPr>
        <w:t>dies a quo</w:t>
      </w:r>
      <w:r>
        <w:rPr>
          <w:rFonts w:eastAsia="Calibri"/>
          <w:noProof/>
          <w:szCs w:val="22"/>
          <w:lang w:eastAsia="en-US"/>
        </w:rPr>
        <w:t>, ako aj postupy overovania a prijímania pre dodávateľov poľnohospodárskych a potravinových výrobkov, ktoré sú pre veriteľa výhodnejšie.</w:t>
      </w:r>
      <w:r>
        <w:rPr>
          <w:rFonts w:eastAsia="Calibri"/>
          <w:b/>
          <w:noProof/>
          <w:szCs w:val="22"/>
          <w:lang w:eastAsia="en-US"/>
        </w:rPr>
        <w:t xml:space="preserve"> [Am. 23]</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(31)</w:t>
      </w:r>
      <w:r>
        <w:rPr>
          <w:rFonts w:eastAsia="Calibri"/>
          <w:noProof/>
          <w:szCs w:val="22"/>
          <w:lang w:eastAsia="en-US"/>
        </w:rPr>
        <w:tab/>
      </w:r>
      <w:r>
        <w:rPr>
          <w:rFonts w:eastAsia="Calibri"/>
          <w:noProof/>
          <w:szCs w:val="22"/>
          <w:lang w:eastAsia="en-US"/>
        </w:rPr>
        <w:t xml:space="preserve">Cieľom tohto nariadenia je boj proti oneskoreným platbám v obchodných transakciách v záujme zabezpečenia riadneho fungovania vnútorného trhu, a tým aj podpora konkurencieschopnosti podnikov, a to najmä </w:t>
      </w:r>
      <w:proofErr w:type="spellStart"/>
      <w:r>
        <w:rPr>
          <w:rFonts w:eastAsia="Calibri"/>
          <w:b/>
          <w:i/>
          <w:szCs w:val="22"/>
          <w:lang w:eastAsia="en-US"/>
        </w:rPr>
        <w:t>mikropodnikov</w:t>
      </w:r>
      <w:proofErr w:type="spellEnd"/>
      <w:r>
        <w:rPr>
          <w:rFonts w:eastAsia="Calibri"/>
          <w:b/>
          <w:i/>
          <w:szCs w:val="22"/>
          <w:lang w:eastAsia="en-US"/>
        </w:rPr>
        <w:t xml:space="preserve"> a</w:t>
      </w:r>
      <w:r>
        <w:rPr>
          <w:rFonts w:eastAsia="Calibri"/>
          <w:szCs w:val="22"/>
          <w:lang w:eastAsia="en-US"/>
        </w:rPr>
        <w:t xml:space="preserve"> </w:t>
      </w:r>
      <w:r>
        <w:rPr>
          <w:rFonts w:eastAsia="Calibri"/>
          <w:noProof/>
          <w:szCs w:val="22"/>
          <w:lang w:eastAsia="en-US"/>
        </w:rPr>
        <w:t>MSP. Tieto ciele nie je možné uspokoji</w:t>
      </w:r>
      <w:r>
        <w:rPr>
          <w:rFonts w:eastAsia="Calibri"/>
          <w:noProof/>
          <w:szCs w:val="22"/>
          <w:lang w:eastAsia="en-US"/>
        </w:rPr>
        <w:t>vo dosiahnuť na úrovni členských štátov, pretože uplatňovanie vnútroštátnych riešení by pravdepodobne viedlo k neexistencii jednotných pravidiel, fragmentácii jednotného trhu a vyšším nákladom pre spoločnosti obchodujúce cezhranične. Tieto ciele možno pret</w:t>
      </w:r>
      <w:r>
        <w:rPr>
          <w:rFonts w:eastAsia="Calibri"/>
          <w:noProof/>
          <w:szCs w:val="22"/>
          <w:lang w:eastAsia="en-US"/>
        </w:rPr>
        <w:t>o lepšie dosiahnuť na úrovni Únie. Únia preto môže prijať opatrenia v súlade so zásadou subsidiarity podľa článku 5 Zmluvy o Európskej únii. V súlade so zásadou proporcionality podľa uvedeného článku toto nariadenie neprekračuje rámec nevyhnutný na dosiahn</w:t>
      </w:r>
      <w:r>
        <w:rPr>
          <w:rFonts w:eastAsia="Calibri"/>
          <w:noProof/>
          <w:szCs w:val="22"/>
          <w:lang w:eastAsia="en-US"/>
        </w:rPr>
        <w:t xml:space="preserve">utie týchto cieľov. </w:t>
      </w:r>
      <w:r>
        <w:rPr>
          <w:rFonts w:eastAsia="Calibri"/>
          <w:b/>
          <w:noProof/>
          <w:szCs w:val="22"/>
          <w:lang w:eastAsia="en-US"/>
        </w:rPr>
        <w:t xml:space="preserve"> [Am. 24]</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1" w:hanging="851"/>
        <w:rPr>
          <w:rFonts w:eastAsia="Calibri"/>
          <w:b/>
          <w:noProof/>
          <w:szCs w:val="22"/>
          <w:lang w:eastAsia="en-US"/>
        </w:rPr>
      </w:pPr>
      <w:r>
        <w:rPr>
          <w:rFonts w:eastAsia="Calibri"/>
          <w:noProof/>
          <w:szCs w:val="22"/>
          <w:lang w:eastAsia="en-US"/>
        </w:rPr>
        <w:lastRenderedPageBreak/>
        <w:t>(32)</w:t>
      </w:r>
      <w:r>
        <w:rPr>
          <w:rFonts w:eastAsia="Calibri"/>
          <w:noProof/>
          <w:szCs w:val="22"/>
          <w:lang w:eastAsia="en-US"/>
        </w:rPr>
        <w:tab/>
        <w:t>S cieľom poskytnúť všetkým príslušným aktérom dostatočný čas na zavedenie opatrení potrebných na dosiahnutie súladu s týmto nariadením by sa jeho uplatňovanie malo odložiť. Aby sa však zabezpečila lepšia ochrana veriteľ</w:t>
      </w:r>
      <w:r>
        <w:rPr>
          <w:rFonts w:eastAsia="Calibri"/>
          <w:noProof/>
          <w:szCs w:val="22"/>
          <w:lang w:eastAsia="en-US"/>
        </w:rPr>
        <w:t xml:space="preserve">ov, obchodné transakcie, ktoré sa majú uhradiť po dátume nadobudnutia účinnosti tohto nariadenia, podliehajú jeho ustanoveniam, a to aj v prípade, že príslušná zmluva bola podpísaná pred dátumom začatia jeho uplatňovania. </w:t>
      </w:r>
      <w:r>
        <w:rPr>
          <w:rFonts w:eastAsia="Calibri"/>
          <w:b/>
          <w:i/>
          <w:szCs w:val="22"/>
          <w:lang w:eastAsia="en-US"/>
        </w:rPr>
        <w:t xml:space="preserve">V prípade </w:t>
      </w:r>
      <w:proofErr w:type="spellStart"/>
      <w:r>
        <w:rPr>
          <w:rFonts w:eastAsia="Calibri"/>
          <w:b/>
          <w:i/>
          <w:szCs w:val="22"/>
          <w:lang w:eastAsia="en-US"/>
        </w:rPr>
        <w:t>mikropodnikov</w:t>
      </w:r>
      <w:proofErr w:type="spellEnd"/>
      <w:r>
        <w:rPr>
          <w:rFonts w:eastAsia="Calibri"/>
          <w:b/>
          <w:i/>
          <w:szCs w:val="22"/>
          <w:lang w:eastAsia="en-US"/>
        </w:rPr>
        <w:t>, ktoré čel</w:t>
      </w:r>
      <w:r>
        <w:rPr>
          <w:rFonts w:eastAsia="Calibri"/>
          <w:b/>
          <w:i/>
          <w:szCs w:val="22"/>
          <w:lang w:eastAsia="en-US"/>
        </w:rPr>
        <w:t>ia najväčším problémom v súvislosti s peňažným tokom, by sa uplatňovanie tohto nariadenia v prípadoch, keď sú dlžníkmi, malo odložiť o ďalších 12 mesiacov,</w:t>
      </w:r>
      <w:r>
        <w:rPr>
          <w:rFonts w:eastAsia="Calibri"/>
          <w:b/>
          <w:szCs w:val="22"/>
          <w:lang w:eastAsia="en-US"/>
        </w:rPr>
        <w:t xml:space="preserve"> [Am. 25]</w:t>
      </w:r>
    </w:p>
    <w:p w:rsidR="00166001" w:rsidRDefault="00992344">
      <w:pPr>
        <w:keepNext/>
        <w:widowControl/>
        <w:spacing w:before="120" w:after="120" w:line="360" w:lineRule="auto"/>
        <w:ind w:firstLine="709"/>
        <w:jc w:val="both"/>
        <w:rPr>
          <w:rFonts w:eastAsia="Calibri"/>
          <w:noProof/>
          <w:szCs w:val="22"/>
          <w:lang w:eastAsia="en-US"/>
        </w:rPr>
      </w:pPr>
      <w:r>
        <w:rPr>
          <w:rFonts w:eastAsia="Calibri"/>
          <w:noProof/>
          <w:szCs w:val="22"/>
          <w:lang w:eastAsia="en-US"/>
        </w:rPr>
        <w:t>PRIJALI TOTO NARIADENIE:</w:t>
      </w:r>
    </w:p>
    <w:p w:rsidR="00166001" w:rsidRDefault="00992344">
      <w:pPr>
        <w:keepNext/>
        <w:widowControl/>
        <w:spacing w:before="120" w:after="120" w:line="360" w:lineRule="auto"/>
        <w:jc w:val="center"/>
        <w:rPr>
          <w:rFonts w:eastAsia="Calibri"/>
          <w:bCs/>
          <w:noProof/>
          <w:szCs w:val="24"/>
          <w:lang w:eastAsia="en-US"/>
        </w:rPr>
      </w:pPr>
      <w:r>
        <w:rPr>
          <w:rFonts w:eastAsia="Calibri"/>
          <w:noProof/>
          <w:szCs w:val="22"/>
          <w:lang w:eastAsia="en-US"/>
        </w:rPr>
        <w:t xml:space="preserve">Článok 1 </w:t>
      </w:r>
      <w:r>
        <w:rPr>
          <w:rFonts w:eastAsia="Calibri"/>
          <w:noProof/>
          <w:szCs w:val="22"/>
          <w:lang w:eastAsia="en-US"/>
        </w:rPr>
        <w:br/>
        <w:t>Rozsah pôsobnosti</w:t>
      </w:r>
    </w:p>
    <w:p w:rsidR="00166001" w:rsidRDefault="00992344">
      <w:pPr>
        <w:widowControl/>
        <w:spacing w:before="120" w:after="120" w:line="360" w:lineRule="auto"/>
        <w:ind w:left="850" w:hanging="850"/>
        <w:rPr>
          <w:rFonts w:eastAsia="Calibri"/>
          <w:b/>
          <w:noProof/>
          <w:szCs w:val="22"/>
          <w:lang w:eastAsia="en-US"/>
        </w:rPr>
      </w:pPr>
      <w:r>
        <w:rPr>
          <w:rFonts w:eastAsia="Calibri"/>
          <w:b/>
          <w:i/>
          <w:szCs w:val="22"/>
          <w:lang w:eastAsia="en-US"/>
        </w:rPr>
        <w:t>-1.</w:t>
      </w:r>
      <w:r>
        <w:rPr>
          <w:rFonts w:eastAsia="Calibri"/>
          <w:b/>
          <w:i/>
          <w:szCs w:val="22"/>
          <w:lang w:eastAsia="en-US"/>
        </w:rPr>
        <w:tab/>
        <w:t xml:space="preserve">Cieľom tohto nariadenia je boj </w:t>
      </w:r>
      <w:r>
        <w:rPr>
          <w:rFonts w:eastAsia="Calibri"/>
          <w:b/>
          <w:i/>
          <w:szCs w:val="22"/>
          <w:lang w:eastAsia="en-US"/>
        </w:rPr>
        <w:t>proti oneskoreným platbám v obchodných transakciách s cieľom zabezpečiť riadne fungovanie vnútorného trhu, a tým podporiť konkurencieschopnosť podnikov a najmä MSP.</w:t>
      </w:r>
      <w:r>
        <w:rPr>
          <w:rFonts w:eastAsia="Calibri"/>
          <w:b/>
          <w:szCs w:val="22"/>
          <w:lang w:eastAsia="en-US"/>
        </w:rPr>
        <w:t xml:space="preserve"> [Am. 26]</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Toto nariadenie sa vzťahuje na platby uskutočnené v rámci transakcií medzi podn</w:t>
      </w:r>
      <w:r>
        <w:rPr>
          <w:rFonts w:eastAsia="Calibri"/>
          <w:noProof/>
          <w:szCs w:val="22"/>
          <w:lang w:eastAsia="en-US"/>
        </w:rPr>
        <w:t xml:space="preserve">ikmi alebo medzi podnikmi a orgánmi verejnej moci, ak je dlžníkom orgán verejnej moci, ktoré vedú k dodaniu tovaru alebo poskytovaniu služieb za odplatu (ďalej len „obchodné transakcie“). </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lastRenderedPageBreak/>
        <w:t>2.</w:t>
      </w:r>
      <w:r>
        <w:rPr>
          <w:rFonts w:eastAsia="Calibri"/>
          <w:noProof/>
          <w:szCs w:val="22"/>
          <w:lang w:eastAsia="en-US"/>
        </w:rPr>
        <w:tab/>
        <w:t>Dodanie tovaru alebo poskytovanie služieb uvedené v odseku 1 z</w:t>
      </w:r>
      <w:r>
        <w:rPr>
          <w:rFonts w:eastAsia="Calibri"/>
          <w:noProof/>
          <w:szCs w:val="22"/>
          <w:lang w:eastAsia="en-US"/>
        </w:rPr>
        <w:t>ahŕňajú projektovanie a realizáciu verejných prác, stavebných a stavebno-inžinierskych prác.</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3.</w:t>
      </w:r>
      <w:r>
        <w:rPr>
          <w:rFonts w:eastAsia="Calibri"/>
          <w:noProof/>
          <w:szCs w:val="22"/>
          <w:lang w:eastAsia="en-US"/>
        </w:rPr>
        <w:tab/>
        <w:t>Toto nariadenie sa neuplatňuje na žiadnu z týchto platieb:</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platby za transakcie so spotrebiteľmi;</w:t>
      </w:r>
    </w:p>
    <w:p w:rsidR="00166001" w:rsidRDefault="00992344">
      <w:pPr>
        <w:widowControl/>
        <w:spacing w:before="120" w:after="120" w:line="360" w:lineRule="auto"/>
        <w:ind w:left="1417" w:hanging="567"/>
        <w:rPr>
          <w:rFonts w:eastAsia="Calibri"/>
          <w:b/>
          <w:noProof/>
          <w:szCs w:val="22"/>
          <w:lang w:eastAsia="en-US"/>
        </w:rPr>
      </w:pPr>
      <w:r>
        <w:rPr>
          <w:rFonts w:eastAsia="Calibri"/>
          <w:noProof/>
          <w:szCs w:val="22"/>
          <w:lang w:eastAsia="en-US"/>
        </w:rPr>
        <w:t>b)</w:t>
      </w:r>
      <w:r>
        <w:rPr>
          <w:rFonts w:eastAsia="Calibri"/>
          <w:noProof/>
          <w:szCs w:val="22"/>
          <w:lang w:eastAsia="en-US"/>
        </w:rPr>
        <w:tab/>
        <w:t xml:space="preserve">platby vykonané ako náhrada škody </w:t>
      </w:r>
      <w:r>
        <w:rPr>
          <w:rFonts w:eastAsia="Calibri"/>
          <w:strike/>
          <w:noProof/>
          <w:szCs w:val="22"/>
          <w:lang w:eastAsia="en-US"/>
        </w:rPr>
        <w:t>vrátane platieb od poi</w:t>
      </w:r>
      <w:r>
        <w:rPr>
          <w:rFonts w:eastAsia="Calibri"/>
          <w:strike/>
          <w:noProof/>
          <w:szCs w:val="22"/>
          <w:lang w:eastAsia="en-US"/>
        </w:rPr>
        <w:t>sťovní</w:t>
      </w:r>
      <w:r>
        <w:rPr>
          <w:rFonts w:eastAsia="Calibri"/>
          <w:noProof/>
          <w:szCs w:val="22"/>
          <w:lang w:eastAsia="en-US"/>
        </w:rPr>
        <w:t>;</w:t>
      </w:r>
      <w:r>
        <w:rPr>
          <w:rFonts w:eastAsia="Calibri"/>
          <w:b/>
          <w:noProof/>
          <w:szCs w:val="22"/>
          <w:lang w:eastAsia="en-US"/>
        </w:rPr>
        <w:t xml:space="preserve"> [Am. 27]</w:t>
      </w:r>
    </w:p>
    <w:p w:rsidR="00166001" w:rsidRDefault="00992344">
      <w:pPr>
        <w:widowControl/>
        <w:spacing w:before="120" w:after="120" w:line="360" w:lineRule="auto"/>
        <w:ind w:left="1417" w:hanging="567"/>
        <w:rPr>
          <w:rFonts w:eastAsia="Calibri"/>
          <w:b/>
          <w:i/>
          <w:noProof/>
          <w:szCs w:val="22"/>
          <w:lang w:eastAsia="en-US"/>
        </w:rPr>
      </w:pPr>
      <w:r>
        <w:rPr>
          <w:rFonts w:eastAsia="Calibri"/>
          <w:noProof/>
          <w:szCs w:val="22"/>
          <w:lang w:eastAsia="en-US"/>
        </w:rPr>
        <w:t>c)</w:t>
      </w:r>
      <w:r>
        <w:rPr>
          <w:rFonts w:eastAsia="Calibri"/>
          <w:noProof/>
          <w:szCs w:val="22"/>
          <w:lang w:eastAsia="en-US"/>
        </w:rPr>
        <w:tab/>
        <w:t>platby vyplývajúce z povinností, ktoré možno zrušiť, odložiť alebo od ktorých možno upustiť v rámci insolvenčného alebo reštrukturalizačného konania alebo v súvislosti s nimi vrátane konaní o preventívnej reštrukturalizácii podľa smerni</w:t>
      </w:r>
      <w:r>
        <w:rPr>
          <w:rFonts w:eastAsia="Calibri"/>
          <w:noProof/>
          <w:szCs w:val="22"/>
          <w:lang w:eastAsia="en-US"/>
        </w:rPr>
        <w:t>ce Európskeho parlamentu a Rady (EÚ) 2019/1023</w:t>
      </w:r>
      <w:r>
        <w:rPr>
          <w:rFonts w:eastAsia="Calibri"/>
          <w:noProof/>
          <w:szCs w:val="22"/>
          <w:vertAlign w:val="superscript"/>
          <w:lang w:eastAsia="en-US"/>
        </w:rPr>
        <w:footnoteReference w:id="23"/>
      </w:r>
      <w:r>
        <w:rPr>
          <w:rFonts w:eastAsia="Calibri"/>
          <w:strike/>
          <w:noProof/>
          <w:szCs w:val="22"/>
          <w:lang w:eastAsia="en-US"/>
        </w:rPr>
        <w:t>.</w:t>
      </w:r>
      <w:r>
        <w:rPr>
          <w:rFonts w:eastAsia="Calibri"/>
          <w:b/>
          <w:i/>
          <w:noProof/>
          <w:szCs w:val="22"/>
          <w:lang w:eastAsia="en-US"/>
        </w:rPr>
        <w:t>;</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ind w:left="1417" w:hanging="567"/>
        <w:rPr>
          <w:rFonts w:eastAsia="Calibri"/>
          <w:b/>
          <w:szCs w:val="22"/>
          <w:lang w:eastAsia="en-US"/>
        </w:rPr>
      </w:pPr>
      <w:proofErr w:type="spellStart"/>
      <w:r>
        <w:rPr>
          <w:rFonts w:eastAsia="Calibri"/>
          <w:b/>
          <w:i/>
          <w:szCs w:val="22"/>
          <w:lang w:eastAsia="en-US"/>
        </w:rPr>
        <w:lastRenderedPageBreak/>
        <w:t>ca</w:t>
      </w:r>
      <w:proofErr w:type="spellEnd"/>
      <w:r>
        <w:rPr>
          <w:rFonts w:eastAsia="Calibri"/>
          <w:b/>
          <w:i/>
          <w:szCs w:val="22"/>
          <w:lang w:eastAsia="en-US"/>
        </w:rPr>
        <w:t>)</w:t>
      </w:r>
      <w:r>
        <w:rPr>
          <w:rFonts w:eastAsia="Calibri"/>
          <w:szCs w:val="22"/>
          <w:lang w:eastAsia="en-US"/>
        </w:rPr>
        <w:tab/>
      </w:r>
      <w:r>
        <w:rPr>
          <w:rFonts w:eastAsia="Calibri"/>
          <w:b/>
          <w:i/>
          <w:szCs w:val="22"/>
          <w:lang w:eastAsia="en-US"/>
        </w:rPr>
        <w:t>Platby vyplývajúce z nákupov, predajov, dodávok, komisionárskych alebo sprostredkovateľských operácií, ktoré prispievajú k výrobe kníh, ako aj za dodávku papiera a iného spotrebného materiálu určeného</w:t>
      </w:r>
      <w:r>
        <w:rPr>
          <w:rFonts w:eastAsia="Calibri"/>
          <w:b/>
          <w:i/>
          <w:szCs w:val="22"/>
          <w:lang w:eastAsia="en-US"/>
        </w:rPr>
        <w:t xml:space="preserve"> na tlač, viazanie alebo vydávanie kníh v ich osobitnom postavení ako kultúrnych produktov dlhodobej spotreby, kde platobné podmienky budú definované dohodou medzi dotknutými stranami.</w:t>
      </w:r>
      <w:r>
        <w:rPr>
          <w:rFonts w:eastAsia="Calibri"/>
          <w:b/>
          <w:szCs w:val="22"/>
          <w:lang w:eastAsia="en-US"/>
        </w:rPr>
        <w:t xml:space="preserve"> [Am. 109]</w:t>
      </w:r>
    </w:p>
    <w:p w:rsidR="00166001" w:rsidRDefault="00992344">
      <w:pPr>
        <w:widowControl/>
        <w:spacing w:before="120" w:after="120" w:line="360" w:lineRule="auto"/>
        <w:ind w:left="851" w:hanging="1"/>
        <w:rPr>
          <w:rFonts w:eastAsia="Calibri"/>
          <w:b/>
          <w:noProof/>
          <w:szCs w:val="22"/>
          <w:lang w:eastAsia="en-US"/>
        </w:rPr>
      </w:pPr>
      <w:r>
        <w:rPr>
          <w:rFonts w:eastAsia="Calibri"/>
          <w:b/>
          <w:i/>
          <w:szCs w:val="22"/>
          <w:lang w:eastAsia="en-US"/>
        </w:rPr>
        <w:t>Bez ohľadu na písmeno b) sa toto nariadenie vzťahuje na platb</w:t>
      </w:r>
      <w:r>
        <w:rPr>
          <w:rFonts w:eastAsia="Calibri"/>
          <w:b/>
          <w:i/>
          <w:szCs w:val="22"/>
          <w:lang w:eastAsia="en-US"/>
        </w:rPr>
        <w:t>y uskutočnené ako plnenie záväzkov vyplývajúcich z poistných zmlúv.</w:t>
      </w:r>
      <w:r>
        <w:rPr>
          <w:rFonts w:eastAsia="Calibri"/>
          <w:b/>
          <w:szCs w:val="22"/>
          <w:lang w:eastAsia="en-US"/>
        </w:rPr>
        <w:t xml:space="preserve"> [Am. 28]</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4.</w:t>
      </w:r>
      <w:r>
        <w:rPr>
          <w:rFonts w:eastAsia="Calibri"/>
          <w:noProof/>
          <w:szCs w:val="22"/>
          <w:lang w:eastAsia="en-US"/>
        </w:rPr>
        <w:tab/>
      </w:r>
      <w:r>
        <w:rPr>
          <w:rFonts w:eastAsia="Calibri"/>
          <w:strike/>
          <w:noProof/>
          <w:szCs w:val="22"/>
          <w:lang w:eastAsia="en-US"/>
        </w:rPr>
        <w:t>S výnimkou článku 3 ods. 1</w:t>
      </w:r>
      <w:r>
        <w:rPr>
          <w:rFonts w:eastAsia="Calibri"/>
          <w:b/>
          <w:i/>
          <w:szCs w:val="22"/>
          <w:lang w:eastAsia="en-US"/>
        </w:rPr>
        <w:t>Týmto nariadením</w:t>
      </w:r>
      <w:r>
        <w:rPr>
          <w:rFonts w:eastAsia="Calibri"/>
          <w:noProof/>
          <w:szCs w:val="22"/>
          <w:lang w:eastAsia="en-US"/>
        </w:rPr>
        <w:t xml:space="preserve"> nie sú </w:t>
      </w:r>
      <w:r>
        <w:rPr>
          <w:rFonts w:eastAsia="Calibri"/>
          <w:strike/>
          <w:noProof/>
          <w:szCs w:val="22"/>
          <w:lang w:eastAsia="en-US"/>
        </w:rPr>
        <w:t>týmto nariadením</w:t>
      </w:r>
      <w:r>
        <w:rPr>
          <w:rFonts w:eastAsia="Calibri"/>
          <w:noProof/>
          <w:szCs w:val="22"/>
          <w:lang w:eastAsia="en-US"/>
        </w:rPr>
        <w:t xml:space="preserve"> dotknuté ustanovenia smernice (EÚ) 2019/633.</w:t>
      </w:r>
      <w:r>
        <w:rPr>
          <w:rFonts w:eastAsia="Calibri"/>
          <w:b/>
          <w:noProof/>
          <w:szCs w:val="22"/>
          <w:lang w:eastAsia="en-US"/>
        </w:rPr>
        <w:t xml:space="preserve"> [Am. 29]</w:t>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t xml:space="preserve">Článok 2 </w:t>
      </w:r>
      <w:r>
        <w:rPr>
          <w:rFonts w:eastAsia="Calibri"/>
          <w:noProof/>
          <w:szCs w:val="22"/>
          <w:lang w:eastAsia="en-US"/>
        </w:rPr>
        <w:br/>
        <w:t>Vymedzenie pojmov</w:t>
      </w:r>
    </w:p>
    <w:p w:rsidR="00166001" w:rsidRDefault="00992344">
      <w:pPr>
        <w:widowControl/>
        <w:spacing w:before="120" w:after="120" w:line="360" w:lineRule="auto"/>
        <w:rPr>
          <w:rFonts w:eastAsia="Calibri"/>
          <w:noProof/>
          <w:szCs w:val="22"/>
          <w:lang w:eastAsia="en-US"/>
        </w:rPr>
      </w:pPr>
      <w:r>
        <w:rPr>
          <w:rFonts w:eastAsia="Calibri"/>
          <w:noProof/>
          <w:szCs w:val="22"/>
          <w:lang w:eastAsia="en-US"/>
        </w:rPr>
        <w:t>Na účely tohto nariadenia s</w:t>
      </w:r>
      <w:r>
        <w:rPr>
          <w:rFonts w:eastAsia="Calibri"/>
          <w:noProof/>
          <w:szCs w:val="22"/>
          <w:lang w:eastAsia="en-US"/>
        </w:rPr>
        <w:t xml:space="preserve">a uplatňuje toto vymedzenie pojmov: </w:t>
      </w:r>
    </w:p>
    <w:p w:rsidR="00166001" w:rsidRDefault="00992344">
      <w:pPr>
        <w:widowControl/>
        <w:spacing w:before="120" w:after="120" w:line="360" w:lineRule="auto"/>
        <w:ind w:left="850" w:hanging="850"/>
        <w:rPr>
          <w:rFonts w:eastAsia="Calibri"/>
          <w:b/>
          <w:noProof/>
          <w:szCs w:val="22"/>
          <w:lang w:eastAsia="en-US"/>
        </w:rPr>
      </w:pPr>
      <w:r>
        <w:rPr>
          <w:rFonts w:eastAsia="Calibri"/>
          <w:b/>
          <w:i/>
          <w:szCs w:val="22"/>
          <w:lang w:eastAsia="en-US"/>
        </w:rPr>
        <w:t>-1.</w:t>
      </w:r>
      <w:r>
        <w:rPr>
          <w:rFonts w:eastAsia="Calibri"/>
          <w:b/>
          <w:i/>
          <w:szCs w:val="22"/>
          <w:lang w:eastAsia="en-US"/>
        </w:rPr>
        <w:tab/>
        <w:t>„obchodné transakcie“ sú transakcie medzi podnikmi alebo medzi podnikmi a orgánmi verejnej moci, ktoré vedú k dodávke tovaru alebo k poskytnutiu služieb za odplatu;</w:t>
      </w:r>
      <w:r>
        <w:rPr>
          <w:rFonts w:eastAsia="Calibri"/>
          <w:b/>
          <w:szCs w:val="22"/>
          <w:lang w:eastAsia="en-US"/>
        </w:rPr>
        <w:t xml:space="preserve"> [Am. 30]</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lastRenderedPageBreak/>
        <w:t>1.</w:t>
      </w:r>
      <w:r>
        <w:rPr>
          <w:rFonts w:eastAsia="Calibri"/>
          <w:noProof/>
          <w:szCs w:val="22"/>
          <w:lang w:eastAsia="en-US"/>
        </w:rPr>
        <w:tab/>
        <w:t>„podnik“ je akákoľvek organizácia be</w:t>
      </w:r>
      <w:r>
        <w:rPr>
          <w:rFonts w:eastAsia="Calibri"/>
          <w:noProof/>
          <w:szCs w:val="22"/>
          <w:lang w:eastAsia="en-US"/>
        </w:rPr>
        <w:t>z ohľadu na jej formu a spôsob financovania, ktorá nezávisle vykonáva hospodársku alebo odbornú činnosť;</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2.</w:t>
      </w:r>
      <w:r>
        <w:rPr>
          <w:rFonts w:eastAsia="Calibri"/>
          <w:noProof/>
          <w:szCs w:val="22"/>
          <w:lang w:eastAsia="en-US"/>
        </w:rPr>
        <w:tab/>
        <w:t>„orgán verejnej moci“ je akýkoľvek verejný obstarávateľ v zmysle vymedzenia v článku 6 bode 1 smernice 2014/23/EÚ, v článku 2 ods. 1 bode 1 smernice</w:t>
      </w:r>
      <w:r>
        <w:rPr>
          <w:rFonts w:eastAsia="Calibri"/>
          <w:noProof/>
          <w:szCs w:val="22"/>
          <w:lang w:eastAsia="en-US"/>
        </w:rPr>
        <w:t xml:space="preserve"> 2014/24/EÚ alebo v článku 3 ods. 1 smernice 2014/25/EÚ </w:t>
      </w:r>
      <w:r>
        <w:rPr>
          <w:rFonts w:eastAsia="Calibri"/>
          <w:b/>
          <w:i/>
          <w:szCs w:val="22"/>
          <w:lang w:eastAsia="en-US"/>
        </w:rPr>
        <w:t>bez ohľadu na predmet alebo hodnotu zmluvy</w:t>
      </w:r>
      <w:r>
        <w:rPr>
          <w:rFonts w:eastAsia="Calibri"/>
          <w:noProof/>
          <w:szCs w:val="22"/>
          <w:lang w:eastAsia="en-US"/>
        </w:rPr>
        <w:t>;</w:t>
      </w:r>
      <w:r>
        <w:rPr>
          <w:rFonts w:eastAsia="Calibri"/>
          <w:b/>
          <w:noProof/>
          <w:szCs w:val="22"/>
          <w:lang w:eastAsia="en-US"/>
        </w:rPr>
        <w:t xml:space="preserve"> [Am. 31]</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3.</w:t>
      </w:r>
      <w:r>
        <w:rPr>
          <w:rFonts w:eastAsia="Calibri"/>
          <w:noProof/>
          <w:szCs w:val="22"/>
          <w:lang w:eastAsia="en-US"/>
        </w:rPr>
        <w:tab/>
        <w:t xml:space="preserve">„oneskorená platba“ </w:t>
      </w:r>
      <w:r>
        <w:rPr>
          <w:rFonts w:eastAsia="Calibri"/>
          <w:b/>
          <w:i/>
          <w:szCs w:val="22"/>
          <w:lang w:eastAsia="en-US"/>
        </w:rPr>
        <w:t xml:space="preserve">splatnej sumy </w:t>
      </w:r>
      <w:r>
        <w:rPr>
          <w:rFonts w:eastAsia="Calibri"/>
          <w:noProof/>
          <w:szCs w:val="22"/>
          <w:lang w:eastAsia="en-US"/>
        </w:rPr>
        <w:t>je platba, ktorá sa neuskutočnila v zmluvnej alebo zákonnej lehote splatnosti stanovenej v článku 3;</w:t>
      </w:r>
      <w:r>
        <w:rPr>
          <w:rFonts w:eastAsia="Calibri"/>
          <w:b/>
          <w:noProof/>
          <w:szCs w:val="22"/>
          <w:lang w:eastAsia="en-US"/>
        </w:rPr>
        <w:t xml:space="preserve"> [Am. 32]</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4.</w:t>
      </w:r>
      <w:r>
        <w:rPr>
          <w:rFonts w:eastAsia="Calibri"/>
          <w:noProof/>
          <w:szCs w:val="22"/>
          <w:lang w:eastAsia="en-US"/>
        </w:rPr>
        <w:tab/>
        <w:t>„splatná suma“ je suma, ktorá mala byť zaplatená v zmluvnej alebo zákonnej lehote splatnosti stanovenej v článku 3, a to vrátane uplatniteľných daní, ciel, poplatkov alebo odvodov uvedených na faktúre alebo v rovnocennej výzve na zaplatenie;</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5.</w:t>
      </w:r>
      <w:r>
        <w:rPr>
          <w:rFonts w:eastAsia="Calibri"/>
          <w:noProof/>
          <w:szCs w:val="22"/>
          <w:lang w:eastAsia="en-US"/>
        </w:rPr>
        <w:tab/>
        <w:t>„vykonat</w:t>
      </w:r>
      <w:r>
        <w:rPr>
          <w:rFonts w:eastAsia="Calibri"/>
          <w:noProof/>
          <w:szCs w:val="22"/>
          <w:lang w:eastAsia="en-US"/>
        </w:rPr>
        <w:t>eľný titul“ je akékoľvek rozhodnutie, rozsudok alebo platobný rozkaz vydaný súdom alebo iným príslušným orgánom, súkromnoprávna listina alebo akýkoľvek iný vydaný dokument vrátane tých, ktoré sú predbežne vykonateľné, či už na účel jednorazovej platby, ale</w:t>
      </w:r>
      <w:r>
        <w:rPr>
          <w:rFonts w:eastAsia="Calibri"/>
          <w:noProof/>
          <w:szCs w:val="22"/>
          <w:lang w:eastAsia="en-US"/>
        </w:rPr>
        <w:t xml:space="preserve">bo na účel platenia v splátkach, ktorý umožňuje veriteľovi uplatniť si nárok voči dlžníkovi pomocou prostriedkov núteného výkonu; </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lastRenderedPageBreak/>
        <w:t>6.</w:t>
      </w:r>
      <w:r>
        <w:rPr>
          <w:rFonts w:eastAsia="Calibri"/>
          <w:noProof/>
          <w:szCs w:val="22"/>
          <w:lang w:eastAsia="en-US"/>
        </w:rPr>
        <w:tab/>
        <w:t>„výhrada vlastníctva“ je zmluvná dohoda, podľa ktorej predávajúcemu zostáva zachované vlastnícke právo k dotknutému tova</w:t>
      </w:r>
      <w:r>
        <w:rPr>
          <w:rFonts w:eastAsia="Calibri"/>
          <w:noProof/>
          <w:szCs w:val="22"/>
          <w:lang w:eastAsia="en-US"/>
        </w:rPr>
        <w:t>ru až do úplného zaplatenia ceny;</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7.</w:t>
      </w:r>
      <w:r>
        <w:rPr>
          <w:rFonts w:eastAsia="Calibri"/>
          <w:noProof/>
          <w:szCs w:val="22"/>
          <w:lang w:eastAsia="en-US"/>
        </w:rPr>
        <w:tab/>
        <w:t>„postup prijímania alebo overovania“ je postup na zabezpečenie súladu dodaného tovaru alebo poskytnutých služieb s požiadavkami zmluvy</w:t>
      </w:r>
      <w:r>
        <w:rPr>
          <w:rFonts w:eastAsia="Calibri"/>
          <w:b/>
          <w:i/>
          <w:szCs w:val="22"/>
          <w:lang w:eastAsia="en-US"/>
        </w:rPr>
        <w:t>, ako aj overovanie správnosti a súladu faktúry, ako aj overenie správnosti faktúry a</w:t>
      </w:r>
      <w:r>
        <w:rPr>
          <w:rFonts w:eastAsia="Calibri"/>
          <w:b/>
          <w:i/>
          <w:szCs w:val="22"/>
          <w:lang w:eastAsia="en-US"/>
        </w:rPr>
        <w:t xml:space="preserve"> jej súladu s týmito požiadavkami</w:t>
      </w:r>
      <w:r>
        <w:rPr>
          <w:rFonts w:eastAsia="Calibri"/>
          <w:noProof/>
          <w:szCs w:val="22"/>
          <w:lang w:eastAsia="en-US"/>
        </w:rPr>
        <w:t>;</w:t>
      </w:r>
      <w:r>
        <w:rPr>
          <w:rFonts w:eastAsia="Calibri"/>
          <w:b/>
          <w:noProof/>
          <w:szCs w:val="22"/>
          <w:lang w:eastAsia="en-US"/>
        </w:rPr>
        <w:t xml:space="preserve"> [Am. 33]</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8.</w:t>
      </w:r>
      <w:r>
        <w:rPr>
          <w:rFonts w:eastAsia="Calibri"/>
          <w:noProof/>
          <w:szCs w:val="22"/>
          <w:lang w:eastAsia="en-US"/>
        </w:rPr>
        <w:tab/>
        <w:t xml:space="preserve">„dlžník“ je akákoľvek fyzická alebo právnická osoba alebo akýkoľvek orgán verejnej moci, ktorý je povinný uhradiť platbu za dodaný tovar alebo </w:t>
      </w:r>
      <w:r>
        <w:rPr>
          <w:rFonts w:eastAsia="Calibri"/>
          <w:b/>
          <w:i/>
          <w:szCs w:val="22"/>
          <w:lang w:eastAsia="en-US"/>
        </w:rPr>
        <w:t xml:space="preserve">tovar, ktorý má byť dodaný, alebo </w:t>
      </w:r>
      <w:r>
        <w:rPr>
          <w:rFonts w:eastAsia="Calibri"/>
          <w:noProof/>
          <w:szCs w:val="22"/>
          <w:lang w:eastAsia="en-US"/>
        </w:rPr>
        <w:t xml:space="preserve">za poskytnutú službu </w:t>
      </w:r>
      <w:r>
        <w:rPr>
          <w:rFonts w:eastAsia="Calibri"/>
          <w:b/>
          <w:i/>
          <w:szCs w:val="22"/>
          <w:lang w:eastAsia="en-US"/>
        </w:rPr>
        <w:t>alebo</w:t>
      </w:r>
      <w:r>
        <w:rPr>
          <w:rFonts w:eastAsia="Calibri"/>
          <w:szCs w:val="22"/>
          <w:lang w:eastAsia="en-US"/>
        </w:rPr>
        <w:t xml:space="preserve"> </w:t>
      </w:r>
      <w:r>
        <w:rPr>
          <w:rFonts w:eastAsia="Calibri"/>
          <w:b/>
          <w:i/>
          <w:szCs w:val="22"/>
          <w:lang w:eastAsia="en-US"/>
        </w:rPr>
        <w:t>službu, ktorá má byť poskytnutá</w:t>
      </w:r>
      <w:r>
        <w:rPr>
          <w:rFonts w:eastAsia="Calibri"/>
          <w:szCs w:val="22"/>
          <w:lang w:eastAsia="en-US"/>
        </w:rPr>
        <w:t>;</w:t>
      </w:r>
      <w:r>
        <w:rPr>
          <w:rFonts w:eastAsia="Calibri"/>
          <w:b/>
          <w:noProof/>
          <w:szCs w:val="22"/>
          <w:lang w:eastAsia="en-US"/>
        </w:rPr>
        <w:t xml:space="preserve"> [Am. 34]</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9.</w:t>
      </w:r>
      <w:r>
        <w:rPr>
          <w:rFonts w:eastAsia="Calibri"/>
          <w:noProof/>
          <w:szCs w:val="22"/>
          <w:lang w:eastAsia="en-US"/>
        </w:rPr>
        <w:tab/>
        <w:t>„veriteľ“ je akákoľvek fyzická alebo právnická osoba</w:t>
      </w:r>
      <w:r>
        <w:rPr>
          <w:rFonts w:eastAsia="Calibri"/>
          <w:b/>
          <w:i/>
          <w:szCs w:val="22"/>
          <w:lang w:eastAsia="en-US"/>
        </w:rPr>
        <w:t>, ktorá dlžníkovi dodala</w:t>
      </w:r>
      <w:r>
        <w:rPr>
          <w:rFonts w:eastAsia="Calibri"/>
          <w:noProof/>
          <w:szCs w:val="22"/>
          <w:lang w:eastAsia="en-US"/>
        </w:rPr>
        <w:t xml:space="preserve"> alebo </w:t>
      </w:r>
      <w:r>
        <w:rPr>
          <w:rFonts w:eastAsia="Calibri"/>
          <w:strike/>
          <w:noProof/>
          <w:szCs w:val="22"/>
          <w:lang w:eastAsia="en-US"/>
        </w:rPr>
        <w:t>akýkoľvek orgán verejnej moci, ktorý</w:t>
      </w:r>
      <w:r>
        <w:rPr>
          <w:rFonts w:eastAsia="Calibri"/>
          <w:b/>
          <w:i/>
          <w:szCs w:val="22"/>
          <w:lang w:eastAsia="en-US"/>
        </w:rPr>
        <w:t>je povinná dodať tovar alebo ktorá</w:t>
      </w:r>
      <w:r>
        <w:rPr>
          <w:rFonts w:eastAsia="Calibri"/>
          <w:noProof/>
          <w:szCs w:val="22"/>
          <w:lang w:eastAsia="en-US"/>
        </w:rPr>
        <w:t xml:space="preserve"> dlžníkovi </w:t>
      </w:r>
      <w:r>
        <w:rPr>
          <w:rFonts w:eastAsia="Calibri"/>
          <w:strike/>
          <w:noProof/>
          <w:szCs w:val="22"/>
          <w:lang w:eastAsia="en-US"/>
        </w:rPr>
        <w:t>dodal tovar alebo poskytol</w:t>
      </w:r>
      <w:r>
        <w:rPr>
          <w:rFonts w:eastAsia="Calibri"/>
          <w:b/>
          <w:i/>
          <w:szCs w:val="22"/>
          <w:lang w:eastAsia="en-US"/>
        </w:rPr>
        <w:t>poskytla alebo je pov</w:t>
      </w:r>
      <w:r>
        <w:rPr>
          <w:rFonts w:eastAsia="Calibri"/>
          <w:b/>
          <w:i/>
          <w:szCs w:val="22"/>
          <w:lang w:eastAsia="en-US"/>
        </w:rPr>
        <w:t>inná poskytnúť</w:t>
      </w:r>
      <w:r>
        <w:rPr>
          <w:rFonts w:eastAsia="Calibri"/>
          <w:noProof/>
          <w:szCs w:val="22"/>
          <w:lang w:eastAsia="en-US"/>
        </w:rPr>
        <w:t xml:space="preserve"> služby</w:t>
      </w:r>
      <w:r>
        <w:rPr>
          <w:rFonts w:eastAsia="Calibri"/>
          <w:strike/>
          <w:noProof/>
          <w:szCs w:val="22"/>
          <w:lang w:eastAsia="en-US"/>
        </w:rPr>
        <w:t>.</w:t>
      </w:r>
      <w:r>
        <w:rPr>
          <w:rFonts w:eastAsia="Calibri"/>
          <w:b/>
          <w:i/>
          <w:noProof/>
          <w:szCs w:val="22"/>
          <w:lang w:eastAsia="en-US"/>
        </w:rPr>
        <w:t>;</w:t>
      </w:r>
      <w:r>
        <w:rPr>
          <w:rFonts w:eastAsia="Calibri"/>
          <w:b/>
          <w:noProof/>
          <w:szCs w:val="22"/>
          <w:lang w:eastAsia="en-US"/>
        </w:rPr>
        <w:t xml:space="preserve"> [Am. 35]</w:t>
      </w:r>
    </w:p>
    <w:p w:rsidR="00166001" w:rsidRDefault="00992344">
      <w:pPr>
        <w:widowControl/>
        <w:spacing w:before="120" w:after="120" w:line="360" w:lineRule="auto"/>
        <w:ind w:left="850" w:hanging="850"/>
        <w:rPr>
          <w:rFonts w:eastAsia="Calibri"/>
          <w:b/>
          <w:szCs w:val="22"/>
          <w:lang w:eastAsia="en-US"/>
        </w:rPr>
      </w:pPr>
      <w:proofErr w:type="spellStart"/>
      <w:r>
        <w:rPr>
          <w:rFonts w:eastAsia="Calibri"/>
          <w:b/>
          <w:i/>
          <w:szCs w:val="22"/>
          <w:lang w:eastAsia="en-US"/>
        </w:rPr>
        <w:t>9a</w:t>
      </w:r>
      <w:proofErr w:type="spellEnd"/>
      <w:r>
        <w:rPr>
          <w:rFonts w:eastAsia="Calibri"/>
          <w:b/>
          <w:i/>
          <w:szCs w:val="22"/>
          <w:lang w:eastAsia="en-US"/>
        </w:rPr>
        <w:t>.</w:t>
      </w:r>
      <w:r>
        <w:rPr>
          <w:rFonts w:eastAsia="Calibri"/>
          <w:b/>
          <w:i/>
          <w:szCs w:val="22"/>
          <w:lang w:eastAsia="en-US"/>
        </w:rPr>
        <w:tab/>
        <w:t>„veľký podnik“ je podnik v zmysle jeho vymedzenia v článku 3 ods. 4 smernice 2013/34/EÚ;</w:t>
      </w:r>
      <w:r>
        <w:rPr>
          <w:rFonts w:eastAsia="Calibri"/>
          <w:b/>
          <w:szCs w:val="22"/>
          <w:lang w:eastAsia="en-US"/>
        </w:rPr>
        <w:t xml:space="preserve"> [Am. 36]</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ind w:left="850" w:hanging="850"/>
        <w:rPr>
          <w:rFonts w:eastAsia="Calibri"/>
          <w:b/>
          <w:szCs w:val="22"/>
          <w:lang w:eastAsia="en-US"/>
        </w:rPr>
      </w:pPr>
      <w:proofErr w:type="spellStart"/>
      <w:r>
        <w:rPr>
          <w:rFonts w:eastAsia="Calibri"/>
          <w:b/>
          <w:i/>
          <w:szCs w:val="22"/>
          <w:lang w:eastAsia="en-US"/>
        </w:rPr>
        <w:lastRenderedPageBreak/>
        <w:t>9b</w:t>
      </w:r>
      <w:proofErr w:type="spellEnd"/>
      <w:r>
        <w:rPr>
          <w:rFonts w:eastAsia="Calibri"/>
          <w:b/>
          <w:i/>
          <w:szCs w:val="22"/>
          <w:lang w:eastAsia="en-US"/>
        </w:rPr>
        <w:t>.</w:t>
      </w:r>
      <w:r>
        <w:rPr>
          <w:rFonts w:eastAsia="Calibri"/>
          <w:b/>
          <w:i/>
          <w:szCs w:val="22"/>
          <w:lang w:eastAsia="en-US"/>
        </w:rPr>
        <w:tab/>
        <w:t>„tovar dlhodobej spotreby“ je tovar v držbe maloobchodníka, a to od skutočného dodania výrobcom alebo veľkoobchodní</w:t>
      </w:r>
      <w:r>
        <w:rPr>
          <w:rFonts w:eastAsia="Calibri"/>
          <w:b/>
          <w:i/>
          <w:szCs w:val="22"/>
          <w:lang w:eastAsia="en-US"/>
        </w:rPr>
        <w:t>kom po konečný maloobchodný predaj, v priemere viac ako 60 dní;</w:t>
      </w:r>
      <w:r>
        <w:rPr>
          <w:rFonts w:eastAsia="Calibri"/>
          <w:b/>
          <w:szCs w:val="22"/>
          <w:lang w:eastAsia="en-US"/>
        </w:rPr>
        <w:t xml:space="preserve"> [Am. 37]</w:t>
      </w:r>
    </w:p>
    <w:p w:rsidR="00166001" w:rsidRDefault="00992344">
      <w:pPr>
        <w:widowControl/>
        <w:spacing w:before="120" w:after="120" w:line="360" w:lineRule="auto"/>
        <w:ind w:left="850" w:hanging="850"/>
        <w:rPr>
          <w:rFonts w:eastAsia="Calibri"/>
          <w:b/>
          <w:szCs w:val="22"/>
          <w:lang w:eastAsia="en-US"/>
        </w:rPr>
      </w:pPr>
      <w:proofErr w:type="spellStart"/>
      <w:r>
        <w:rPr>
          <w:rFonts w:eastAsia="Calibri"/>
          <w:b/>
          <w:i/>
          <w:szCs w:val="22"/>
          <w:lang w:eastAsia="en-US"/>
        </w:rPr>
        <w:t>9c</w:t>
      </w:r>
      <w:proofErr w:type="spellEnd"/>
      <w:r>
        <w:rPr>
          <w:rFonts w:eastAsia="Calibri"/>
          <w:b/>
          <w:i/>
          <w:szCs w:val="22"/>
          <w:lang w:eastAsia="en-US"/>
        </w:rPr>
        <w:t>.</w:t>
      </w:r>
      <w:r>
        <w:rPr>
          <w:rFonts w:eastAsia="Calibri"/>
          <w:b/>
          <w:i/>
          <w:szCs w:val="22"/>
          <w:lang w:eastAsia="en-US"/>
        </w:rPr>
        <w:tab/>
        <w:t>„sezónny tovar“ je tovar, po ktorom sa pravidelne v určitých obdobiach alebo obdobiach roka výrazne zvyšuje dopyt;</w:t>
      </w:r>
      <w:r>
        <w:rPr>
          <w:rFonts w:eastAsia="Calibri"/>
          <w:b/>
          <w:szCs w:val="22"/>
          <w:lang w:eastAsia="en-US"/>
        </w:rPr>
        <w:t xml:space="preserve"> [Am. 38]</w:t>
      </w:r>
    </w:p>
    <w:p w:rsidR="00166001" w:rsidRDefault="00992344">
      <w:pPr>
        <w:widowControl/>
        <w:spacing w:before="120" w:after="120" w:line="360" w:lineRule="auto"/>
        <w:ind w:left="850" w:hanging="850"/>
        <w:rPr>
          <w:rFonts w:eastAsia="Calibri"/>
          <w:b/>
          <w:noProof/>
          <w:szCs w:val="22"/>
          <w:lang w:eastAsia="en-US"/>
        </w:rPr>
      </w:pPr>
      <w:proofErr w:type="spellStart"/>
      <w:r>
        <w:rPr>
          <w:rFonts w:eastAsia="Calibri"/>
          <w:b/>
          <w:i/>
          <w:szCs w:val="22"/>
          <w:lang w:eastAsia="en-US"/>
        </w:rPr>
        <w:t>9d</w:t>
      </w:r>
      <w:proofErr w:type="spellEnd"/>
      <w:r>
        <w:rPr>
          <w:rFonts w:eastAsia="Calibri"/>
          <w:b/>
          <w:i/>
          <w:szCs w:val="22"/>
          <w:lang w:eastAsia="en-US"/>
        </w:rPr>
        <w:t xml:space="preserve">. </w:t>
      </w:r>
      <w:r>
        <w:rPr>
          <w:rFonts w:eastAsia="Calibri"/>
          <w:szCs w:val="22"/>
          <w:lang w:eastAsia="en-US"/>
        </w:rPr>
        <w:tab/>
      </w:r>
      <w:r>
        <w:rPr>
          <w:rFonts w:eastAsia="Calibri"/>
          <w:b/>
          <w:i/>
          <w:szCs w:val="22"/>
          <w:lang w:eastAsia="en-US"/>
        </w:rPr>
        <w:t>„Knižný reťazec“ sú všetci aktéri a dodávatelia za</w:t>
      </w:r>
      <w:r>
        <w:rPr>
          <w:rFonts w:eastAsia="Calibri"/>
          <w:b/>
          <w:i/>
          <w:szCs w:val="22"/>
          <w:lang w:eastAsia="en-US"/>
        </w:rPr>
        <w:t>pojení do procesu výroby a predaja kníh v papierovej alebo digitálnej podobe, a najmä aktéri pôsobiaci v knižnom priemysle (autor, vydavateľ, tlačiareň, distribútor, kníhkupectvo) a ich dodávatelia.</w:t>
      </w:r>
      <w:r>
        <w:rPr>
          <w:rFonts w:eastAsia="Calibri"/>
          <w:b/>
          <w:szCs w:val="22"/>
          <w:lang w:eastAsia="en-US"/>
        </w:rPr>
        <w:t xml:space="preserve"> [Am. 94]</w:t>
      </w:r>
    </w:p>
    <w:p w:rsidR="00166001" w:rsidRDefault="00992344">
      <w:pPr>
        <w:widowControl/>
        <w:rPr>
          <w:rFonts w:eastAsia="Calibri"/>
          <w:i/>
          <w:noProof/>
          <w:szCs w:val="22"/>
          <w:lang w:eastAsia="en-US"/>
        </w:rPr>
      </w:pPr>
      <w:r>
        <w:rPr>
          <w:rFonts w:eastAsia="Calibri"/>
          <w:i/>
          <w:noProof/>
          <w:szCs w:val="22"/>
          <w:lang w:eastAsia="en-US"/>
        </w:rPr>
        <w:br w:type="page"/>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lastRenderedPageBreak/>
        <w:t xml:space="preserve">Článok 3 </w:t>
      </w:r>
      <w:r>
        <w:rPr>
          <w:rFonts w:eastAsia="Calibri"/>
          <w:noProof/>
          <w:szCs w:val="22"/>
          <w:lang w:eastAsia="en-US"/>
        </w:rPr>
        <w:br/>
        <w:t>Lehoty splatnosti</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1.</w:t>
      </w:r>
      <w:r>
        <w:rPr>
          <w:rFonts w:eastAsia="Calibri"/>
          <w:noProof/>
          <w:szCs w:val="22"/>
          <w:lang w:eastAsia="en-US"/>
        </w:rPr>
        <w:tab/>
        <w:t xml:space="preserve">V prípade </w:t>
      </w:r>
      <w:r>
        <w:rPr>
          <w:rFonts w:eastAsia="Calibri"/>
          <w:noProof/>
          <w:szCs w:val="22"/>
          <w:lang w:eastAsia="en-US"/>
        </w:rPr>
        <w:t>obchodných transakcií nesmie lehota splatnosti presiahnuť 30 kalendárnych dní odo dňa doručenia faktúry alebo rovnocennej výzvy na zaplatenie dlžníkom za predpokladu, že dlžník prijal tovar alebo služby</w:t>
      </w:r>
      <w:r>
        <w:rPr>
          <w:rFonts w:eastAsia="Calibri"/>
          <w:b/>
          <w:i/>
          <w:szCs w:val="22"/>
          <w:lang w:eastAsia="en-US"/>
        </w:rPr>
        <w:t>v súlade so zmluvnou dohodou</w:t>
      </w:r>
      <w:r>
        <w:rPr>
          <w:rFonts w:eastAsia="Calibri"/>
          <w:szCs w:val="22"/>
          <w:lang w:eastAsia="en-US"/>
        </w:rPr>
        <w:t>.</w:t>
      </w:r>
      <w:r>
        <w:rPr>
          <w:rFonts w:eastAsia="Calibri"/>
          <w:b/>
          <w:i/>
          <w:szCs w:val="22"/>
          <w:lang w:eastAsia="en-US"/>
        </w:rPr>
        <w:t xml:space="preserve"> V prípade</w:t>
      </w:r>
      <w:r>
        <w:rPr>
          <w:rFonts w:eastAsia="Calibri"/>
          <w:szCs w:val="22"/>
          <w:lang w:eastAsia="en-US"/>
        </w:rPr>
        <w:t xml:space="preserve">, </w:t>
      </w:r>
      <w:r>
        <w:rPr>
          <w:rFonts w:eastAsia="Calibri"/>
          <w:b/>
          <w:i/>
          <w:szCs w:val="22"/>
          <w:lang w:eastAsia="en-US"/>
        </w:rPr>
        <w:t>že dátum doru</w:t>
      </w:r>
      <w:r>
        <w:rPr>
          <w:rFonts w:eastAsia="Calibri"/>
          <w:b/>
          <w:i/>
          <w:szCs w:val="22"/>
          <w:lang w:eastAsia="en-US"/>
        </w:rPr>
        <w:t>čenia faktúry alebo rovnocennej výzvy</w:t>
      </w:r>
      <w:r>
        <w:rPr>
          <w:rFonts w:eastAsia="Calibri"/>
          <w:szCs w:val="22"/>
          <w:lang w:eastAsia="en-US"/>
        </w:rPr>
        <w:t xml:space="preserve"> </w:t>
      </w:r>
      <w:r>
        <w:rPr>
          <w:rFonts w:eastAsia="Calibri"/>
          <w:b/>
          <w:i/>
          <w:szCs w:val="22"/>
          <w:lang w:eastAsia="en-US"/>
        </w:rPr>
        <w:t>na úhradu je neurčitý, lehota splatnosti nesmie presiahnuť 30 kalendárnych dní od dátumu prijatia tovaru alebo služby</w:t>
      </w:r>
      <w:r>
        <w:rPr>
          <w:rFonts w:eastAsia="Calibri"/>
          <w:b/>
          <w:i/>
          <w:noProof/>
          <w:szCs w:val="22"/>
          <w:lang w:eastAsia="en-US"/>
        </w:rPr>
        <w:t>.</w:t>
      </w:r>
      <w:r>
        <w:rPr>
          <w:rFonts w:eastAsia="Calibri"/>
          <w:noProof/>
          <w:szCs w:val="22"/>
          <w:lang w:eastAsia="en-US"/>
        </w:rPr>
        <w:t xml:space="preserve"> Táto lehota sa vzťahuje tak na transakcie medzi podnikmi, ako aj na transakcie medzi orgánmi verejn</w:t>
      </w:r>
      <w:r>
        <w:rPr>
          <w:rFonts w:eastAsia="Calibri"/>
          <w:noProof/>
          <w:szCs w:val="22"/>
          <w:lang w:eastAsia="en-US"/>
        </w:rPr>
        <w:t xml:space="preserve">ej moci a podnikmi. </w:t>
      </w:r>
      <w:r>
        <w:rPr>
          <w:rFonts w:eastAsia="Calibri"/>
          <w:strike/>
          <w:noProof/>
          <w:szCs w:val="22"/>
          <w:lang w:eastAsia="en-US"/>
        </w:rPr>
        <w:t xml:space="preserve">Rovnaká lehota splatnosti sa uplatňuje aj na pravidelné a nepravidelné dodávanie poľnohospodárskych a potravinových výrobkov, ktoré nepodliehajú skaze, ako sa uvádza v článku 3 ods. 1 písm. a) bode i) druhej zarážke a v článku 3 ods. 1 </w:t>
      </w:r>
      <w:r>
        <w:rPr>
          <w:rFonts w:eastAsia="Calibri"/>
          <w:strike/>
          <w:noProof/>
          <w:szCs w:val="22"/>
          <w:lang w:eastAsia="en-US"/>
        </w:rPr>
        <w:t>písm. a) bode ii) druhej zarážke smernice (EÚ) 2019/633, pokiaľ členské štáty nestanovia pre takéto výrobky kratšiu lehotu splatnosti.</w:t>
      </w:r>
      <w:r>
        <w:rPr>
          <w:rFonts w:eastAsia="Calibri"/>
          <w:b/>
          <w:noProof/>
          <w:szCs w:val="22"/>
          <w:lang w:eastAsia="en-US"/>
        </w:rPr>
        <w:t xml:space="preserve"> [Am. 39]</w:t>
      </w:r>
    </w:p>
    <w:p w:rsidR="00166001" w:rsidRDefault="00992344">
      <w:pPr>
        <w:widowControl/>
        <w:spacing w:before="120" w:after="120" w:line="360" w:lineRule="auto"/>
        <w:ind w:left="850" w:hanging="850"/>
        <w:rPr>
          <w:rFonts w:eastAsia="Calibri"/>
          <w:b/>
          <w:szCs w:val="22"/>
          <w:lang w:eastAsia="en-US"/>
        </w:rPr>
      </w:pPr>
      <w:proofErr w:type="spellStart"/>
      <w:r>
        <w:rPr>
          <w:rFonts w:eastAsia="Calibri"/>
          <w:b/>
          <w:i/>
          <w:szCs w:val="22"/>
          <w:lang w:eastAsia="en-US"/>
        </w:rPr>
        <w:t>1a</w:t>
      </w:r>
      <w:proofErr w:type="spellEnd"/>
      <w:r>
        <w:rPr>
          <w:rFonts w:eastAsia="Calibri"/>
          <w:b/>
          <w:i/>
          <w:szCs w:val="22"/>
          <w:lang w:eastAsia="en-US"/>
        </w:rPr>
        <w:t>.</w:t>
      </w:r>
      <w:r>
        <w:rPr>
          <w:rFonts w:eastAsia="Calibri"/>
          <w:b/>
          <w:i/>
          <w:szCs w:val="22"/>
          <w:lang w:eastAsia="en-US"/>
        </w:rPr>
        <w:tab/>
        <w:t>V prípade obchodných transakcií medzi podnikmi, ak je to výslovne dohodnuté v zmluve, sa lehota splatnosti u</w:t>
      </w:r>
      <w:r>
        <w:rPr>
          <w:rFonts w:eastAsia="Calibri"/>
          <w:b/>
          <w:i/>
          <w:szCs w:val="22"/>
          <w:lang w:eastAsia="en-US"/>
        </w:rPr>
        <w:t>vedená v odseku 1 môže predĺžiť až na 60 kalendárnych dní.</w:t>
      </w:r>
      <w:r>
        <w:rPr>
          <w:rFonts w:eastAsia="Calibri"/>
          <w:b/>
          <w:szCs w:val="22"/>
          <w:lang w:eastAsia="en-US"/>
        </w:rPr>
        <w:t xml:space="preserve"> [Am. 40]</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ind w:left="850" w:hanging="850"/>
        <w:rPr>
          <w:rFonts w:eastAsia="Calibri"/>
          <w:b/>
          <w:i/>
          <w:szCs w:val="22"/>
          <w:lang w:eastAsia="en-US"/>
        </w:rPr>
      </w:pPr>
      <w:proofErr w:type="spellStart"/>
      <w:r>
        <w:rPr>
          <w:rFonts w:eastAsia="Calibri"/>
          <w:b/>
          <w:i/>
          <w:szCs w:val="22"/>
          <w:lang w:eastAsia="en-US"/>
        </w:rPr>
        <w:lastRenderedPageBreak/>
        <w:t>1b</w:t>
      </w:r>
      <w:proofErr w:type="spellEnd"/>
      <w:r>
        <w:rPr>
          <w:rFonts w:eastAsia="Calibri"/>
          <w:b/>
          <w:i/>
          <w:szCs w:val="22"/>
          <w:lang w:eastAsia="en-US"/>
        </w:rPr>
        <w:t>.</w:t>
      </w:r>
      <w:r>
        <w:rPr>
          <w:rFonts w:eastAsia="Calibri"/>
          <w:b/>
          <w:i/>
          <w:szCs w:val="22"/>
          <w:lang w:eastAsia="en-US"/>
        </w:rPr>
        <w:tab/>
        <w:t>Odchylne od odseku 1 sa v prípade obchodných transakcií medzi podnikmi na nákup tovaru dlhodobej spotreby alebo sezónneho tovaru lehota môže splatnosti predĺžiť na 120 kalendárnych d</w:t>
      </w:r>
      <w:r>
        <w:rPr>
          <w:rFonts w:eastAsia="Calibri"/>
          <w:b/>
          <w:i/>
          <w:szCs w:val="22"/>
          <w:lang w:eastAsia="en-US"/>
        </w:rPr>
        <w:t>ní odo dňa doručenia faktúry alebo rovnocennej výzvy na zaplatenie dlžníkom za predpokladu, že dlžník prevzal tovar.</w:t>
      </w:r>
    </w:p>
    <w:p w:rsidR="00166001" w:rsidRDefault="00992344">
      <w:pPr>
        <w:widowControl/>
        <w:spacing w:before="120" w:after="120" w:line="360" w:lineRule="auto"/>
        <w:ind w:left="850" w:firstLine="1"/>
        <w:rPr>
          <w:rFonts w:eastAsia="Calibri"/>
          <w:b/>
          <w:szCs w:val="22"/>
          <w:lang w:eastAsia="en-US"/>
        </w:rPr>
      </w:pPr>
      <w:r>
        <w:rPr>
          <w:rFonts w:eastAsia="Calibri"/>
          <w:b/>
          <w:i/>
          <w:szCs w:val="22"/>
          <w:lang w:eastAsia="en-US"/>
        </w:rPr>
        <w:t>Pred dátumom začatia uplatňovania tohto nariadenia Komisia prijme a uverejní technickú usmerňovaciu dokumentáciu týkajúcu sa praktických po</w:t>
      </w:r>
      <w:r>
        <w:rPr>
          <w:rFonts w:eastAsia="Calibri"/>
          <w:b/>
          <w:i/>
          <w:szCs w:val="22"/>
          <w:lang w:eastAsia="en-US"/>
        </w:rPr>
        <w:t xml:space="preserve">drobností uplatňovania tohto odseku, pokiaľ ide o tovar, na ktorý sa vzťahuje vymedzenie pojmu tovaru dlhodobej spotreby stanovené v článku 2 ods. </w:t>
      </w:r>
      <w:proofErr w:type="spellStart"/>
      <w:r>
        <w:rPr>
          <w:rFonts w:eastAsia="Calibri"/>
          <w:b/>
          <w:i/>
          <w:szCs w:val="22"/>
          <w:lang w:eastAsia="en-US"/>
        </w:rPr>
        <w:t>9b</w:t>
      </w:r>
      <w:proofErr w:type="spellEnd"/>
      <w:r>
        <w:rPr>
          <w:rFonts w:eastAsia="Calibri"/>
          <w:b/>
          <w:i/>
          <w:szCs w:val="22"/>
          <w:lang w:eastAsia="en-US"/>
        </w:rPr>
        <w:t xml:space="preserve"> a vymedzenie pojmu sezónneho tovaru stanovené v článku 2 ods. </w:t>
      </w:r>
      <w:proofErr w:type="spellStart"/>
      <w:r>
        <w:rPr>
          <w:rFonts w:eastAsia="Calibri"/>
          <w:b/>
          <w:i/>
          <w:szCs w:val="22"/>
          <w:lang w:eastAsia="en-US"/>
        </w:rPr>
        <w:t>9c</w:t>
      </w:r>
      <w:proofErr w:type="spellEnd"/>
      <w:r>
        <w:rPr>
          <w:rFonts w:eastAsia="Calibri"/>
          <w:b/>
          <w:i/>
          <w:szCs w:val="22"/>
          <w:lang w:eastAsia="en-US"/>
        </w:rPr>
        <w:t>. Takáto dokumentácia s technickými usmern</w:t>
      </w:r>
      <w:r>
        <w:rPr>
          <w:rFonts w:eastAsia="Calibri"/>
          <w:b/>
          <w:i/>
          <w:szCs w:val="22"/>
          <w:lang w:eastAsia="en-US"/>
        </w:rPr>
        <w:t>eniami sa zaoberá najmä rozdielnymi platobnými postupmi zavedenými rôznymi hospodárskymi subjektmi, ktoré predstavujú riziko fragmentácie vnútorného trhu.</w:t>
      </w:r>
      <w:r>
        <w:rPr>
          <w:rFonts w:eastAsia="Calibri"/>
          <w:b/>
          <w:szCs w:val="22"/>
          <w:lang w:eastAsia="en-US"/>
        </w:rPr>
        <w:t xml:space="preserve"> [Am. 41]</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2.</w:t>
      </w:r>
      <w:r>
        <w:rPr>
          <w:rFonts w:eastAsia="Calibri"/>
          <w:noProof/>
          <w:szCs w:val="22"/>
          <w:lang w:eastAsia="en-US"/>
        </w:rPr>
        <w:tab/>
        <w:t>Postup prijímania alebo overovania</w:t>
      </w:r>
      <w:r>
        <w:rPr>
          <w:rFonts w:eastAsia="Calibri"/>
          <w:b/>
          <w:i/>
          <w:szCs w:val="22"/>
          <w:lang w:eastAsia="en-US"/>
        </w:rPr>
        <w:t>, ktorým sa má zabezpečiť súlad tovaru alebo služieb so</w:t>
      </w:r>
      <w:r>
        <w:rPr>
          <w:rFonts w:eastAsia="Calibri"/>
          <w:b/>
          <w:i/>
          <w:szCs w:val="22"/>
          <w:lang w:eastAsia="en-US"/>
        </w:rPr>
        <w:t xml:space="preserve"> zmluvou,</w:t>
      </w:r>
      <w:r>
        <w:rPr>
          <w:rFonts w:eastAsia="Calibri"/>
          <w:noProof/>
          <w:szCs w:val="22"/>
          <w:lang w:eastAsia="en-US"/>
        </w:rPr>
        <w:t xml:space="preserve"> môže byť </w:t>
      </w:r>
      <w:r>
        <w:rPr>
          <w:rFonts w:eastAsia="Calibri"/>
          <w:strike/>
          <w:noProof/>
          <w:szCs w:val="22"/>
          <w:lang w:eastAsia="en-US"/>
        </w:rPr>
        <w:t>výnimočne</w:t>
      </w:r>
      <w:r>
        <w:rPr>
          <w:rFonts w:eastAsia="Calibri"/>
          <w:noProof/>
          <w:szCs w:val="22"/>
          <w:lang w:eastAsia="en-US"/>
        </w:rPr>
        <w:t xml:space="preserve"> stanovený vo vnútroštátnom práve </w:t>
      </w:r>
      <w:r>
        <w:rPr>
          <w:rFonts w:eastAsia="Calibri"/>
          <w:strike/>
          <w:noProof/>
          <w:szCs w:val="22"/>
          <w:lang w:eastAsia="en-US"/>
        </w:rPr>
        <w:t>l</w:t>
      </w:r>
      <w:r>
        <w:rPr>
          <w:rFonts w:eastAsia="Calibri"/>
          <w:strike/>
          <w:noProof/>
          <w:szCs w:val="22"/>
          <w:u w:val="single"/>
          <w:lang w:eastAsia="en-US"/>
        </w:rPr>
        <w:t>en</w:t>
      </w:r>
      <w:r>
        <w:rPr>
          <w:rFonts w:eastAsia="Calibri"/>
          <w:noProof/>
          <w:szCs w:val="22"/>
          <w:lang w:eastAsia="en-US"/>
        </w:rPr>
        <w:t xml:space="preserve"> vtedy, ak je to nevyhnutne potrebné vzhľadom na osobitnú povahu tovaru alebo služieb. V takom prípade sa v zmluve opíšu podrobnosti postupu prijímania alebo overovania vrátane jeho trvania.</w:t>
      </w:r>
      <w:r>
        <w:rPr>
          <w:rFonts w:eastAsia="Calibri"/>
          <w:b/>
          <w:noProof/>
          <w:szCs w:val="22"/>
          <w:lang w:eastAsia="en-US"/>
        </w:rPr>
        <w:t xml:space="preserve"> </w:t>
      </w:r>
      <w:r>
        <w:rPr>
          <w:rFonts w:eastAsia="Calibri"/>
          <w:b/>
          <w:noProof/>
          <w:szCs w:val="22"/>
          <w:lang w:eastAsia="en-US"/>
        </w:rPr>
        <w:t>[Am. 42]</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lastRenderedPageBreak/>
        <w:t>3.</w:t>
      </w:r>
      <w:r>
        <w:rPr>
          <w:rFonts w:eastAsia="Calibri"/>
          <w:noProof/>
          <w:szCs w:val="22"/>
          <w:lang w:eastAsia="en-US"/>
        </w:rPr>
        <w:tab/>
        <w:t xml:space="preserve">Ak sa v zmluve stanovuje postup prijímania alebo overovania v súlade s odsekom 2, </w:t>
      </w:r>
      <w:r>
        <w:rPr>
          <w:rFonts w:eastAsia="Calibri"/>
          <w:b/>
          <w:i/>
          <w:szCs w:val="22"/>
          <w:lang w:eastAsia="en-US"/>
        </w:rPr>
        <w:t xml:space="preserve">na účely tohto nariadenia nesmie </w:t>
      </w:r>
      <w:r>
        <w:rPr>
          <w:rFonts w:eastAsia="Calibri"/>
          <w:noProof/>
          <w:szCs w:val="22"/>
          <w:lang w:eastAsia="en-US"/>
        </w:rPr>
        <w:t xml:space="preserve">maximálne trvanie tohto postupu </w:t>
      </w:r>
      <w:r>
        <w:rPr>
          <w:rFonts w:eastAsia="Calibri"/>
          <w:strike/>
          <w:noProof/>
          <w:szCs w:val="22"/>
          <w:lang w:eastAsia="en-US"/>
        </w:rPr>
        <w:t>nesmie</w:t>
      </w:r>
      <w:r>
        <w:rPr>
          <w:rFonts w:eastAsia="Calibri"/>
          <w:noProof/>
          <w:szCs w:val="22"/>
          <w:lang w:eastAsia="en-US"/>
        </w:rPr>
        <w:t xml:space="preserve"> presiahnuť 30 kalendárnych dní odo dňa prijatia tovaru alebo služieb dlžníkom, a to aj v</w:t>
      </w:r>
      <w:r>
        <w:rPr>
          <w:rFonts w:eastAsia="Calibri"/>
          <w:noProof/>
          <w:szCs w:val="22"/>
          <w:lang w:eastAsia="en-US"/>
        </w:rPr>
        <w:t>tedy, ak sa takýto tovar dodal alebo služby poskytli pred vystavením faktúry alebo rovnocennej výzvy na zaplatenie. V tom prípade dlžník začne postup prijímania alebo overovania ihneď po prevzatí tovaru a/alebo služieb, ktoré sú predmetom obchodnej transak</w:t>
      </w:r>
      <w:r>
        <w:rPr>
          <w:rFonts w:eastAsia="Calibri"/>
          <w:noProof/>
          <w:szCs w:val="22"/>
          <w:lang w:eastAsia="en-US"/>
        </w:rPr>
        <w:t xml:space="preserve">cie, od veriteľa. Lehota splatnosti nesmie presiahnuť 30 kalendárnych dní od </w:t>
      </w:r>
      <w:r>
        <w:rPr>
          <w:rFonts w:eastAsia="Calibri"/>
          <w:strike/>
          <w:noProof/>
          <w:szCs w:val="22"/>
          <w:lang w:eastAsia="en-US"/>
        </w:rPr>
        <w:t>uskutočnenia</w:t>
      </w:r>
      <w:r>
        <w:rPr>
          <w:rFonts w:eastAsia="Calibri"/>
          <w:b/>
          <w:i/>
          <w:szCs w:val="22"/>
          <w:lang w:eastAsia="en-US"/>
        </w:rPr>
        <w:t>ukončenia</w:t>
      </w:r>
      <w:r>
        <w:rPr>
          <w:rFonts w:eastAsia="Calibri"/>
          <w:noProof/>
          <w:szCs w:val="22"/>
          <w:lang w:eastAsia="en-US"/>
        </w:rPr>
        <w:t xml:space="preserve"> takéhoto postupu </w:t>
      </w:r>
      <w:r>
        <w:rPr>
          <w:rFonts w:eastAsia="Calibri"/>
          <w:b/>
          <w:i/>
          <w:szCs w:val="22"/>
          <w:lang w:eastAsia="en-US"/>
        </w:rPr>
        <w:t>alebo od doručenia faktúry alebo rovnocennej žiadosti o platbu, ak sa takáto žiadosť uskutoční neskôr</w:t>
      </w:r>
      <w:r>
        <w:rPr>
          <w:rFonts w:eastAsia="Calibri"/>
          <w:noProof/>
          <w:szCs w:val="22"/>
          <w:lang w:eastAsia="en-US"/>
        </w:rPr>
        <w:t>.</w:t>
      </w:r>
      <w:r>
        <w:rPr>
          <w:rFonts w:eastAsia="Calibri"/>
          <w:b/>
          <w:noProof/>
          <w:szCs w:val="22"/>
          <w:lang w:eastAsia="en-US"/>
        </w:rPr>
        <w:t xml:space="preserve"> [Am. 43]</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4.</w:t>
      </w:r>
      <w:r>
        <w:rPr>
          <w:rFonts w:eastAsia="Calibri"/>
          <w:noProof/>
          <w:szCs w:val="22"/>
          <w:lang w:eastAsia="en-US"/>
        </w:rPr>
        <w:tab/>
        <w:t xml:space="preserve">Lehota splatnosti </w:t>
      </w:r>
      <w:r>
        <w:rPr>
          <w:rFonts w:eastAsia="Calibri"/>
          <w:noProof/>
          <w:szCs w:val="22"/>
          <w:lang w:eastAsia="en-US"/>
        </w:rPr>
        <w:t>stanovená v </w:t>
      </w:r>
      <w:r>
        <w:rPr>
          <w:rFonts w:eastAsia="Calibri"/>
          <w:strike/>
          <w:noProof/>
          <w:szCs w:val="22"/>
          <w:lang w:eastAsia="en-US"/>
        </w:rPr>
        <w:t>odseku</w:t>
      </w:r>
      <w:r>
        <w:rPr>
          <w:rFonts w:eastAsia="Calibri"/>
          <w:b/>
          <w:i/>
          <w:szCs w:val="22"/>
          <w:lang w:eastAsia="en-US"/>
        </w:rPr>
        <w:t>odsekoch</w:t>
      </w:r>
      <w:r>
        <w:rPr>
          <w:rFonts w:eastAsia="Calibri"/>
          <w:noProof/>
          <w:szCs w:val="22"/>
          <w:lang w:eastAsia="en-US"/>
        </w:rPr>
        <w:t xml:space="preserve"> 1</w:t>
      </w:r>
      <w:r>
        <w:rPr>
          <w:rFonts w:eastAsia="Calibri"/>
          <w:b/>
          <w:i/>
          <w:szCs w:val="22"/>
          <w:lang w:eastAsia="en-US"/>
        </w:rPr>
        <w:t xml:space="preserve">, </w:t>
      </w:r>
      <w:proofErr w:type="spellStart"/>
      <w:r>
        <w:rPr>
          <w:rFonts w:eastAsia="Calibri"/>
          <w:b/>
          <w:i/>
          <w:szCs w:val="22"/>
          <w:lang w:eastAsia="en-US"/>
        </w:rPr>
        <w:t>1a</w:t>
      </w:r>
      <w:proofErr w:type="spellEnd"/>
      <w:r>
        <w:rPr>
          <w:rFonts w:eastAsia="Calibri"/>
          <w:b/>
          <w:i/>
          <w:szCs w:val="22"/>
          <w:lang w:eastAsia="en-US"/>
        </w:rPr>
        <w:t xml:space="preserve"> a</w:t>
      </w:r>
      <w:r>
        <w:rPr>
          <w:rFonts w:eastAsia="Calibri"/>
          <w:szCs w:val="22"/>
          <w:lang w:eastAsia="en-US"/>
        </w:rPr>
        <w:t xml:space="preserve"> </w:t>
      </w:r>
      <w:proofErr w:type="spellStart"/>
      <w:r>
        <w:rPr>
          <w:rFonts w:eastAsia="Calibri"/>
          <w:b/>
          <w:bCs/>
          <w:i/>
          <w:iCs/>
          <w:szCs w:val="22"/>
          <w:lang w:eastAsia="en-US"/>
        </w:rPr>
        <w:t>1</w:t>
      </w:r>
      <w:r>
        <w:rPr>
          <w:rFonts w:eastAsia="Calibri"/>
          <w:b/>
          <w:i/>
          <w:szCs w:val="22"/>
          <w:lang w:eastAsia="en-US"/>
        </w:rPr>
        <w:t>b</w:t>
      </w:r>
      <w:proofErr w:type="spellEnd"/>
      <w:r>
        <w:rPr>
          <w:rFonts w:eastAsia="Calibri"/>
          <w:noProof/>
          <w:szCs w:val="22"/>
          <w:lang w:eastAsia="en-US"/>
        </w:rPr>
        <w:t xml:space="preserve"> je maximálna lehota splatnosti a nie je ňou dotknutá kratšia lehota, ktorá môže byť stanovená vo vnútroštátnom práve.</w:t>
      </w:r>
      <w:r>
        <w:rPr>
          <w:rFonts w:eastAsia="Calibri"/>
          <w:b/>
          <w:noProof/>
          <w:szCs w:val="22"/>
          <w:lang w:eastAsia="en-US"/>
        </w:rPr>
        <w:t xml:space="preserve"> [Am. 44]</w:t>
      </w:r>
    </w:p>
    <w:p w:rsidR="00166001" w:rsidRDefault="00992344">
      <w:pPr>
        <w:widowControl/>
        <w:spacing w:before="120" w:after="120" w:line="360" w:lineRule="auto"/>
        <w:ind w:left="850" w:hanging="850"/>
        <w:rPr>
          <w:rFonts w:eastAsia="Calibri"/>
          <w:b/>
          <w:szCs w:val="22"/>
          <w:lang w:eastAsia="en-US"/>
        </w:rPr>
      </w:pPr>
      <w:proofErr w:type="spellStart"/>
      <w:r>
        <w:rPr>
          <w:rFonts w:eastAsia="Calibri"/>
          <w:b/>
          <w:i/>
          <w:szCs w:val="22"/>
          <w:lang w:eastAsia="en-US"/>
        </w:rPr>
        <w:t>4a</w:t>
      </w:r>
      <w:proofErr w:type="spellEnd"/>
      <w:r>
        <w:rPr>
          <w:rFonts w:eastAsia="Calibri"/>
          <w:b/>
          <w:i/>
          <w:szCs w:val="22"/>
          <w:lang w:eastAsia="en-US"/>
        </w:rPr>
        <w:t>.</w:t>
      </w:r>
      <w:r>
        <w:rPr>
          <w:rFonts w:eastAsia="Calibri"/>
          <w:b/>
          <w:i/>
          <w:szCs w:val="22"/>
          <w:lang w:eastAsia="en-US"/>
        </w:rPr>
        <w:tab/>
        <w:t xml:space="preserve">Členské štáty zavedú vhodné opatrenia na zlepšenie platobných postupov verejných </w:t>
      </w:r>
      <w:r>
        <w:rPr>
          <w:rFonts w:eastAsia="Calibri"/>
          <w:b/>
          <w:i/>
          <w:szCs w:val="22"/>
          <w:lang w:eastAsia="en-US"/>
        </w:rPr>
        <w:t>orgánov voči podnikom. V tejto súvislosti členské štáty zvážia zavedenie opatrení na zabezpečenie toho, aby podnik, ktorý je veriteľom v zmysle článku 2 ods. 9, mohol na žiadosť adresovanú orgánu verejnej moci, ktorý nezaplatil dlžnú sumu v maximálnej leho</w:t>
      </w:r>
      <w:r>
        <w:rPr>
          <w:rFonts w:eastAsia="Calibri"/>
          <w:b/>
          <w:i/>
          <w:szCs w:val="22"/>
          <w:lang w:eastAsia="en-US"/>
        </w:rPr>
        <w:t>te splatnosti stanovenej v odseku 1, získať započítanie dlžnej sumy s akoukoľvek dlžnou sumou, ktorú má veriteľ voči tomu istému orgánu verejnej moci.</w:t>
      </w:r>
      <w:r>
        <w:rPr>
          <w:rFonts w:eastAsia="Calibri"/>
          <w:b/>
          <w:szCs w:val="22"/>
          <w:lang w:eastAsia="en-US"/>
        </w:rPr>
        <w:t xml:space="preserve"> [Am. 45]</w:t>
      </w:r>
    </w:p>
    <w:p w:rsidR="00166001" w:rsidRDefault="00992344">
      <w:pPr>
        <w:widowControl/>
        <w:rPr>
          <w:rFonts w:eastAsia="Calibri"/>
          <w:i/>
          <w:noProof/>
          <w:szCs w:val="22"/>
          <w:lang w:eastAsia="en-US"/>
        </w:rPr>
      </w:pPr>
      <w:r>
        <w:rPr>
          <w:rFonts w:eastAsia="Calibri"/>
          <w:i/>
          <w:noProof/>
          <w:szCs w:val="22"/>
          <w:lang w:eastAsia="en-US"/>
        </w:rPr>
        <w:br w:type="page"/>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lastRenderedPageBreak/>
        <w:t xml:space="preserve">Článok 4 </w:t>
      </w:r>
      <w:r>
        <w:rPr>
          <w:rFonts w:eastAsia="Calibri"/>
          <w:noProof/>
          <w:szCs w:val="22"/>
          <w:lang w:eastAsia="en-US"/>
        </w:rPr>
        <w:br/>
        <w:t>Platby subdodávateľom vo verejnom obstarávaní</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V prípade verejných zákaziek na usk</w:t>
      </w:r>
      <w:r>
        <w:rPr>
          <w:rFonts w:eastAsia="Calibri"/>
          <w:noProof/>
          <w:szCs w:val="22"/>
          <w:lang w:eastAsia="en-US"/>
        </w:rPr>
        <w:t>utočnenie stavebných prác, ktoré patria do rozsahu pôsobnosti smerníc Európskeho parlamentu a Rady 2014/23/EÚ, 2014/24/EÚ, 2014/25/EÚ a 2009/81/ES</w:t>
      </w:r>
      <w:r>
        <w:rPr>
          <w:rFonts w:eastAsia="Calibri"/>
          <w:noProof/>
          <w:szCs w:val="22"/>
          <w:vertAlign w:val="superscript"/>
          <w:lang w:eastAsia="en-US"/>
        </w:rPr>
        <w:footnoteReference w:id="24"/>
      </w:r>
      <w:r>
        <w:rPr>
          <w:rFonts w:eastAsia="Calibri"/>
          <w:noProof/>
          <w:szCs w:val="22"/>
          <w:lang w:eastAsia="en-US"/>
        </w:rPr>
        <w:t>, dodávatelia poskytnú verejným obstarávateľom alebo obstarávateľom v zmysle uvedených smerníc dôkaz o tom, ž</w:t>
      </w:r>
      <w:r>
        <w:rPr>
          <w:rFonts w:eastAsia="Calibri"/>
          <w:noProof/>
          <w:szCs w:val="22"/>
          <w:lang w:eastAsia="en-US"/>
        </w:rPr>
        <w:t>e v príslušných prípadoch zaplatili svojim priamym subdodávateľom zapojeným do plnenia zákazky v lehotách a za podmienok stanovených v tomto nariadení. Dôkaz môže mať formu písomného vyhlásenia dodávateľa a dodávateľ ho verejnému obstarávateľovi alebo obst</w:t>
      </w:r>
      <w:r>
        <w:rPr>
          <w:rFonts w:eastAsia="Calibri"/>
          <w:noProof/>
          <w:szCs w:val="22"/>
          <w:lang w:eastAsia="en-US"/>
        </w:rPr>
        <w:t xml:space="preserve">arávateľovi poskytne pred akoukoľvek žiadosťou o platbu alebo najneskôr spolu s ňou. </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Ak verejný obstarávateľ alebo obstarávateľ nedostal dôkaz stanovený v odseku 1 alebo má informácie o oneskorenej platbe hlavného dodávateľa jeho priamym subdodávateľom</w:t>
      </w:r>
      <w:r>
        <w:rPr>
          <w:rFonts w:eastAsia="Calibri"/>
          <w:noProof/>
          <w:szCs w:val="22"/>
          <w:lang w:eastAsia="en-US"/>
        </w:rPr>
        <w:t>, bezodkladne to oznámi orgánu presadzovania práva svojho členského štátu.</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lastRenderedPageBreak/>
        <w:t xml:space="preserve">Článok 5 </w:t>
      </w:r>
      <w:r>
        <w:rPr>
          <w:rFonts w:eastAsia="Calibri"/>
          <w:noProof/>
          <w:szCs w:val="22"/>
          <w:lang w:eastAsia="en-US"/>
        </w:rPr>
        <w:br/>
        <w:t xml:space="preserve">Úrok z omeškania </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1.</w:t>
      </w:r>
      <w:r>
        <w:rPr>
          <w:rFonts w:eastAsia="Calibri"/>
          <w:noProof/>
          <w:szCs w:val="22"/>
          <w:lang w:eastAsia="en-US"/>
        </w:rPr>
        <w:tab/>
        <w:t xml:space="preserve">V prípade oneskorenej platby </w:t>
      </w:r>
      <w:r>
        <w:rPr>
          <w:rFonts w:eastAsia="Calibri"/>
          <w:strike/>
          <w:noProof/>
          <w:szCs w:val="22"/>
          <w:lang w:eastAsia="en-US"/>
        </w:rPr>
        <w:t>je</w:t>
      </w:r>
      <w:r>
        <w:rPr>
          <w:rFonts w:eastAsia="Calibri"/>
          <w:noProof/>
          <w:szCs w:val="22"/>
          <w:lang w:eastAsia="en-US"/>
        </w:rPr>
        <w:t xml:space="preserve"> dlžník </w:t>
      </w:r>
      <w:r>
        <w:rPr>
          <w:rFonts w:eastAsia="Calibri"/>
          <w:strike/>
          <w:noProof/>
          <w:szCs w:val="22"/>
          <w:lang w:eastAsia="en-US"/>
        </w:rPr>
        <w:t>povinný zaplatiť</w:t>
      </w:r>
      <w:r>
        <w:rPr>
          <w:rFonts w:eastAsia="Calibri"/>
          <w:b/>
          <w:i/>
          <w:szCs w:val="22"/>
          <w:lang w:eastAsia="en-US"/>
        </w:rPr>
        <w:t>zaplatí</w:t>
      </w:r>
      <w:r>
        <w:rPr>
          <w:rFonts w:eastAsia="Calibri"/>
          <w:noProof/>
          <w:szCs w:val="22"/>
          <w:lang w:eastAsia="en-US"/>
        </w:rPr>
        <w:t xml:space="preserve"> úrok z omeškania </w:t>
      </w:r>
      <w:r>
        <w:rPr>
          <w:rFonts w:eastAsia="Calibri"/>
          <w:b/>
          <w:i/>
          <w:szCs w:val="22"/>
          <w:lang w:eastAsia="en-US"/>
        </w:rPr>
        <w:t>veriteľovi</w:t>
      </w:r>
      <w:r>
        <w:rPr>
          <w:rFonts w:eastAsia="Calibri"/>
          <w:szCs w:val="22"/>
          <w:lang w:eastAsia="en-US"/>
        </w:rPr>
        <w:t xml:space="preserve"> </w:t>
      </w:r>
      <w:r>
        <w:rPr>
          <w:rFonts w:eastAsia="Calibri"/>
          <w:noProof/>
          <w:szCs w:val="22"/>
          <w:lang w:eastAsia="en-US"/>
        </w:rPr>
        <w:t>s výnimkou prípadov, keď dlžník za dané oneskorenie platb</w:t>
      </w:r>
      <w:r>
        <w:rPr>
          <w:rFonts w:eastAsia="Calibri"/>
          <w:noProof/>
          <w:szCs w:val="22"/>
          <w:lang w:eastAsia="en-US"/>
        </w:rPr>
        <w:t>y nenesie zodpovednosť.</w:t>
      </w:r>
      <w:r>
        <w:rPr>
          <w:rFonts w:eastAsia="Calibri"/>
          <w:b/>
          <w:noProof/>
          <w:szCs w:val="22"/>
          <w:lang w:eastAsia="en-US"/>
        </w:rPr>
        <w:t xml:space="preserve"> [Am. 46]</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 xml:space="preserve">Úrok z omeškania musí dlžník splatiť veriteľovi automaticky bez toho, aby veriteľ musel zaslať upomienku, ak sú splnené tieto podmienky: </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veriteľ si splnil zmluvné záväzky a povinnosti stanovené zákonom;</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 xml:space="preserve">dlžník </w:t>
      </w:r>
      <w:r>
        <w:rPr>
          <w:rFonts w:eastAsia="Calibri"/>
          <w:noProof/>
          <w:szCs w:val="22"/>
          <w:lang w:eastAsia="en-US"/>
        </w:rPr>
        <w:t>dostal faktúru alebo rovnocennú výzvu na zaplatenie;</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r>
      <w:r>
        <w:rPr>
          <w:rFonts w:eastAsia="Calibri"/>
          <w:noProof/>
          <w:szCs w:val="22"/>
          <w:lang w:eastAsia="en-US"/>
        </w:rPr>
        <w:tab/>
        <w:t>veriteľ nedostal v zmluvnej alebo zákonnej lehote splatnosti stanovenej v článku 3 splatnú sumu uvedenú na faktúre alebo v rovnocennej výzve na zaplatenie.</w:t>
      </w:r>
    </w:p>
    <w:p w:rsidR="00166001" w:rsidRDefault="00992344">
      <w:pPr>
        <w:widowControl/>
        <w:spacing w:before="120" w:after="120" w:line="360" w:lineRule="auto"/>
        <w:ind w:left="850" w:hanging="850"/>
        <w:rPr>
          <w:rFonts w:eastAsia="Calibri"/>
          <w:b/>
          <w:noProof/>
          <w:szCs w:val="22"/>
          <w:lang w:eastAsia="en-US"/>
        </w:rPr>
      </w:pPr>
      <w:bookmarkStart w:id="13" w:name="_Hlk136509687"/>
      <w:r>
        <w:rPr>
          <w:rFonts w:eastAsia="Calibri"/>
          <w:noProof/>
          <w:szCs w:val="22"/>
          <w:lang w:eastAsia="en-US"/>
        </w:rPr>
        <w:t>3.</w:t>
      </w:r>
      <w:r>
        <w:rPr>
          <w:rFonts w:eastAsia="Calibri"/>
          <w:noProof/>
          <w:szCs w:val="22"/>
          <w:lang w:eastAsia="en-US"/>
        </w:rPr>
        <w:tab/>
        <w:t xml:space="preserve">Veriteľ sa nemôže vzdať svojho práva na </w:t>
      </w:r>
      <w:r>
        <w:rPr>
          <w:rFonts w:eastAsia="Calibri"/>
          <w:noProof/>
          <w:szCs w:val="22"/>
          <w:lang w:eastAsia="en-US"/>
        </w:rPr>
        <w:t>úrok z omeškania</w:t>
      </w:r>
      <w:r>
        <w:rPr>
          <w:rFonts w:eastAsia="Calibri"/>
          <w:b/>
          <w:i/>
          <w:szCs w:val="22"/>
          <w:lang w:eastAsia="en-US"/>
        </w:rPr>
        <w:t>, ak je dlžníkom orgán verejnej moci alebo veľký podnik</w:t>
      </w:r>
      <w:r>
        <w:rPr>
          <w:rFonts w:eastAsia="Calibri"/>
          <w:noProof/>
          <w:szCs w:val="22"/>
          <w:lang w:eastAsia="en-US"/>
        </w:rPr>
        <w:t>.</w:t>
      </w:r>
      <w:r>
        <w:rPr>
          <w:rFonts w:eastAsia="Calibri"/>
          <w:b/>
          <w:noProof/>
          <w:szCs w:val="22"/>
          <w:lang w:eastAsia="en-US"/>
        </w:rPr>
        <w:t xml:space="preserve"> [Am. 47]</w:t>
      </w:r>
    </w:p>
    <w:bookmarkEnd w:id="13"/>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lastRenderedPageBreak/>
        <w:t>4.</w:t>
      </w:r>
      <w:r>
        <w:rPr>
          <w:rFonts w:eastAsia="Calibri"/>
          <w:noProof/>
          <w:szCs w:val="22"/>
          <w:lang w:eastAsia="en-US"/>
        </w:rPr>
        <w:tab/>
        <w:t xml:space="preserve">Dátum prijatia faktúry alebo rovnocennej výzvy na zaplatenie nesmie byť predmetom zmluvnej dohody medzi dlžníkom a veriteľom. </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5.</w:t>
      </w:r>
      <w:r>
        <w:rPr>
          <w:rFonts w:eastAsia="Calibri"/>
          <w:noProof/>
          <w:szCs w:val="22"/>
          <w:lang w:eastAsia="en-US"/>
        </w:rPr>
        <w:tab/>
        <w:t>Dlžník poskytne veriteľovi všetky relev</w:t>
      </w:r>
      <w:r>
        <w:rPr>
          <w:rFonts w:eastAsia="Calibri"/>
          <w:noProof/>
          <w:szCs w:val="22"/>
          <w:lang w:eastAsia="en-US"/>
        </w:rPr>
        <w:t xml:space="preserve">antné informácie, aby zabezpečil prijatie a spracovanie faktúry alebo rovnocennej výzvy na zaplatenie od veriteľa hneď po jej doručení. </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6.</w:t>
      </w:r>
      <w:r>
        <w:rPr>
          <w:rFonts w:eastAsia="Calibri"/>
          <w:noProof/>
          <w:szCs w:val="22"/>
          <w:lang w:eastAsia="en-US"/>
        </w:rPr>
        <w:tab/>
        <w:t xml:space="preserve">Ak sú splnené podmienky stanovené v odseku 2, úrok z omeškania začína plynúť </w:t>
      </w:r>
      <w:r>
        <w:rPr>
          <w:rFonts w:eastAsia="Calibri"/>
          <w:strike/>
          <w:noProof/>
          <w:szCs w:val="22"/>
          <w:lang w:eastAsia="en-US"/>
        </w:rPr>
        <w:t>od poslednej z týchto udalostí:</w:t>
      </w:r>
      <w:r>
        <w:rPr>
          <w:rFonts w:eastAsia="Calibri"/>
          <w:b/>
          <w:i/>
          <w:szCs w:val="22"/>
          <w:lang w:eastAsia="en-US"/>
        </w:rPr>
        <w:t xml:space="preserve">odo dňa </w:t>
      </w:r>
      <w:r>
        <w:rPr>
          <w:rFonts w:eastAsia="Calibri"/>
          <w:b/>
          <w:i/>
          <w:szCs w:val="22"/>
          <w:lang w:eastAsia="en-US"/>
        </w:rPr>
        <w:t>nasledujúceho po uplynutí lehoty splatnosti stanovenej v zmluve alebo zákonnej lehoty splatnosti uvedenej v článku 3</w:t>
      </w:r>
    </w:p>
    <w:p w:rsidR="00166001" w:rsidRDefault="00992344">
      <w:pPr>
        <w:widowControl/>
        <w:spacing w:before="120" w:after="120" w:line="360" w:lineRule="auto"/>
        <w:ind w:left="1417" w:hanging="567"/>
        <w:rPr>
          <w:rFonts w:eastAsia="Calibri"/>
          <w:strike/>
          <w:noProof/>
          <w:szCs w:val="22"/>
          <w:lang w:eastAsia="en-US"/>
        </w:rPr>
      </w:pPr>
      <w:r>
        <w:rPr>
          <w:rFonts w:eastAsia="Calibri"/>
          <w:strike/>
          <w:noProof/>
          <w:szCs w:val="22"/>
          <w:lang w:eastAsia="en-US"/>
        </w:rPr>
        <w:t>a)</w:t>
      </w:r>
      <w:r>
        <w:rPr>
          <w:rFonts w:eastAsia="Calibri"/>
          <w:strike/>
          <w:noProof/>
          <w:szCs w:val="22"/>
          <w:lang w:eastAsia="en-US"/>
        </w:rPr>
        <w:tab/>
        <w:t>prijatie faktúry alebo rovnocennej výzvy na zaplatenie dlžníkom;</w:t>
      </w:r>
    </w:p>
    <w:p w:rsidR="00166001" w:rsidRDefault="00992344">
      <w:pPr>
        <w:widowControl/>
        <w:spacing w:before="120" w:after="120" w:line="360" w:lineRule="auto"/>
        <w:ind w:left="1417" w:hanging="567"/>
        <w:rPr>
          <w:rFonts w:eastAsia="Calibri"/>
          <w:noProof/>
          <w:szCs w:val="22"/>
          <w:lang w:eastAsia="en-US"/>
        </w:rPr>
      </w:pPr>
      <w:r>
        <w:rPr>
          <w:rFonts w:eastAsia="Calibri"/>
          <w:strike/>
          <w:noProof/>
          <w:szCs w:val="22"/>
          <w:lang w:eastAsia="en-US"/>
        </w:rPr>
        <w:t>b)</w:t>
      </w:r>
      <w:r>
        <w:rPr>
          <w:rFonts w:eastAsia="Calibri"/>
          <w:strike/>
          <w:noProof/>
          <w:szCs w:val="22"/>
          <w:lang w:eastAsia="en-US"/>
        </w:rPr>
        <w:tab/>
        <w:t>prijatie tovaru alebo služieb dlžníkom</w:t>
      </w:r>
      <w:r>
        <w:rPr>
          <w:rFonts w:eastAsia="Calibri"/>
          <w:noProof/>
          <w:szCs w:val="22"/>
          <w:lang w:eastAsia="en-US"/>
        </w:rPr>
        <w:t xml:space="preserve">. </w:t>
      </w:r>
      <w:r>
        <w:rPr>
          <w:rFonts w:eastAsia="Calibri"/>
          <w:b/>
          <w:noProof/>
          <w:szCs w:val="22"/>
          <w:lang w:eastAsia="en-US"/>
        </w:rPr>
        <w:t>[Am. 48]</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7.</w:t>
      </w:r>
      <w:r>
        <w:rPr>
          <w:rFonts w:eastAsia="Calibri"/>
          <w:noProof/>
          <w:szCs w:val="22"/>
          <w:lang w:eastAsia="en-US"/>
        </w:rPr>
        <w:tab/>
        <w:t>Úrok z omeškania</w:t>
      </w:r>
      <w:r>
        <w:rPr>
          <w:rFonts w:eastAsia="Calibri"/>
          <w:noProof/>
          <w:szCs w:val="22"/>
          <w:lang w:eastAsia="en-US"/>
        </w:rPr>
        <w:t xml:space="preserve"> </w:t>
      </w:r>
      <w:r>
        <w:rPr>
          <w:rFonts w:eastAsia="Calibri"/>
          <w:strike/>
          <w:noProof/>
          <w:szCs w:val="22"/>
          <w:lang w:eastAsia="en-US"/>
        </w:rPr>
        <w:t>nabieha až do zaplatenia splatnej sumy</w:t>
      </w:r>
      <w:r>
        <w:rPr>
          <w:rFonts w:eastAsia="Calibri"/>
          <w:b/>
          <w:i/>
          <w:szCs w:val="22"/>
          <w:lang w:eastAsia="en-US"/>
        </w:rPr>
        <w:t>narastá, pokým veriteľ nedostane zaplatenú dlžnú sumu</w:t>
      </w:r>
      <w:r>
        <w:rPr>
          <w:rFonts w:eastAsia="Calibri"/>
          <w:noProof/>
          <w:szCs w:val="22"/>
          <w:lang w:eastAsia="en-US"/>
        </w:rPr>
        <w:t>.</w:t>
      </w:r>
      <w:r>
        <w:rPr>
          <w:rFonts w:eastAsia="Calibri"/>
          <w:b/>
          <w:noProof/>
          <w:szCs w:val="22"/>
          <w:lang w:eastAsia="en-US"/>
        </w:rPr>
        <w:t xml:space="preserve"> [Am. 49]</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lastRenderedPageBreak/>
        <w:t xml:space="preserve">Článok 6 </w:t>
      </w:r>
      <w:r>
        <w:rPr>
          <w:rFonts w:eastAsia="Calibri"/>
          <w:noProof/>
          <w:szCs w:val="22"/>
          <w:lang w:eastAsia="en-US"/>
        </w:rPr>
        <w:br/>
        <w:t>Sadzba úroku z omeškania</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 xml:space="preserve">Úrok z omeškania sa rovná referenčnej sadzbe zvýšenej o 8 percentuálnych bodov. </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 xml:space="preserve">Členské štáty, ktorých menou </w:t>
      </w:r>
      <w:r>
        <w:rPr>
          <w:rFonts w:eastAsia="Calibri"/>
          <w:noProof/>
          <w:szCs w:val="22"/>
          <w:lang w:eastAsia="en-US"/>
        </w:rPr>
        <w:t>je euro, zabezpečia, aby referenčná sadzba zodpovedala jednej z týchto hodnôt:</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 xml:space="preserve">úroková sadzba používaná Európskou centrálnou bankou pre jej hlavné refinančné operácie; </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hraničná úroková sadzba vyplývajúca z postupov tendra s pohyblivou úrokovou sadzb</w:t>
      </w:r>
      <w:r>
        <w:rPr>
          <w:rFonts w:eastAsia="Calibri"/>
          <w:noProof/>
          <w:szCs w:val="22"/>
          <w:lang w:eastAsia="en-US"/>
        </w:rPr>
        <w:t xml:space="preserve">ou pre posledné hlavné refinančné operácie Európskej centrálnej banky. </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3.</w:t>
      </w:r>
      <w:r>
        <w:rPr>
          <w:rFonts w:eastAsia="Calibri"/>
          <w:noProof/>
          <w:szCs w:val="22"/>
          <w:lang w:eastAsia="en-US"/>
        </w:rPr>
        <w:tab/>
        <w:t xml:space="preserve">V členských štátoch, ktorých menou nie je euro, je referenčnou sadzbou sadzba stanovená národnou centrálnou bankou daného členského štátu. </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4.</w:t>
      </w:r>
      <w:r>
        <w:rPr>
          <w:rFonts w:eastAsia="Calibri"/>
          <w:noProof/>
          <w:szCs w:val="22"/>
          <w:lang w:eastAsia="en-US"/>
        </w:rPr>
        <w:tab/>
        <w:t>Referenčnou sadzbou za prvý polrok prí</w:t>
      </w:r>
      <w:r>
        <w:rPr>
          <w:rFonts w:eastAsia="Calibri"/>
          <w:noProof/>
          <w:szCs w:val="22"/>
          <w:lang w:eastAsia="en-US"/>
        </w:rPr>
        <w:t xml:space="preserve">slušného roku je sadzba stanoviteľná k 1. januáru daného roku. Referenčnou sadzbou za druhý polrok príslušného roku je sadzba stanoviteľná k 1. júlu daného roku. </w:t>
      </w:r>
    </w:p>
    <w:p w:rsidR="00166001" w:rsidRDefault="00992344">
      <w:pPr>
        <w:widowControl/>
        <w:rPr>
          <w:rFonts w:eastAsia="Calibri"/>
          <w:i/>
          <w:noProof/>
          <w:szCs w:val="22"/>
          <w:lang w:eastAsia="en-US"/>
        </w:rPr>
      </w:pPr>
      <w:r>
        <w:rPr>
          <w:rFonts w:eastAsia="Calibri"/>
          <w:i/>
          <w:noProof/>
          <w:szCs w:val="22"/>
          <w:lang w:eastAsia="en-US"/>
        </w:rPr>
        <w:br w:type="page"/>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lastRenderedPageBreak/>
        <w:t xml:space="preserve">Článok 7 </w:t>
      </w:r>
      <w:r>
        <w:rPr>
          <w:rFonts w:eastAsia="Calibri"/>
          <w:noProof/>
          <w:szCs w:val="22"/>
          <w:lang w:eastAsia="en-US"/>
        </w:rPr>
        <w:br/>
        <w:t>Rozvrhy platieb</w:t>
      </w:r>
    </w:p>
    <w:p w:rsidR="00166001" w:rsidRDefault="00992344">
      <w:pPr>
        <w:widowControl/>
        <w:spacing w:before="120" w:after="120" w:line="360" w:lineRule="auto"/>
        <w:rPr>
          <w:rFonts w:eastAsia="Calibri"/>
          <w:noProof/>
          <w:szCs w:val="22"/>
          <w:lang w:eastAsia="en-US"/>
        </w:rPr>
      </w:pPr>
      <w:r>
        <w:rPr>
          <w:rFonts w:eastAsia="Calibri"/>
          <w:noProof/>
          <w:szCs w:val="22"/>
          <w:lang w:eastAsia="en-US"/>
        </w:rPr>
        <w:t xml:space="preserve">Ak sa platba uskutočňuje na základe rozvrhov, v ktorých sa </w:t>
      </w:r>
      <w:r>
        <w:rPr>
          <w:rFonts w:eastAsia="Calibri"/>
          <w:noProof/>
          <w:szCs w:val="22"/>
          <w:lang w:eastAsia="en-US"/>
        </w:rPr>
        <w:t>stanovujú splátky, a niektorá zo splátok nie je uhradená do dohodnutého dátumu, úrok z omeškania uvedený v článku 5 sa vypočítava na základe akejkoľvek sumy po splatnosti. Vypláca sa aj náhrada v súlade s článkom 8.</w:t>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t xml:space="preserve">Článok 8 </w:t>
      </w:r>
      <w:r>
        <w:rPr>
          <w:rFonts w:eastAsia="Calibri"/>
          <w:noProof/>
          <w:szCs w:val="22"/>
          <w:lang w:eastAsia="en-US"/>
        </w:rPr>
        <w:br/>
        <w:t>Náhrada nákladov na vymáhanie</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1.</w:t>
      </w:r>
      <w:r>
        <w:rPr>
          <w:rFonts w:eastAsia="Calibri"/>
          <w:noProof/>
          <w:szCs w:val="22"/>
          <w:lang w:eastAsia="en-US"/>
        </w:rPr>
        <w:tab/>
        <w:t xml:space="preserve">Ak sa úrok z omeškania stane splatným v súlade s článkom 5, dlžník automaticky dlhuje veriteľovi paušálnu náhradu </w:t>
      </w:r>
      <w:r>
        <w:rPr>
          <w:rFonts w:eastAsia="Calibri"/>
          <w:b/>
          <w:i/>
          <w:szCs w:val="22"/>
          <w:lang w:eastAsia="en-US"/>
        </w:rPr>
        <w:t>poplatku</w:t>
      </w:r>
      <w:r>
        <w:rPr>
          <w:rFonts w:eastAsia="Calibri"/>
          <w:szCs w:val="22"/>
          <w:lang w:eastAsia="en-US"/>
        </w:rPr>
        <w:t xml:space="preserve"> </w:t>
      </w:r>
      <w:r>
        <w:rPr>
          <w:rFonts w:eastAsia="Calibri"/>
          <w:noProof/>
          <w:szCs w:val="22"/>
          <w:lang w:eastAsia="en-US"/>
        </w:rPr>
        <w:t xml:space="preserve">za náklady na vymáhanie, ktorej výška zodpovedá paušálnej sume 50 EUR za každú jednotlivú obchodnú transakciu </w:t>
      </w:r>
      <w:r>
        <w:rPr>
          <w:rFonts w:eastAsia="Calibri"/>
          <w:b/>
          <w:i/>
          <w:szCs w:val="22"/>
          <w:lang w:eastAsia="en-US"/>
        </w:rPr>
        <w:t>s hodnotou od 0 do 1</w:t>
      </w:r>
      <w:r>
        <w:rPr>
          <w:rFonts w:eastAsia="Calibri"/>
          <w:b/>
          <w:i/>
          <w:szCs w:val="22"/>
          <w:lang w:eastAsia="en-US"/>
        </w:rPr>
        <w:t> 500 EUR, 100 EUR za každú jednotlivú obchodnú transakciu s hodnotou od 1 501 do 15 000 EUR a 150 EUR za každú jednotlivú obchodnú transakciu nad 15 000 EUR</w:t>
      </w:r>
      <w:r>
        <w:rPr>
          <w:rFonts w:eastAsia="Calibri"/>
          <w:noProof/>
          <w:szCs w:val="22"/>
          <w:lang w:eastAsia="en-US"/>
        </w:rPr>
        <w:t xml:space="preserve">. </w:t>
      </w:r>
      <w:r>
        <w:rPr>
          <w:rFonts w:eastAsia="Calibri"/>
          <w:b/>
          <w:noProof/>
          <w:szCs w:val="22"/>
          <w:lang w:eastAsia="en-US"/>
        </w:rPr>
        <w:t xml:space="preserve"> [Am. 50]</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2.</w:t>
      </w:r>
      <w:r>
        <w:rPr>
          <w:rFonts w:eastAsia="Calibri"/>
          <w:noProof/>
          <w:szCs w:val="22"/>
          <w:lang w:eastAsia="en-US"/>
        </w:rPr>
        <w:tab/>
        <w:t>Paušálnu náhradu uvedenú v odseku 1 platí dlžník veriteľovi ako náhradu za vlastné ná</w:t>
      </w:r>
      <w:r>
        <w:rPr>
          <w:rFonts w:eastAsia="Calibri"/>
          <w:noProof/>
          <w:szCs w:val="22"/>
          <w:lang w:eastAsia="en-US"/>
        </w:rPr>
        <w:t xml:space="preserve">klady veriteľa na vymáhanie </w:t>
      </w:r>
      <w:r>
        <w:rPr>
          <w:rFonts w:eastAsia="Calibri"/>
          <w:strike/>
          <w:noProof/>
          <w:szCs w:val="22"/>
          <w:lang w:eastAsia="en-US"/>
        </w:rPr>
        <w:t>bez potreby upomienky</w:t>
      </w:r>
      <w:r>
        <w:rPr>
          <w:rFonts w:eastAsia="Calibri"/>
          <w:noProof/>
          <w:szCs w:val="22"/>
          <w:lang w:eastAsia="en-US"/>
        </w:rPr>
        <w:t>.</w:t>
      </w:r>
      <w:r>
        <w:rPr>
          <w:rFonts w:eastAsia="Calibri"/>
          <w:b/>
          <w:noProof/>
          <w:szCs w:val="22"/>
          <w:lang w:eastAsia="en-US"/>
        </w:rPr>
        <w:t xml:space="preserve"> [Am. 51]</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lastRenderedPageBreak/>
        <w:t>3.</w:t>
      </w:r>
      <w:r>
        <w:rPr>
          <w:rFonts w:eastAsia="Calibri"/>
          <w:noProof/>
          <w:szCs w:val="22"/>
          <w:lang w:eastAsia="en-US"/>
        </w:rPr>
        <w:tab/>
        <w:t>Veriteľ sa nemôže vzdať svojho práva získať paušálnu náhradu stanovenú v odseku 1</w:t>
      </w:r>
      <w:r>
        <w:rPr>
          <w:rFonts w:eastAsia="Calibri"/>
          <w:b/>
          <w:i/>
          <w:szCs w:val="22"/>
          <w:lang w:eastAsia="en-US"/>
        </w:rPr>
        <w:t>, ak je dlžníkom orgán verejnej moci alebo veľký podnik</w:t>
      </w:r>
      <w:r>
        <w:rPr>
          <w:rFonts w:eastAsia="Calibri"/>
          <w:noProof/>
          <w:szCs w:val="22"/>
          <w:lang w:eastAsia="en-US"/>
        </w:rPr>
        <w:t>.</w:t>
      </w:r>
      <w:r>
        <w:rPr>
          <w:rFonts w:eastAsia="Calibri"/>
          <w:b/>
          <w:noProof/>
          <w:szCs w:val="22"/>
          <w:lang w:eastAsia="en-US"/>
        </w:rPr>
        <w:t xml:space="preserve"> [Am. 52]</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4.</w:t>
      </w:r>
      <w:r>
        <w:rPr>
          <w:rFonts w:eastAsia="Calibri"/>
          <w:noProof/>
          <w:szCs w:val="22"/>
          <w:lang w:eastAsia="en-US"/>
        </w:rPr>
        <w:tab/>
        <w:t>Veriteľ je oprávnený získať od dlžníka po</w:t>
      </w:r>
      <w:r>
        <w:rPr>
          <w:rFonts w:eastAsia="Calibri"/>
          <w:noProof/>
          <w:szCs w:val="22"/>
          <w:lang w:eastAsia="en-US"/>
        </w:rPr>
        <w:t xml:space="preserve">pri paušálnej náhrade uvedenej v odseku 1 primeranú náhradu všetkých nákladov na vymáhanie presahujúcich túto paušálnu náhradu a vzniknutých v dôsledku dlžníkovho omeškania s platbou. </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5.</w:t>
      </w:r>
      <w:r>
        <w:rPr>
          <w:rFonts w:eastAsia="Calibri"/>
          <w:noProof/>
          <w:szCs w:val="22"/>
          <w:lang w:eastAsia="en-US"/>
        </w:rPr>
        <w:tab/>
        <w:t>Tento článok sa uplatňuje bez toho, aby boli dotknuté práva veriteľa</w:t>
      </w:r>
      <w:r>
        <w:rPr>
          <w:rFonts w:eastAsia="Calibri"/>
          <w:noProof/>
          <w:szCs w:val="22"/>
          <w:lang w:eastAsia="en-US"/>
        </w:rPr>
        <w:t xml:space="preserve"> na akúkoľvek inú náhradu.</w:t>
      </w:r>
    </w:p>
    <w:p w:rsidR="00166001" w:rsidRDefault="00992344">
      <w:pPr>
        <w:keepNext/>
        <w:widowControl/>
        <w:spacing w:before="120" w:after="120" w:line="360" w:lineRule="auto"/>
        <w:jc w:val="center"/>
        <w:rPr>
          <w:rFonts w:eastAsia="Calibri"/>
          <w:b/>
          <w:noProof/>
          <w:szCs w:val="22"/>
          <w:lang w:eastAsia="en-US"/>
        </w:rPr>
      </w:pPr>
      <w:r>
        <w:rPr>
          <w:rFonts w:eastAsia="Calibri"/>
          <w:noProof/>
          <w:szCs w:val="22"/>
          <w:lang w:eastAsia="en-US"/>
        </w:rPr>
        <w:t>Článok 9</w:t>
      </w:r>
      <w:r>
        <w:rPr>
          <w:rFonts w:eastAsia="Calibri"/>
          <w:i/>
          <w:noProof/>
          <w:szCs w:val="22"/>
          <w:lang w:eastAsia="en-US"/>
        </w:rPr>
        <w:t xml:space="preserve"> </w:t>
      </w:r>
      <w:r>
        <w:rPr>
          <w:rFonts w:eastAsia="Calibri"/>
          <w:i/>
          <w:noProof/>
          <w:szCs w:val="22"/>
          <w:lang w:eastAsia="en-US"/>
        </w:rPr>
        <w:br/>
      </w:r>
      <w:r>
        <w:rPr>
          <w:rFonts w:eastAsia="Calibri"/>
          <w:b/>
          <w:strike/>
          <w:noProof/>
          <w:szCs w:val="22"/>
          <w:lang w:eastAsia="en-US"/>
        </w:rPr>
        <w:t>Neplatné zmluvné podmienky</w:t>
      </w:r>
      <w:r>
        <w:rPr>
          <w:rFonts w:eastAsia="Calibri"/>
          <w:b/>
          <w:i/>
          <w:szCs w:val="22"/>
          <w:lang w:eastAsia="en-US"/>
        </w:rPr>
        <w:t>Zákaz určitých zmluvných podmienok</w:t>
      </w:r>
      <w:r>
        <w:rPr>
          <w:rFonts w:eastAsia="Calibri"/>
          <w:b/>
          <w:noProof/>
          <w:szCs w:val="22"/>
          <w:lang w:eastAsia="en-US"/>
        </w:rPr>
        <w:t xml:space="preserve"> </w:t>
      </w:r>
      <w:r>
        <w:rPr>
          <w:rFonts w:eastAsia="Calibri"/>
          <w:noProof/>
          <w:szCs w:val="22"/>
          <w:lang w:eastAsia="en-US"/>
        </w:rPr>
        <w:t>a</w:t>
      </w:r>
      <w:r>
        <w:rPr>
          <w:rFonts w:eastAsia="Calibri"/>
          <w:b/>
          <w:noProof/>
          <w:szCs w:val="22"/>
          <w:lang w:eastAsia="en-US"/>
        </w:rPr>
        <w:t> </w:t>
      </w:r>
      <w:proofErr w:type="spellStart"/>
      <w:r>
        <w:rPr>
          <w:rFonts w:eastAsia="Calibri"/>
          <w:b/>
          <w:strike/>
          <w:noProof/>
          <w:szCs w:val="22"/>
          <w:lang w:eastAsia="en-US"/>
        </w:rPr>
        <w:t>praktiky</w:t>
      </w:r>
      <w:r>
        <w:rPr>
          <w:rFonts w:eastAsia="Calibri"/>
          <w:b/>
          <w:i/>
          <w:szCs w:val="22"/>
          <w:lang w:eastAsia="en-US"/>
        </w:rPr>
        <w:t>praktík</w:t>
      </w:r>
      <w:proofErr w:type="spellEnd"/>
      <w:r>
        <w:rPr>
          <w:rFonts w:eastAsia="Calibri"/>
          <w:b/>
          <w:szCs w:val="22"/>
          <w:lang w:eastAsia="en-US"/>
        </w:rPr>
        <w:t xml:space="preserve"> [Am. 53]</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1.</w:t>
      </w:r>
      <w:r>
        <w:rPr>
          <w:rFonts w:eastAsia="Calibri"/>
          <w:noProof/>
          <w:szCs w:val="22"/>
          <w:lang w:eastAsia="en-US"/>
        </w:rPr>
        <w:tab/>
      </w:r>
      <w:r>
        <w:rPr>
          <w:rFonts w:eastAsia="Calibri"/>
          <w:strike/>
          <w:noProof/>
          <w:szCs w:val="22"/>
          <w:lang w:eastAsia="en-US"/>
        </w:rPr>
        <w:t xml:space="preserve">Neplatné sú </w:t>
      </w:r>
      <w:r>
        <w:rPr>
          <w:rFonts w:eastAsia="Calibri"/>
          <w:noProof/>
          <w:szCs w:val="22"/>
          <w:lang w:eastAsia="en-US"/>
        </w:rPr>
        <w:t xml:space="preserve">Tieto zmluvné podmienky a praktiky </w:t>
      </w:r>
      <w:r>
        <w:rPr>
          <w:rFonts w:eastAsia="Calibri"/>
          <w:b/>
          <w:i/>
          <w:szCs w:val="22"/>
          <w:lang w:eastAsia="en-US"/>
        </w:rPr>
        <w:t>sú neplatné a v každom prípade by sú zakázané</w:t>
      </w:r>
      <w:r>
        <w:rPr>
          <w:rFonts w:eastAsia="Calibri"/>
          <w:noProof/>
          <w:szCs w:val="22"/>
          <w:lang w:eastAsia="en-US"/>
        </w:rPr>
        <w:t>:</w:t>
      </w:r>
      <w:r>
        <w:rPr>
          <w:rFonts w:eastAsia="Calibri"/>
          <w:b/>
          <w:noProof/>
          <w:szCs w:val="22"/>
          <w:lang w:eastAsia="en-US"/>
        </w:rPr>
        <w:t xml:space="preserve"> [Am. 54]</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stanovenie lehoty spla</w:t>
      </w:r>
      <w:r>
        <w:rPr>
          <w:rFonts w:eastAsia="Calibri"/>
          <w:noProof/>
          <w:szCs w:val="22"/>
          <w:lang w:eastAsia="en-US"/>
        </w:rPr>
        <w:t>tnosti v rozpore s článkom 3;</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vylúčenie alebo obmedzenie práva veriteľa na získanie úroku z omeškania stanoveného v článku 5 alebo práva na získanie náhrady nákladov na vymáhanie stanovenej v článku 8;</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ind w:left="1417" w:hanging="567"/>
        <w:rPr>
          <w:rFonts w:eastAsia="Calibri"/>
          <w:b/>
          <w:i/>
          <w:szCs w:val="22"/>
          <w:lang w:eastAsia="en-US"/>
        </w:rPr>
      </w:pPr>
      <w:r>
        <w:rPr>
          <w:rFonts w:eastAsia="Calibri"/>
          <w:b/>
          <w:i/>
          <w:szCs w:val="22"/>
          <w:lang w:eastAsia="en-US"/>
        </w:rPr>
        <w:lastRenderedPageBreak/>
        <w:t>ba)</w:t>
      </w:r>
      <w:r>
        <w:rPr>
          <w:rFonts w:eastAsia="Calibri"/>
          <w:b/>
          <w:i/>
          <w:szCs w:val="22"/>
          <w:lang w:eastAsia="en-US"/>
        </w:rPr>
        <w:tab/>
        <w:t>vylúčenie alebo obmedzenie práva veriteľa na:</w:t>
      </w:r>
    </w:p>
    <w:p w:rsidR="00166001" w:rsidRDefault="00992344">
      <w:pPr>
        <w:widowControl/>
        <w:spacing w:before="120" w:after="120" w:line="360" w:lineRule="auto"/>
        <w:ind w:left="1985" w:hanging="567"/>
        <w:rPr>
          <w:rFonts w:eastAsia="Calibri"/>
          <w:b/>
          <w:i/>
          <w:szCs w:val="22"/>
          <w:lang w:eastAsia="en-US"/>
        </w:rPr>
      </w:pPr>
      <w:r>
        <w:rPr>
          <w:rFonts w:eastAsia="Calibri"/>
          <w:b/>
          <w:i/>
          <w:szCs w:val="22"/>
          <w:lang w:eastAsia="en-US"/>
        </w:rPr>
        <w:t xml:space="preserve">i) </w:t>
      </w:r>
      <w:r>
        <w:rPr>
          <w:rFonts w:eastAsia="Calibri"/>
          <w:b/>
          <w:i/>
          <w:szCs w:val="22"/>
          <w:lang w:eastAsia="en-US"/>
        </w:rPr>
        <w:tab/>
        <w:t>postúpenie úveru tretím stranám na účel prístupu k finančným službám;</w:t>
      </w:r>
    </w:p>
    <w:p w:rsidR="00166001" w:rsidRDefault="00992344">
      <w:pPr>
        <w:widowControl/>
        <w:spacing w:before="120" w:after="120" w:line="360" w:lineRule="auto"/>
        <w:ind w:left="1985" w:hanging="567"/>
        <w:rPr>
          <w:rFonts w:eastAsia="Calibri"/>
          <w:b/>
          <w:noProof/>
          <w:szCs w:val="22"/>
          <w:lang w:eastAsia="en-US"/>
        </w:rPr>
      </w:pPr>
      <w:r>
        <w:rPr>
          <w:rFonts w:eastAsia="Calibri"/>
          <w:b/>
          <w:i/>
          <w:szCs w:val="22"/>
          <w:lang w:eastAsia="en-US"/>
        </w:rPr>
        <w:t xml:space="preserve">ii) </w:t>
      </w:r>
      <w:r>
        <w:rPr>
          <w:rFonts w:eastAsia="Calibri"/>
          <w:b/>
          <w:i/>
          <w:szCs w:val="22"/>
          <w:lang w:eastAsia="en-US"/>
        </w:rPr>
        <w:tab/>
        <w:t>použitie exekučného platobného rozkazu vydaného súdom;</w:t>
      </w:r>
      <w:r>
        <w:rPr>
          <w:rFonts w:eastAsia="Calibri"/>
          <w:b/>
          <w:szCs w:val="22"/>
          <w:lang w:eastAsia="en-US"/>
        </w:rPr>
        <w:t xml:space="preserve"> [Am. 55]</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predĺženie trvania postupu overovania alebo prijímania nad rámec lehoty stanovenej v článku 3 ods. 3;</w:t>
      </w:r>
    </w:p>
    <w:p w:rsidR="00166001" w:rsidRDefault="00992344">
      <w:pPr>
        <w:widowControl/>
        <w:spacing w:before="120" w:after="120" w:line="360" w:lineRule="auto"/>
        <w:ind w:left="1417" w:hanging="567"/>
        <w:rPr>
          <w:rFonts w:eastAsia="Calibri"/>
          <w:b/>
          <w:noProof/>
          <w:szCs w:val="22"/>
          <w:lang w:eastAsia="en-US"/>
        </w:rPr>
      </w:pPr>
      <w:r>
        <w:rPr>
          <w:rFonts w:eastAsia="Calibri"/>
          <w:noProof/>
          <w:szCs w:val="22"/>
          <w:lang w:eastAsia="en-US"/>
        </w:rPr>
        <w:t>d)</w:t>
      </w:r>
      <w:r>
        <w:rPr>
          <w:rFonts w:eastAsia="Calibri"/>
          <w:noProof/>
          <w:szCs w:val="22"/>
          <w:lang w:eastAsia="en-US"/>
        </w:rPr>
        <w:tab/>
      </w:r>
      <w:r>
        <w:rPr>
          <w:rFonts w:eastAsia="Calibri"/>
          <w:strike/>
          <w:noProof/>
          <w:szCs w:val="22"/>
          <w:lang w:eastAsia="en-US"/>
        </w:rPr>
        <w:t>úmyselné odďaľovanie</w:t>
      </w:r>
      <w:r>
        <w:rPr>
          <w:rFonts w:eastAsia="Calibri"/>
          <w:b/>
          <w:i/>
          <w:szCs w:val="22"/>
          <w:lang w:eastAsia="en-US"/>
        </w:rPr>
        <w:t>zabránenie</w:t>
      </w:r>
      <w:r>
        <w:rPr>
          <w:rFonts w:eastAsia="Calibri"/>
          <w:noProof/>
          <w:szCs w:val="22"/>
          <w:lang w:eastAsia="en-US"/>
        </w:rPr>
        <w:t xml:space="preserve"> alebo </w:t>
      </w:r>
      <w:proofErr w:type="spellStart"/>
      <w:r>
        <w:rPr>
          <w:rFonts w:eastAsia="Calibri"/>
          <w:strike/>
          <w:noProof/>
          <w:szCs w:val="22"/>
          <w:lang w:eastAsia="en-US"/>
        </w:rPr>
        <w:t>zabránenie</w:t>
      </w:r>
      <w:r>
        <w:rPr>
          <w:rFonts w:eastAsia="Calibri"/>
          <w:b/>
          <w:i/>
          <w:szCs w:val="22"/>
          <w:lang w:eastAsia="en-US"/>
        </w:rPr>
        <w:t>odďaľovanie</w:t>
      </w:r>
      <w:proofErr w:type="spellEnd"/>
      <w:r>
        <w:rPr>
          <w:rFonts w:eastAsia="Calibri"/>
          <w:noProof/>
          <w:szCs w:val="22"/>
          <w:lang w:eastAsia="en-US"/>
        </w:rPr>
        <w:t xml:space="preserve"> okamihu odoslania faktúry </w:t>
      </w:r>
      <w:r>
        <w:rPr>
          <w:rFonts w:eastAsia="Calibri"/>
          <w:b/>
          <w:i/>
          <w:szCs w:val="22"/>
          <w:lang w:eastAsia="en-US"/>
        </w:rPr>
        <w:t>dlžníkom</w:t>
      </w:r>
      <w:r>
        <w:rPr>
          <w:rFonts w:eastAsia="Calibri"/>
          <w:strike/>
          <w:noProof/>
          <w:szCs w:val="22"/>
          <w:lang w:eastAsia="en-US"/>
        </w:rPr>
        <w:t>.</w:t>
      </w:r>
      <w:r>
        <w:rPr>
          <w:rFonts w:eastAsia="Calibri"/>
          <w:b/>
          <w:i/>
          <w:noProof/>
          <w:szCs w:val="22"/>
          <w:lang w:eastAsia="en-US"/>
        </w:rPr>
        <w:t>;</w:t>
      </w:r>
      <w:r>
        <w:rPr>
          <w:rFonts w:eastAsia="Calibri"/>
          <w:b/>
          <w:noProof/>
          <w:szCs w:val="22"/>
          <w:lang w:eastAsia="en-US"/>
        </w:rPr>
        <w:t xml:space="preserve"> [Am. 56]</w:t>
      </w:r>
    </w:p>
    <w:p w:rsidR="00166001" w:rsidRDefault="00992344">
      <w:pPr>
        <w:widowControl/>
        <w:spacing w:before="120" w:after="120" w:line="360" w:lineRule="auto"/>
        <w:ind w:left="1417" w:hanging="567"/>
        <w:rPr>
          <w:rFonts w:eastAsia="Calibri"/>
          <w:b/>
          <w:szCs w:val="22"/>
          <w:lang w:eastAsia="en-US"/>
        </w:rPr>
      </w:pPr>
      <w:r>
        <w:rPr>
          <w:rFonts w:eastAsia="Calibri"/>
          <w:b/>
          <w:i/>
          <w:szCs w:val="22"/>
          <w:lang w:eastAsia="en-US"/>
        </w:rPr>
        <w:t>da)</w:t>
      </w:r>
      <w:r>
        <w:rPr>
          <w:rFonts w:eastAsia="Calibri"/>
          <w:b/>
          <w:i/>
          <w:szCs w:val="22"/>
          <w:lang w:eastAsia="en-US"/>
        </w:rPr>
        <w:tab/>
        <w:t>zákaz, vylúčenie alebo obmedzenie postúpenia pohľadávok príslušnej finančnej inštitúcii;</w:t>
      </w:r>
      <w:r>
        <w:rPr>
          <w:rFonts w:eastAsia="Calibri"/>
          <w:b/>
          <w:szCs w:val="22"/>
          <w:lang w:eastAsia="en-US"/>
        </w:rPr>
        <w:t xml:space="preserve"> [Am. 57]</w:t>
      </w:r>
    </w:p>
    <w:p w:rsidR="00166001" w:rsidRDefault="00992344">
      <w:pPr>
        <w:widowControl/>
        <w:spacing w:before="120" w:after="120" w:line="360" w:lineRule="auto"/>
        <w:ind w:left="1417" w:hanging="567"/>
        <w:rPr>
          <w:rFonts w:eastAsia="Calibri"/>
          <w:b/>
          <w:noProof/>
          <w:szCs w:val="22"/>
          <w:lang w:eastAsia="en-US"/>
        </w:rPr>
      </w:pPr>
      <w:proofErr w:type="spellStart"/>
      <w:r>
        <w:rPr>
          <w:rFonts w:eastAsia="Calibri"/>
          <w:b/>
          <w:i/>
          <w:szCs w:val="22"/>
          <w:lang w:eastAsia="en-US"/>
        </w:rPr>
        <w:t>db</w:t>
      </w:r>
      <w:proofErr w:type="spellEnd"/>
      <w:r>
        <w:rPr>
          <w:rFonts w:eastAsia="Calibri"/>
          <w:b/>
          <w:i/>
          <w:szCs w:val="22"/>
          <w:lang w:eastAsia="en-US"/>
        </w:rPr>
        <w:t>)</w:t>
      </w:r>
      <w:r>
        <w:rPr>
          <w:rFonts w:eastAsia="Calibri"/>
          <w:b/>
          <w:i/>
          <w:szCs w:val="22"/>
          <w:lang w:eastAsia="en-US"/>
        </w:rPr>
        <w:tab/>
        <w:t>používanie platobných prostriedkov, ktoré men</w:t>
      </w:r>
      <w:r>
        <w:rPr>
          <w:rFonts w:eastAsia="Calibri"/>
          <w:b/>
          <w:i/>
          <w:szCs w:val="22"/>
          <w:lang w:eastAsia="en-US"/>
        </w:rPr>
        <w:t>ia platobné podmienky.</w:t>
      </w:r>
      <w:r>
        <w:rPr>
          <w:rFonts w:eastAsia="Calibri"/>
          <w:b/>
          <w:szCs w:val="22"/>
          <w:lang w:eastAsia="en-US"/>
        </w:rPr>
        <w:t xml:space="preserve"> [Am. 58]</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Členské štáty zabezpečia existenciu primeraných a účinných prostriedkov na ukončenie zmluvných podmienok a praktík uvedených v odseku 1.</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lastRenderedPageBreak/>
        <w:t>3.</w:t>
      </w:r>
      <w:r>
        <w:rPr>
          <w:rFonts w:eastAsia="Calibri"/>
          <w:noProof/>
          <w:szCs w:val="22"/>
          <w:lang w:eastAsia="en-US"/>
        </w:rPr>
        <w:tab/>
        <w:t>Prostriedky uvedené v odseku 2 zahŕňajú možnosť, aby organizácie oficiálne uzna</w:t>
      </w:r>
      <w:r>
        <w:rPr>
          <w:rFonts w:eastAsia="Calibri"/>
          <w:noProof/>
          <w:szCs w:val="22"/>
          <w:lang w:eastAsia="en-US"/>
        </w:rPr>
        <w:t xml:space="preserve">né ako organizácie zastupujúce veriteľov alebo organizácie s oprávneným záujmom zastupovať podniky začali konanie pred súdmi alebo príslušnými správnymi orgánmi. </w:t>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t xml:space="preserve">Článok 10 </w:t>
      </w:r>
      <w:r>
        <w:rPr>
          <w:rFonts w:eastAsia="Calibri"/>
          <w:noProof/>
          <w:szCs w:val="22"/>
          <w:lang w:eastAsia="en-US"/>
        </w:rPr>
        <w:br/>
        <w:t>Výhrada vlastníctva</w:t>
      </w:r>
    </w:p>
    <w:p w:rsidR="00166001" w:rsidRDefault="00992344">
      <w:pPr>
        <w:widowControl/>
        <w:spacing w:before="120" w:after="120" w:line="360" w:lineRule="auto"/>
        <w:rPr>
          <w:rFonts w:eastAsia="Calibri"/>
          <w:noProof/>
          <w:szCs w:val="22"/>
          <w:lang w:eastAsia="en-US"/>
        </w:rPr>
      </w:pPr>
      <w:r>
        <w:rPr>
          <w:rFonts w:eastAsia="Calibri"/>
          <w:noProof/>
          <w:szCs w:val="22"/>
          <w:lang w:eastAsia="en-US"/>
        </w:rPr>
        <w:t>Ak sa dlžník a veriteľ pred dodaním tovaru výslovne dohodli na</w:t>
      </w:r>
      <w:r>
        <w:rPr>
          <w:rFonts w:eastAsia="Calibri"/>
          <w:noProof/>
          <w:szCs w:val="22"/>
          <w:lang w:eastAsia="en-US"/>
        </w:rPr>
        <w:t xml:space="preserve"> výhrade vlastníctva, veriteľ si ponecháva vlastnícke právo k danému tovaru až do jeho úplného uhradenia. </w:t>
      </w:r>
    </w:p>
    <w:p w:rsidR="00166001" w:rsidRDefault="00992344">
      <w:pPr>
        <w:keepNext/>
        <w:widowControl/>
        <w:spacing w:before="120" w:after="120" w:line="360" w:lineRule="auto"/>
        <w:jc w:val="center"/>
        <w:rPr>
          <w:rFonts w:eastAsia="Calibri"/>
          <w:b/>
          <w:noProof/>
          <w:szCs w:val="22"/>
          <w:lang w:eastAsia="en-US"/>
        </w:rPr>
      </w:pPr>
      <w:r>
        <w:rPr>
          <w:rFonts w:eastAsia="Calibri"/>
          <w:noProof/>
          <w:szCs w:val="22"/>
          <w:lang w:eastAsia="en-US"/>
        </w:rPr>
        <w:t>Článok 11</w:t>
      </w:r>
      <w:r>
        <w:rPr>
          <w:rFonts w:eastAsia="Calibri"/>
          <w:i/>
          <w:noProof/>
          <w:szCs w:val="22"/>
          <w:lang w:eastAsia="en-US"/>
        </w:rPr>
        <w:t xml:space="preserve"> </w:t>
      </w:r>
      <w:r>
        <w:rPr>
          <w:rFonts w:eastAsia="Calibri"/>
          <w:i/>
          <w:noProof/>
          <w:szCs w:val="22"/>
          <w:lang w:eastAsia="en-US"/>
        </w:rPr>
        <w:br/>
      </w:r>
      <w:r>
        <w:rPr>
          <w:rFonts w:eastAsia="Calibri"/>
          <w:noProof/>
          <w:szCs w:val="22"/>
          <w:lang w:eastAsia="en-US"/>
        </w:rPr>
        <w:t>Transparentnosť</w:t>
      </w:r>
      <w:r>
        <w:rPr>
          <w:rFonts w:eastAsia="Calibri"/>
          <w:b/>
          <w:noProof/>
          <w:szCs w:val="22"/>
          <w:lang w:eastAsia="en-US"/>
        </w:rPr>
        <w:t xml:space="preserve"> </w:t>
      </w:r>
      <w:r>
        <w:rPr>
          <w:rFonts w:eastAsia="Calibri"/>
          <w:b/>
          <w:i/>
          <w:szCs w:val="22"/>
          <w:lang w:eastAsia="en-US"/>
        </w:rPr>
        <w:t>a zvyšovanie informovanosti</w:t>
      </w:r>
      <w:r>
        <w:rPr>
          <w:rFonts w:eastAsia="Calibri"/>
          <w:b/>
          <w:szCs w:val="22"/>
          <w:lang w:eastAsia="en-US"/>
        </w:rPr>
        <w:t xml:space="preserve"> [Am. 59]</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Členské štáty zabezpečia transparentnosť práv a povinností stanovených v tomto nar</w:t>
      </w:r>
      <w:r>
        <w:rPr>
          <w:rFonts w:eastAsia="Calibri"/>
          <w:noProof/>
          <w:szCs w:val="22"/>
          <w:lang w:eastAsia="en-US"/>
        </w:rPr>
        <w:t>iadení, a to aj zverejnením platnej sadzby zákonného úroku z omeškania.</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Komisia zverejní na internete aktuálne sadzby úroku z omeškania, ktoré sa uplatňujú v členských štátoch.</w:t>
      </w:r>
    </w:p>
    <w:p w:rsidR="00166001" w:rsidRDefault="00992344">
      <w:pPr>
        <w:widowControl/>
        <w:spacing w:before="120" w:after="120" w:line="360" w:lineRule="auto"/>
        <w:ind w:left="850" w:hanging="850"/>
        <w:rPr>
          <w:rFonts w:eastAsia="Calibri"/>
          <w:b/>
          <w:szCs w:val="22"/>
          <w:lang w:eastAsia="en-US"/>
        </w:rPr>
      </w:pPr>
      <w:proofErr w:type="spellStart"/>
      <w:r>
        <w:rPr>
          <w:rFonts w:eastAsia="Calibri"/>
          <w:b/>
          <w:i/>
          <w:szCs w:val="22"/>
          <w:lang w:eastAsia="en-US"/>
        </w:rPr>
        <w:t>2a</w:t>
      </w:r>
      <w:proofErr w:type="spellEnd"/>
      <w:r>
        <w:rPr>
          <w:rFonts w:eastAsia="Calibri"/>
          <w:b/>
          <w:i/>
          <w:szCs w:val="22"/>
          <w:lang w:eastAsia="en-US"/>
        </w:rPr>
        <w:t>.</w:t>
      </w:r>
      <w:r>
        <w:rPr>
          <w:rFonts w:eastAsia="Calibri"/>
          <w:b/>
          <w:i/>
          <w:szCs w:val="22"/>
          <w:lang w:eastAsia="en-US"/>
        </w:rPr>
        <w:tab/>
        <w:t>Členské štáty v prípade potreby využijú odborné publikácie, propagačné k</w:t>
      </w:r>
      <w:r>
        <w:rPr>
          <w:rFonts w:eastAsia="Calibri"/>
          <w:b/>
          <w:i/>
          <w:szCs w:val="22"/>
          <w:lang w:eastAsia="en-US"/>
        </w:rPr>
        <w:t>ampane či iné vhodné prostriedky na zvýšenie informovanosti podnikov o existencii prostriedkov nápravy pri oneskorených platbách.</w:t>
      </w:r>
      <w:r>
        <w:rPr>
          <w:rFonts w:eastAsia="Calibri"/>
          <w:b/>
          <w:szCs w:val="22"/>
          <w:lang w:eastAsia="en-US"/>
        </w:rPr>
        <w:t xml:space="preserve"> [Am. 60]</w:t>
      </w:r>
    </w:p>
    <w:p w:rsidR="00166001" w:rsidRDefault="00992344">
      <w:pPr>
        <w:widowControl/>
        <w:rPr>
          <w:rFonts w:eastAsia="Calibri"/>
          <w:i/>
          <w:noProof/>
          <w:szCs w:val="22"/>
          <w:lang w:eastAsia="en-US"/>
        </w:rPr>
      </w:pPr>
      <w:r>
        <w:rPr>
          <w:rFonts w:eastAsia="Calibri"/>
          <w:i/>
          <w:noProof/>
          <w:szCs w:val="22"/>
          <w:lang w:eastAsia="en-US"/>
        </w:rPr>
        <w:br w:type="page"/>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lastRenderedPageBreak/>
        <w:t xml:space="preserve">Článok 12 </w:t>
      </w:r>
      <w:r>
        <w:rPr>
          <w:rFonts w:eastAsia="Calibri"/>
          <w:noProof/>
          <w:szCs w:val="22"/>
          <w:lang w:eastAsia="en-US"/>
        </w:rPr>
        <w:br/>
        <w:t>Postupy vymáhania nesporných pohľadávok</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1.</w:t>
      </w:r>
      <w:r>
        <w:rPr>
          <w:rFonts w:eastAsia="Calibri"/>
          <w:noProof/>
          <w:szCs w:val="22"/>
          <w:lang w:eastAsia="en-US"/>
        </w:rPr>
        <w:tab/>
      </w:r>
      <w:r>
        <w:rPr>
          <w:rFonts w:eastAsia="Calibri"/>
          <w:noProof/>
          <w:szCs w:val="22"/>
          <w:lang w:eastAsia="en-US"/>
        </w:rPr>
        <w:t xml:space="preserve">Za predpokladu, že dlh alebo konanie nie sú sporné, veritelia získajú do </w:t>
      </w:r>
      <w:r>
        <w:rPr>
          <w:rFonts w:eastAsia="Calibri"/>
          <w:strike/>
          <w:noProof/>
          <w:szCs w:val="22"/>
          <w:lang w:eastAsia="en-US"/>
        </w:rPr>
        <w:t>90</w:t>
      </w:r>
      <w:r>
        <w:rPr>
          <w:rFonts w:eastAsia="Calibri"/>
          <w:b/>
          <w:i/>
          <w:noProof/>
          <w:szCs w:val="22"/>
          <w:lang w:eastAsia="en-US"/>
        </w:rPr>
        <w:t>60</w:t>
      </w:r>
      <w:r>
        <w:rPr>
          <w:rFonts w:eastAsia="Calibri"/>
          <w:noProof/>
          <w:szCs w:val="22"/>
          <w:lang w:eastAsia="en-US"/>
        </w:rPr>
        <w:t xml:space="preserve"> kalendárnych dní od podania žaloby na súde alebo od podania na inom príslušnom orgáne vykonateľný titul, a to aj prostredníctvom zrýchleného postupu a bez ohľadu na výšku dlhu. </w:t>
      </w:r>
      <w:r>
        <w:rPr>
          <w:rFonts w:eastAsia="Calibri"/>
          <w:b/>
          <w:noProof/>
          <w:szCs w:val="22"/>
          <w:lang w:eastAsia="en-US"/>
        </w:rPr>
        <w:t xml:space="preserve"> </w:t>
      </w:r>
      <w:r>
        <w:rPr>
          <w:rFonts w:eastAsia="Calibri"/>
          <w:b/>
          <w:noProof/>
          <w:szCs w:val="22"/>
          <w:lang w:eastAsia="en-US"/>
        </w:rPr>
        <w:t>[Am. 61]</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 xml:space="preserve">Pri výpočte lehoty uvedenej v odseku 1 sa nezapočítavajú tieto obdobia: </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lehoty na doručenie písomností;</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 xml:space="preserve">akékoľvek omeškania spôsobené veriteľom. </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3.</w:t>
      </w:r>
      <w:r>
        <w:rPr>
          <w:rFonts w:eastAsia="Calibri"/>
          <w:noProof/>
          <w:szCs w:val="22"/>
          <w:lang w:eastAsia="en-US"/>
        </w:rPr>
        <w:tab/>
      </w:r>
      <w:r>
        <w:rPr>
          <w:rFonts w:eastAsia="Calibri"/>
          <w:noProof/>
          <w:szCs w:val="22"/>
          <w:lang w:eastAsia="en-US"/>
        </w:rPr>
        <w:t xml:space="preserve">Tento článok sa uplatňuje bez toho, aby tým boli dotknuté ustanovenia nariadenia (ES) č. 1896/2006 </w:t>
      </w:r>
      <w:r>
        <w:rPr>
          <w:rFonts w:eastAsia="Calibri"/>
          <w:b/>
          <w:i/>
          <w:szCs w:val="22"/>
          <w:lang w:eastAsia="en-US"/>
        </w:rPr>
        <w:t>a nariadenia (ES) č. 861/2007</w:t>
      </w:r>
      <w:r>
        <w:rPr>
          <w:rFonts w:eastAsia="Calibri"/>
          <w:noProof/>
          <w:szCs w:val="22"/>
          <w:lang w:eastAsia="en-US"/>
        </w:rPr>
        <w:t>.</w:t>
      </w:r>
      <w:r>
        <w:rPr>
          <w:rFonts w:eastAsia="Calibri"/>
          <w:b/>
          <w:noProof/>
          <w:szCs w:val="22"/>
          <w:lang w:eastAsia="en-US"/>
        </w:rPr>
        <w:t xml:space="preserve"> [Am. 62]</w:t>
      </w:r>
    </w:p>
    <w:p w:rsidR="00166001" w:rsidRDefault="00992344">
      <w:pPr>
        <w:widowControl/>
        <w:rPr>
          <w:rFonts w:eastAsia="Calibri"/>
          <w:i/>
          <w:noProof/>
          <w:szCs w:val="22"/>
          <w:lang w:eastAsia="en-US"/>
        </w:rPr>
      </w:pPr>
      <w:r>
        <w:rPr>
          <w:rFonts w:eastAsia="Calibri"/>
          <w:i/>
          <w:noProof/>
          <w:szCs w:val="22"/>
          <w:lang w:eastAsia="en-US"/>
        </w:rPr>
        <w:br w:type="page"/>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lastRenderedPageBreak/>
        <w:t xml:space="preserve">Článok 13 </w:t>
      </w:r>
      <w:r>
        <w:rPr>
          <w:rFonts w:eastAsia="Calibri"/>
          <w:noProof/>
          <w:szCs w:val="22"/>
          <w:lang w:eastAsia="en-US"/>
        </w:rPr>
        <w:br/>
        <w:t>Orgány presadzovania práva</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1.</w:t>
      </w:r>
      <w:r>
        <w:rPr>
          <w:rFonts w:eastAsia="Calibri"/>
          <w:noProof/>
          <w:szCs w:val="22"/>
          <w:lang w:eastAsia="en-US"/>
        </w:rPr>
        <w:tab/>
        <w:t>Každý členský štát určí jeden alebo viacero orgánov zodpovedných za presad</w:t>
      </w:r>
      <w:r>
        <w:rPr>
          <w:rFonts w:eastAsia="Calibri"/>
          <w:noProof/>
          <w:szCs w:val="22"/>
          <w:lang w:eastAsia="en-US"/>
        </w:rPr>
        <w:t xml:space="preserve">zovanie tohto nariadenia (ďalej len „orgán presadzovania práva“) </w:t>
      </w:r>
      <w:r>
        <w:rPr>
          <w:rFonts w:eastAsia="Calibri"/>
          <w:b/>
          <w:i/>
          <w:szCs w:val="22"/>
          <w:lang w:eastAsia="en-US"/>
        </w:rPr>
        <w:t>a bez zbytočného odkladu ich oznámi Komisii.</w:t>
      </w:r>
      <w:r>
        <w:rPr>
          <w:rFonts w:eastAsia="Calibri"/>
          <w:szCs w:val="22"/>
          <w:lang w:eastAsia="en-US"/>
        </w:rPr>
        <w:t xml:space="preserve"> </w:t>
      </w:r>
      <w:r>
        <w:rPr>
          <w:rFonts w:eastAsia="Calibri"/>
          <w:b/>
          <w:i/>
          <w:szCs w:val="22"/>
          <w:lang w:eastAsia="en-US"/>
        </w:rPr>
        <w:t>Členské štáty poskytnú orgánom primerané ľudské, technické a finančné zdroje, aby mohli účinne vykonávať svoje úlohy a využívať svoje právomoci</w:t>
      </w:r>
      <w:r>
        <w:rPr>
          <w:rFonts w:eastAsia="Calibri"/>
          <w:noProof/>
          <w:szCs w:val="22"/>
          <w:lang w:eastAsia="en-US"/>
        </w:rPr>
        <w:t>.</w:t>
      </w:r>
      <w:r>
        <w:rPr>
          <w:rFonts w:eastAsia="Calibri"/>
          <w:b/>
          <w:noProof/>
          <w:szCs w:val="22"/>
          <w:lang w:eastAsia="en-US"/>
        </w:rPr>
        <w:t xml:space="preserve"> [</w:t>
      </w:r>
      <w:r>
        <w:rPr>
          <w:rFonts w:eastAsia="Calibri"/>
          <w:b/>
          <w:noProof/>
          <w:szCs w:val="22"/>
          <w:lang w:eastAsia="en-US"/>
        </w:rPr>
        <w:t>Am. 63]</w:t>
      </w:r>
    </w:p>
    <w:p w:rsidR="00166001" w:rsidRDefault="00992344">
      <w:pPr>
        <w:widowControl/>
        <w:spacing w:before="120" w:after="120" w:line="360" w:lineRule="auto"/>
        <w:ind w:left="850" w:hanging="850"/>
        <w:rPr>
          <w:rFonts w:eastAsia="Calibri"/>
          <w:b/>
          <w:szCs w:val="22"/>
          <w:lang w:eastAsia="en-US"/>
        </w:rPr>
      </w:pPr>
      <w:proofErr w:type="spellStart"/>
      <w:r>
        <w:rPr>
          <w:rFonts w:eastAsia="Calibri"/>
          <w:b/>
          <w:i/>
          <w:szCs w:val="22"/>
          <w:lang w:eastAsia="en-US"/>
        </w:rPr>
        <w:t>1a</w:t>
      </w:r>
      <w:proofErr w:type="spellEnd"/>
      <w:r>
        <w:rPr>
          <w:rFonts w:eastAsia="Calibri"/>
          <w:b/>
          <w:i/>
          <w:szCs w:val="22"/>
          <w:lang w:eastAsia="en-US"/>
        </w:rPr>
        <w:t>.</w:t>
      </w:r>
      <w:r>
        <w:rPr>
          <w:rFonts w:eastAsia="Calibri"/>
          <w:b/>
          <w:i/>
          <w:szCs w:val="22"/>
          <w:lang w:eastAsia="en-US"/>
        </w:rPr>
        <w:tab/>
        <w:t>Orgány presadzovania práva sú nezávislé od iných orgánov verejnej moci vrátane tých, ktoré sú zapojené do postupov verejného obstarávania.</w:t>
      </w:r>
      <w:r>
        <w:rPr>
          <w:rFonts w:eastAsia="Calibri"/>
          <w:b/>
          <w:szCs w:val="22"/>
          <w:lang w:eastAsia="en-US"/>
        </w:rPr>
        <w:t xml:space="preserve"> [Am. 64]</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 xml:space="preserve">Orgány presadzovania práva v prípade potreby prijmú </w:t>
      </w:r>
      <w:r>
        <w:rPr>
          <w:rFonts w:eastAsia="Calibri"/>
          <w:b/>
          <w:i/>
          <w:szCs w:val="22"/>
          <w:lang w:eastAsia="en-US"/>
        </w:rPr>
        <w:t xml:space="preserve">primerané </w:t>
      </w:r>
      <w:r>
        <w:rPr>
          <w:rFonts w:eastAsia="Calibri"/>
          <w:noProof/>
          <w:szCs w:val="22"/>
          <w:lang w:eastAsia="en-US"/>
        </w:rPr>
        <w:t>opatrenia potrebné na zabezpeče</w:t>
      </w:r>
      <w:r>
        <w:rPr>
          <w:rFonts w:eastAsia="Calibri"/>
          <w:noProof/>
          <w:szCs w:val="22"/>
          <w:lang w:eastAsia="en-US"/>
        </w:rPr>
        <w:t xml:space="preserve">nie dodržania lehôt splatnosti. </w:t>
      </w:r>
    </w:p>
    <w:p w:rsidR="00166001" w:rsidRDefault="00992344">
      <w:pPr>
        <w:widowControl/>
        <w:spacing w:before="120" w:after="120" w:line="360" w:lineRule="auto"/>
        <w:ind w:left="850" w:hanging="850"/>
        <w:rPr>
          <w:rFonts w:eastAsia="Calibri"/>
          <w:b/>
          <w:szCs w:val="22"/>
          <w:lang w:eastAsia="en-US"/>
        </w:rPr>
      </w:pPr>
      <w:r>
        <w:rPr>
          <w:rFonts w:eastAsia="Calibri"/>
          <w:noProof/>
          <w:szCs w:val="22"/>
          <w:lang w:eastAsia="en-US"/>
        </w:rPr>
        <w:t>3.</w:t>
      </w:r>
      <w:r>
        <w:rPr>
          <w:rFonts w:eastAsia="Calibri"/>
          <w:noProof/>
          <w:szCs w:val="22"/>
          <w:lang w:eastAsia="en-US"/>
        </w:rPr>
        <w:tab/>
        <w:t xml:space="preserve">Orgány presadzovania práva účinne spolupracujú navzájom a s Komisiou a poskytujú si vzájomnú pomoc pri vyšetrovaniach, ktoré majú cezhraničný rozmer. </w:t>
      </w:r>
      <w:r>
        <w:rPr>
          <w:rFonts w:eastAsia="Calibri"/>
          <w:b/>
          <w:i/>
          <w:szCs w:val="22"/>
          <w:lang w:eastAsia="en-US"/>
        </w:rPr>
        <w:t>Komisia uľahčuje účinnú spoluprácu orgánov presadzovania práva.</w:t>
      </w:r>
      <w:r>
        <w:rPr>
          <w:rFonts w:eastAsia="Calibri"/>
          <w:b/>
          <w:szCs w:val="22"/>
          <w:lang w:eastAsia="en-US"/>
        </w:rPr>
        <w:t xml:space="preserve"> [Am. 6</w:t>
      </w:r>
      <w:r>
        <w:rPr>
          <w:rFonts w:eastAsia="Calibri"/>
          <w:b/>
          <w:szCs w:val="22"/>
          <w:lang w:eastAsia="en-US"/>
        </w:rPr>
        <w:t>5]</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ind w:left="850" w:hanging="850"/>
        <w:rPr>
          <w:rFonts w:eastAsia="Calibri"/>
          <w:b/>
          <w:szCs w:val="22"/>
          <w:lang w:eastAsia="en-US"/>
        </w:rPr>
      </w:pPr>
      <w:proofErr w:type="spellStart"/>
      <w:r>
        <w:rPr>
          <w:rFonts w:eastAsia="Calibri"/>
          <w:b/>
          <w:i/>
          <w:szCs w:val="22"/>
          <w:lang w:eastAsia="en-US"/>
        </w:rPr>
        <w:lastRenderedPageBreak/>
        <w:t>3a</w:t>
      </w:r>
      <w:proofErr w:type="spellEnd"/>
      <w:r>
        <w:rPr>
          <w:rFonts w:eastAsia="Calibri"/>
          <w:b/>
          <w:i/>
          <w:szCs w:val="22"/>
          <w:lang w:eastAsia="en-US"/>
        </w:rPr>
        <w:t>.</w:t>
      </w:r>
      <w:r>
        <w:rPr>
          <w:rFonts w:eastAsia="Calibri"/>
          <w:b/>
          <w:i/>
          <w:szCs w:val="22"/>
          <w:lang w:eastAsia="en-US"/>
        </w:rPr>
        <w:tab/>
        <w:t>Orgány presadzovania práva zverejnia súhrnné informácie o počte sťažností podaných proti podnikom a orgánom verejnej moci z dôvodu porušenia článku 3 tohto nariadenia.</w:t>
      </w:r>
      <w:r>
        <w:rPr>
          <w:rFonts w:eastAsia="Calibri"/>
          <w:b/>
          <w:szCs w:val="22"/>
          <w:lang w:eastAsia="en-US"/>
        </w:rPr>
        <w:t xml:space="preserve"> [Am. 66]</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4.</w:t>
      </w:r>
      <w:r>
        <w:rPr>
          <w:rFonts w:eastAsia="Calibri"/>
          <w:noProof/>
          <w:szCs w:val="22"/>
          <w:lang w:eastAsia="en-US"/>
        </w:rPr>
        <w:tab/>
      </w:r>
      <w:r>
        <w:rPr>
          <w:rFonts w:eastAsia="Calibri"/>
          <w:noProof/>
          <w:szCs w:val="22"/>
          <w:lang w:eastAsia="en-US"/>
        </w:rPr>
        <w:t xml:space="preserve">Orgány presadzovania práva koordinujú svoje činnosti s inými orgánmi zodpovednými za presadzovanie iných právnych predpisov Únie alebo vnútroštátnych právnych predpisov, a to aj prostredníctvom povinnej výmeny informácií. </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5.</w:t>
      </w:r>
      <w:r>
        <w:rPr>
          <w:rFonts w:eastAsia="Calibri"/>
          <w:noProof/>
          <w:szCs w:val="22"/>
          <w:lang w:eastAsia="en-US"/>
        </w:rPr>
        <w:tab/>
        <w:t xml:space="preserve">Orgány presadzovania práva </w:t>
      </w:r>
      <w:r>
        <w:rPr>
          <w:rFonts w:eastAsia="Calibri"/>
          <w:b/>
          <w:i/>
          <w:szCs w:val="22"/>
          <w:lang w:eastAsia="en-US"/>
        </w:rPr>
        <w:t>v n</w:t>
      </w:r>
      <w:r>
        <w:rPr>
          <w:rFonts w:eastAsia="Calibri"/>
          <w:b/>
          <w:i/>
          <w:szCs w:val="22"/>
          <w:lang w:eastAsia="en-US"/>
        </w:rPr>
        <w:t xml:space="preserve">áležitých prípadoch </w:t>
      </w:r>
      <w:r>
        <w:rPr>
          <w:rFonts w:eastAsia="Calibri"/>
          <w:noProof/>
          <w:szCs w:val="22"/>
          <w:lang w:eastAsia="en-US"/>
        </w:rPr>
        <w:t>postúpia doručené sťažnosti týkajúce sa oneskorených platieb v odvetví poľnohospodárstva a potravinárstva príslušným orgánom presadzovania práva podľa smernice (EÚ) 2019/633.</w:t>
      </w:r>
      <w:r>
        <w:rPr>
          <w:rFonts w:eastAsia="Calibri"/>
          <w:b/>
          <w:noProof/>
          <w:szCs w:val="22"/>
          <w:lang w:eastAsia="en-US"/>
        </w:rPr>
        <w:t xml:space="preserve"> [Am. 68]</w:t>
      </w:r>
    </w:p>
    <w:p w:rsidR="00166001" w:rsidRDefault="00992344">
      <w:pPr>
        <w:widowControl/>
        <w:spacing w:before="120" w:after="120" w:line="360" w:lineRule="auto"/>
        <w:ind w:left="850" w:hanging="850"/>
        <w:rPr>
          <w:rFonts w:eastAsia="Calibri"/>
          <w:b/>
          <w:szCs w:val="22"/>
          <w:lang w:eastAsia="en-US"/>
        </w:rPr>
      </w:pPr>
      <w:proofErr w:type="spellStart"/>
      <w:r>
        <w:rPr>
          <w:rFonts w:eastAsia="Calibri"/>
          <w:b/>
          <w:i/>
          <w:szCs w:val="22"/>
          <w:lang w:eastAsia="en-US"/>
        </w:rPr>
        <w:t>5a</w:t>
      </w:r>
      <w:proofErr w:type="spellEnd"/>
      <w:r>
        <w:rPr>
          <w:rFonts w:eastAsia="Calibri"/>
          <w:b/>
          <w:i/>
          <w:szCs w:val="22"/>
          <w:lang w:eastAsia="en-US"/>
        </w:rPr>
        <w:t>.</w:t>
      </w:r>
      <w:r>
        <w:rPr>
          <w:rFonts w:eastAsia="Calibri"/>
          <w:b/>
          <w:i/>
          <w:szCs w:val="22"/>
          <w:lang w:eastAsia="en-US"/>
        </w:rPr>
        <w:tab/>
        <w:t>Tento článok sa uplatňuje bez toho, aby tým boli</w:t>
      </w:r>
      <w:r>
        <w:rPr>
          <w:rFonts w:eastAsia="Calibri"/>
          <w:b/>
          <w:i/>
          <w:szCs w:val="22"/>
          <w:lang w:eastAsia="en-US"/>
        </w:rPr>
        <w:t xml:space="preserve"> dotknuté ustanovenia nariadení (ES) č. 805/2004, (ES) č. 1896/2006, (ES) č. 861/2007 a (EÚ) č. 1215/2012.</w:t>
      </w:r>
      <w:r>
        <w:rPr>
          <w:rFonts w:eastAsia="Calibri"/>
          <w:b/>
          <w:szCs w:val="22"/>
          <w:lang w:eastAsia="en-US"/>
        </w:rPr>
        <w:t xml:space="preserve"> [Am. 69]</w:t>
      </w:r>
    </w:p>
    <w:p w:rsidR="00166001" w:rsidRDefault="00992344">
      <w:pPr>
        <w:widowControl/>
        <w:rPr>
          <w:rFonts w:eastAsia="Calibri"/>
          <w:i/>
          <w:noProof/>
          <w:szCs w:val="22"/>
          <w:lang w:eastAsia="en-US"/>
        </w:rPr>
      </w:pPr>
      <w:r>
        <w:rPr>
          <w:rFonts w:eastAsia="Calibri"/>
          <w:i/>
          <w:noProof/>
          <w:szCs w:val="22"/>
          <w:lang w:eastAsia="en-US"/>
        </w:rPr>
        <w:br w:type="page"/>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lastRenderedPageBreak/>
        <w:t xml:space="preserve">Článok 14 </w:t>
      </w:r>
      <w:r>
        <w:rPr>
          <w:rFonts w:eastAsia="Calibri"/>
          <w:noProof/>
          <w:szCs w:val="22"/>
          <w:lang w:eastAsia="en-US"/>
        </w:rPr>
        <w:br/>
        <w:t>Právomoci orgánov presadzovania práva</w:t>
      </w:r>
    </w:p>
    <w:p w:rsidR="00166001" w:rsidRDefault="00992344">
      <w:pPr>
        <w:widowControl/>
        <w:spacing w:before="120" w:after="120" w:line="360" w:lineRule="auto"/>
        <w:ind w:left="850" w:hanging="850"/>
        <w:rPr>
          <w:rFonts w:eastAsia="Calibri"/>
          <w:b/>
          <w:noProof/>
          <w:szCs w:val="22"/>
          <w:lang w:eastAsia="en-US"/>
        </w:rPr>
      </w:pPr>
      <w:bookmarkStart w:id="14" w:name="_Hlk145078164"/>
      <w:r>
        <w:rPr>
          <w:rFonts w:eastAsia="Calibri"/>
          <w:noProof/>
          <w:szCs w:val="22"/>
          <w:lang w:eastAsia="en-US"/>
        </w:rPr>
        <w:t>1.</w:t>
      </w:r>
      <w:r>
        <w:rPr>
          <w:rFonts w:eastAsia="Calibri"/>
          <w:noProof/>
          <w:szCs w:val="22"/>
          <w:lang w:eastAsia="en-US"/>
        </w:rPr>
        <w:tab/>
        <w:t xml:space="preserve">Orgány presadzovania práva musia mať potrebné </w:t>
      </w:r>
      <w:r>
        <w:rPr>
          <w:rFonts w:eastAsia="Calibri"/>
          <w:b/>
          <w:i/>
          <w:szCs w:val="22"/>
          <w:lang w:eastAsia="en-US"/>
        </w:rPr>
        <w:t xml:space="preserve">ľudské, finančné a technické </w:t>
      </w:r>
      <w:r>
        <w:rPr>
          <w:rFonts w:eastAsia="Calibri"/>
          <w:noProof/>
          <w:szCs w:val="22"/>
          <w:lang w:eastAsia="en-US"/>
        </w:rPr>
        <w:t>zdroje a od</w:t>
      </w:r>
      <w:r>
        <w:rPr>
          <w:rFonts w:eastAsia="Calibri"/>
          <w:noProof/>
          <w:szCs w:val="22"/>
          <w:lang w:eastAsia="en-US"/>
        </w:rPr>
        <w:t xml:space="preserve">borné znalosti na </w:t>
      </w:r>
      <w:r>
        <w:rPr>
          <w:rFonts w:eastAsia="Calibri"/>
          <w:b/>
          <w:i/>
          <w:szCs w:val="22"/>
          <w:lang w:eastAsia="en-US"/>
        </w:rPr>
        <w:t>účinné</w:t>
      </w:r>
      <w:r>
        <w:rPr>
          <w:rFonts w:eastAsia="Calibri"/>
          <w:szCs w:val="22"/>
          <w:lang w:eastAsia="en-US"/>
        </w:rPr>
        <w:t xml:space="preserve"> </w:t>
      </w:r>
      <w:r>
        <w:rPr>
          <w:rFonts w:eastAsia="Calibri"/>
          <w:noProof/>
          <w:szCs w:val="22"/>
          <w:lang w:eastAsia="en-US"/>
        </w:rPr>
        <w:t>plnenie svojich povinností a musia mať tieto právomoci:</w:t>
      </w:r>
      <w:r>
        <w:rPr>
          <w:rFonts w:eastAsia="Calibri"/>
          <w:b/>
          <w:noProof/>
          <w:szCs w:val="22"/>
          <w:lang w:eastAsia="en-US"/>
        </w:rPr>
        <w:t xml:space="preserve"> [Am. 70]</w:t>
      </w:r>
    </w:p>
    <w:bookmarkEnd w:id="14"/>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právomoc začať a vykonávať vyšetrovania z vlastnej iniciatívy alebo na základe sťažnosti;</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právomoc požadovať od veriteľov a dlžníkov, aby poskytli všetky inform</w:t>
      </w:r>
      <w:r>
        <w:rPr>
          <w:rFonts w:eastAsia="Calibri"/>
          <w:noProof/>
          <w:szCs w:val="22"/>
          <w:lang w:eastAsia="en-US"/>
        </w:rPr>
        <w:t>ácie potrebné na vedenie vyšetrovaní týkajúcich sa oneskorených platieb v obchodných transakciách;</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právomoc vykonávať neohlásené kontroly na mieste v rámci svojich vyšetrovaní;</w:t>
      </w:r>
    </w:p>
    <w:p w:rsidR="00166001" w:rsidRDefault="00992344">
      <w:pPr>
        <w:widowControl/>
        <w:spacing w:before="120" w:after="120" w:line="360" w:lineRule="auto"/>
        <w:ind w:left="1417" w:hanging="567"/>
        <w:rPr>
          <w:rFonts w:eastAsia="Calibri"/>
          <w:b/>
          <w:noProof/>
          <w:szCs w:val="22"/>
          <w:lang w:eastAsia="en-US"/>
        </w:rPr>
      </w:pPr>
      <w:r>
        <w:rPr>
          <w:rFonts w:eastAsia="Calibri"/>
          <w:noProof/>
          <w:szCs w:val="22"/>
          <w:lang w:eastAsia="en-US"/>
        </w:rPr>
        <w:t>d)</w:t>
      </w:r>
      <w:r>
        <w:rPr>
          <w:rFonts w:eastAsia="Calibri"/>
          <w:noProof/>
          <w:szCs w:val="22"/>
          <w:lang w:eastAsia="en-US"/>
        </w:rPr>
        <w:tab/>
        <w:t>právomoc prijímať rozhodnutia, v ktorých sa konštatuje porušenie tohto na</w:t>
      </w:r>
      <w:r>
        <w:rPr>
          <w:rFonts w:eastAsia="Calibri"/>
          <w:noProof/>
          <w:szCs w:val="22"/>
          <w:lang w:eastAsia="en-US"/>
        </w:rPr>
        <w:t>riadenia a ktorými sa od dlžníka vyžaduje, aby zaplatil úrok z omeškania, ako sa stanovuje v článku 5, alebo ktorými sa od dlžníka vyžaduje, aby poskytol veriteľovi náhradu, ako sa stanovuje v článku 8</w:t>
      </w:r>
      <w:r>
        <w:rPr>
          <w:rFonts w:eastAsia="Calibri"/>
          <w:b/>
          <w:i/>
          <w:szCs w:val="22"/>
          <w:lang w:eastAsia="en-US"/>
        </w:rPr>
        <w:t>, alebo oboje</w:t>
      </w:r>
      <w:r>
        <w:rPr>
          <w:rFonts w:eastAsia="Calibri"/>
          <w:noProof/>
          <w:szCs w:val="22"/>
          <w:lang w:eastAsia="en-US"/>
        </w:rPr>
        <w:t>;</w:t>
      </w:r>
      <w:r>
        <w:rPr>
          <w:rFonts w:eastAsia="Calibri"/>
          <w:b/>
          <w:noProof/>
          <w:szCs w:val="22"/>
          <w:lang w:eastAsia="en-US"/>
        </w:rPr>
        <w:t xml:space="preserve"> [Am. 71]</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e)</w:t>
      </w:r>
      <w:r>
        <w:rPr>
          <w:rFonts w:eastAsia="Calibri"/>
          <w:noProof/>
          <w:szCs w:val="22"/>
          <w:lang w:eastAsia="en-US"/>
        </w:rPr>
        <w:tab/>
        <w:t>právomoc ukladať subjektom</w:t>
      </w:r>
      <w:r>
        <w:rPr>
          <w:rFonts w:eastAsia="Calibri"/>
          <w:noProof/>
          <w:szCs w:val="22"/>
          <w:lang w:eastAsia="en-US"/>
        </w:rPr>
        <w:t xml:space="preserve"> zodpovedným za porušenie pokuty a iné sankcie a predbežné opatrenia alebo iniciovať konania o ich uložení;</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f)</w:t>
      </w:r>
      <w:r>
        <w:rPr>
          <w:rFonts w:eastAsia="Calibri"/>
          <w:noProof/>
          <w:szCs w:val="22"/>
          <w:lang w:eastAsia="en-US"/>
        </w:rPr>
        <w:tab/>
        <w:t>právomoc požadovať od dlžníka, aby ukončil porušovanie nariadenia;</w:t>
      </w:r>
    </w:p>
    <w:p w:rsidR="00166001" w:rsidRDefault="00992344">
      <w:pPr>
        <w:widowControl/>
        <w:spacing w:before="120" w:after="120" w:line="360" w:lineRule="auto"/>
        <w:ind w:left="1417" w:hanging="567"/>
        <w:rPr>
          <w:rFonts w:eastAsia="Calibri"/>
          <w:noProof/>
          <w:szCs w:val="22"/>
          <w:lang w:eastAsia="en-US"/>
        </w:rPr>
      </w:pPr>
      <w:r>
        <w:rPr>
          <w:rFonts w:eastAsia="Calibri"/>
          <w:noProof/>
          <w:szCs w:val="22"/>
          <w:lang w:eastAsia="en-US"/>
        </w:rPr>
        <w:t>g)</w:t>
      </w:r>
      <w:r>
        <w:rPr>
          <w:rFonts w:eastAsia="Calibri"/>
          <w:noProof/>
          <w:szCs w:val="22"/>
          <w:lang w:eastAsia="en-US"/>
        </w:rPr>
        <w:tab/>
        <w:t>právomoc uverejňovať svoje rozhodnutia uvedené v písmenách d), e) a f).</w:t>
      </w:r>
    </w:p>
    <w:p w:rsidR="00166001" w:rsidRDefault="00992344">
      <w:pPr>
        <w:widowControl/>
        <w:spacing w:before="120" w:after="120" w:line="360" w:lineRule="auto"/>
        <w:ind w:left="851" w:hanging="1"/>
        <w:rPr>
          <w:rFonts w:eastAsia="Calibri"/>
          <w:b/>
          <w:noProof/>
          <w:szCs w:val="22"/>
          <w:lang w:eastAsia="en-US"/>
        </w:rPr>
      </w:pPr>
      <w:r>
        <w:rPr>
          <w:rFonts w:eastAsia="Calibri"/>
          <w:b/>
          <w:i/>
          <w:szCs w:val="22"/>
          <w:lang w:eastAsia="en-US"/>
        </w:rPr>
        <w:t>Komisia posúdi, ako orgány presadzovania práva vykonávajú všetky úlohy, ktoré im boli zverené týmto nariadením.</w:t>
      </w:r>
      <w:r>
        <w:rPr>
          <w:rFonts w:eastAsia="Calibri"/>
          <w:b/>
          <w:szCs w:val="22"/>
          <w:lang w:eastAsia="en-US"/>
        </w:rPr>
        <w:t xml:space="preserve"> [Am. 72]</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Členské štáty stanovia pravidlá, pokiaľ ide o sankcie uplatniteľné pri porušení tohto nariadenia, a prijmú všetky opatrenia potrebné</w:t>
      </w:r>
      <w:r>
        <w:rPr>
          <w:rFonts w:eastAsia="Calibri"/>
          <w:noProof/>
          <w:szCs w:val="22"/>
          <w:lang w:eastAsia="en-US"/>
        </w:rPr>
        <w:t xml:space="preserve"> na zabezpečenie ich uplatňovania. Stanovené sankcie musia byť účinné, primerané a odrádzajúce.</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3.</w:t>
      </w:r>
      <w:r>
        <w:rPr>
          <w:rFonts w:eastAsia="Calibri"/>
          <w:noProof/>
          <w:szCs w:val="22"/>
          <w:lang w:eastAsia="en-US"/>
        </w:rPr>
        <w:tab/>
        <w:t>Členské štáty o týchto pravidlách a opatreniach [</w:t>
      </w:r>
      <w:r>
        <w:rPr>
          <w:rFonts w:eastAsia="Calibri"/>
          <w:strike/>
          <w:noProof/>
          <w:szCs w:val="22"/>
          <w:lang w:eastAsia="en-US"/>
        </w:rPr>
        <w:t>do …/bezodkladne</w:t>
      </w:r>
      <w:r>
        <w:rPr>
          <w:rFonts w:eastAsia="Calibri"/>
          <w:b/>
          <w:i/>
          <w:szCs w:val="22"/>
          <w:lang w:eastAsia="en-US"/>
        </w:rPr>
        <w:t>bez zbytočného odkladu a v každom prípade najneskôr 12 mesiacov od nadobudnutia účinnosti to</w:t>
      </w:r>
      <w:r>
        <w:rPr>
          <w:rFonts w:eastAsia="Calibri"/>
          <w:b/>
          <w:i/>
          <w:szCs w:val="22"/>
          <w:lang w:eastAsia="en-US"/>
        </w:rPr>
        <w:t>hto nariadenia</w:t>
      </w:r>
      <w:r>
        <w:rPr>
          <w:rFonts w:eastAsia="Calibri"/>
          <w:noProof/>
          <w:szCs w:val="22"/>
          <w:lang w:eastAsia="en-US"/>
        </w:rPr>
        <w:t>] informujú Komisiu a bezodkladne jej oznámia každú nasledujúcu zmenu, ktorá ich ovplyvní.</w:t>
      </w:r>
      <w:r>
        <w:rPr>
          <w:rFonts w:eastAsia="Calibri"/>
          <w:b/>
          <w:noProof/>
          <w:szCs w:val="22"/>
          <w:lang w:eastAsia="en-US"/>
        </w:rPr>
        <w:t xml:space="preserve"> [Am. 73]</w:t>
      </w:r>
    </w:p>
    <w:p w:rsidR="00166001" w:rsidRDefault="00992344">
      <w:pPr>
        <w:widowControl/>
        <w:rPr>
          <w:rFonts w:eastAsia="Calibri"/>
          <w:i/>
          <w:noProof/>
          <w:szCs w:val="22"/>
          <w:lang w:eastAsia="en-US"/>
        </w:rPr>
      </w:pPr>
      <w:r>
        <w:rPr>
          <w:rFonts w:eastAsia="Calibri"/>
          <w:i/>
          <w:noProof/>
          <w:szCs w:val="22"/>
          <w:lang w:eastAsia="en-US"/>
        </w:rPr>
        <w:br w:type="page"/>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lastRenderedPageBreak/>
        <w:t xml:space="preserve">Článok 15 </w:t>
      </w:r>
      <w:r>
        <w:rPr>
          <w:rFonts w:eastAsia="Calibri"/>
          <w:noProof/>
          <w:szCs w:val="22"/>
          <w:lang w:eastAsia="en-US"/>
        </w:rPr>
        <w:br/>
        <w:t>Sťažnosti a dôvernosť</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Veritelia môžu podať sťažnosť buď orgánu presadzovania práva v členskom štáte, v ktorom sú usadení, aleb</w:t>
      </w:r>
      <w:r>
        <w:rPr>
          <w:rFonts w:eastAsia="Calibri"/>
          <w:noProof/>
          <w:szCs w:val="22"/>
          <w:lang w:eastAsia="en-US"/>
        </w:rPr>
        <w:t xml:space="preserve">o orgánu presadzovania práva v členských štátoch, v ktorých je usadený dlžník. Orgán presadzovania práva, ktorému je sťažnosť adresovaná, je príslušný na presadzovanie tohto nariadenia. </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 xml:space="preserve">Organizácie oficiálne uznané za organizácie zastupujúce veriteľov </w:t>
      </w:r>
      <w:r>
        <w:rPr>
          <w:rFonts w:eastAsia="Calibri"/>
          <w:noProof/>
          <w:szCs w:val="22"/>
          <w:lang w:eastAsia="en-US"/>
        </w:rPr>
        <w:t>alebo organizácie s oprávneným záujmom zastupovať podniky majú právo podať sťažnosť orgánom presadzovania práva uvedeným v článku 13 na žiadosť jedného alebo viacerých svojich členov alebo prípadne na žiadosť jedného alebo viacerých členov ich členských or</w:t>
      </w:r>
      <w:r>
        <w:rPr>
          <w:rFonts w:eastAsia="Calibri"/>
          <w:noProof/>
          <w:szCs w:val="22"/>
          <w:lang w:eastAsia="en-US"/>
        </w:rPr>
        <w:t xml:space="preserve">ganizácií, ak sa títo členovia domnievajú, že boli dotknutí porušením tohto nariadenia. </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3.</w:t>
      </w:r>
      <w:r>
        <w:rPr>
          <w:rFonts w:eastAsia="Calibri"/>
          <w:noProof/>
          <w:szCs w:val="22"/>
          <w:lang w:eastAsia="en-US"/>
        </w:rPr>
        <w:tab/>
      </w:r>
      <w:r>
        <w:rPr>
          <w:rFonts w:eastAsia="Calibri"/>
          <w:strike/>
          <w:noProof/>
          <w:szCs w:val="22"/>
          <w:lang w:eastAsia="en-US"/>
        </w:rPr>
        <w:t>Ak o to sťažovateľ požiada,</w:t>
      </w:r>
      <w:r>
        <w:rPr>
          <w:rFonts w:eastAsia="Calibri"/>
          <w:noProof/>
          <w:szCs w:val="22"/>
          <w:lang w:eastAsia="en-US"/>
        </w:rPr>
        <w:t xml:space="preserve"> Orgán presadzovania práva prijme potrebné opatrenia na primeranú ochranu totožnosti sťažovateľa. Sťažovateľ </w:t>
      </w:r>
      <w:r>
        <w:rPr>
          <w:rFonts w:eastAsia="Calibri"/>
          <w:strike/>
          <w:noProof/>
          <w:szCs w:val="22"/>
          <w:lang w:eastAsia="en-US"/>
        </w:rPr>
        <w:t>určí</w:t>
      </w:r>
      <w:r>
        <w:rPr>
          <w:rFonts w:eastAsia="Calibri"/>
          <w:b/>
          <w:i/>
          <w:szCs w:val="22"/>
          <w:lang w:eastAsia="en-US"/>
        </w:rPr>
        <w:t>môže orgánu presadzovani</w:t>
      </w:r>
      <w:r>
        <w:rPr>
          <w:rFonts w:eastAsia="Calibri"/>
          <w:b/>
          <w:i/>
          <w:szCs w:val="22"/>
          <w:lang w:eastAsia="en-US"/>
        </w:rPr>
        <w:t>a práva podať sťažnosť anonymne alebo určiť</w:t>
      </w:r>
      <w:r>
        <w:rPr>
          <w:rFonts w:eastAsia="Calibri"/>
          <w:szCs w:val="22"/>
          <w:lang w:eastAsia="en-US"/>
        </w:rPr>
        <w:t xml:space="preserve"> </w:t>
      </w:r>
      <w:r>
        <w:rPr>
          <w:rFonts w:eastAsia="Calibri"/>
          <w:noProof/>
          <w:szCs w:val="22"/>
          <w:lang w:eastAsia="en-US"/>
        </w:rPr>
        <w:t xml:space="preserve"> všetky informácie, v prípade ktorých žiada o zachovanie dôvernosti.</w:t>
      </w:r>
      <w:r>
        <w:rPr>
          <w:rFonts w:eastAsia="Calibri"/>
          <w:b/>
          <w:noProof/>
          <w:szCs w:val="22"/>
          <w:lang w:eastAsia="en-US"/>
        </w:rPr>
        <w:t xml:space="preserve"> [Am. 74]</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lastRenderedPageBreak/>
        <w:t>4.</w:t>
      </w:r>
      <w:r>
        <w:rPr>
          <w:rFonts w:eastAsia="Calibri"/>
          <w:noProof/>
          <w:szCs w:val="22"/>
          <w:lang w:eastAsia="en-US"/>
        </w:rPr>
        <w:tab/>
        <w:t xml:space="preserve">Orgán presadzovania práva, ktorému je doručená sťažnosť, informuje sťažovateľa </w:t>
      </w:r>
      <w:r>
        <w:rPr>
          <w:rFonts w:eastAsia="Calibri"/>
          <w:strike/>
          <w:noProof/>
          <w:szCs w:val="22"/>
          <w:lang w:eastAsia="en-US"/>
        </w:rPr>
        <w:t>v primeranej lehote</w:t>
      </w:r>
      <w:r>
        <w:rPr>
          <w:rFonts w:eastAsia="Calibri"/>
          <w:b/>
          <w:i/>
          <w:szCs w:val="22"/>
          <w:lang w:eastAsia="en-US"/>
        </w:rPr>
        <w:t>do 30 dní</w:t>
      </w:r>
      <w:r>
        <w:rPr>
          <w:rFonts w:eastAsia="Calibri"/>
          <w:noProof/>
          <w:szCs w:val="22"/>
          <w:lang w:eastAsia="en-US"/>
        </w:rPr>
        <w:t xml:space="preserve"> po jej doručení o tom</w:t>
      </w:r>
      <w:r>
        <w:rPr>
          <w:rFonts w:eastAsia="Calibri"/>
          <w:noProof/>
          <w:szCs w:val="22"/>
          <w:lang w:eastAsia="en-US"/>
        </w:rPr>
        <w:t xml:space="preserve">, aké kroky zamýšľa v nadväznosti na sťažnosť prijať. </w:t>
      </w:r>
      <w:r>
        <w:rPr>
          <w:rFonts w:eastAsia="Calibri"/>
          <w:b/>
          <w:noProof/>
          <w:szCs w:val="22"/>
          <w:lang w:eastAsia="en-US"/>
        </w:rPr>
        <w:t xml:space="preserve"> [Am. 75]</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5.</w:t>
      </w:r>
      <w:r>
        <w:rPr>
          <w:rFonts w:eastAsia="Calibri"/>
          <w:noProof/>
          <w:szCs w:val="22"/>
          <w:lang w:eastAsia="en-US"/>
        </w:rPr>
        <w:tab/>
        <w:t xml:space="preserve">Ak sa orgán presadzovania práva domnieva, že neexistujú dostatočné dôvody na to, aby v súvislosti so sťažnosťou konal, informuje sťažovateľa </w:t>
      </w:r>
      <w:r>
        <w:rPr>
          <w:rFonts w:eastAsia="Calibri"/>
          <w:strike/>
          <w:noProof/>
          <w:szCs w:val="22"/>
          <w:lang w:eastAsia="en-US"/>
        </w:rPr>
        <w:t>v primeranej lehote</w:t>
      </w:r>
      <w:r>
        <w:rPr>
          <w:rFonts w:eastAsia="Calibri"/>
          <w:b/>
          <w:i/>
          <w:szCs w:val="22"/>
          <w:lang w:eastAsia="en-US"/>
        </w:rPr>
        <w:t>do 30 dní</w:t>
      </w:r>
      <w:r>
        <w:rPr>
          <w:rFonts w:eastAsia="Calibri"/>
          <w:noProof/>
          <w:szCs w:val="22"/>
          <w:lang w:eastAsia="en-US"/>
        </w:rPr>
        <w:t xml:space="preserve"> po doručení sťažnos</w:t>
      </w:r>
      <w:r>
        <w:rPr>
          <w:rFonts w:eastAsia="Calibri"/>
          <w:noProof/>
          <w:szCs w:val="22"/>
          <w:lang w:eastAsia="en-US"/>
        </w:rPr>
        <w:t xml:space="preserve">ti o dôvodoch svojho rozhodnutia. </w:t>
      </w:r>
      <w:r>
        <w:rPr>
          <w:rFonts w:eastAsia="Calibri"/>
          <w:b/>
          <w:noProof/>
          <w:szCs w:val="22"/>
          <w:lang w:eastAsia="en-US"/>
        </w:rPr>
        <w:t xml:space="preserve"> [Am. 76]</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6.</w:t>
      </w:r>
      <w:r>
        <w:rPr>
          <w:rFonts w:eastAsia="Calibri"/>
          <w:noProof/>
          <w:szCs w:val="22"/>
          <w:lang w:eastAsia="en-US"/>
        </w:rPr>
        <w:tab/>
        <w:t xml:space="preserve">Ak orgán presadzovania práva usúdi, že existujú dostatočné dôvody na to, aby v súvislosti so sťažnosťou konal, </w:t>
      </w:r>
      <w:r>
        <w:rPr>
          <w:rFonts w:eastAsia="Calibri"/>
          <w:strike/>
          <w:noProof/>
          <w:szCs w:val="22"/>
          <w:lang w:eastAsia="en-US"/>
        </w:rPr>
        <w:t>v primeranej lehote</w:t>
      </w:r>
      <w:r>
        <w:rPr>
          <w:rFonts w:eastAsia="Calibri"/>
          <w:b/>
          <w:i/>
          <w:szCs w:val="22"/>
          <w:lang w:eastAsia="en-US"/>
        </w:rPr>
        <w:t>do 90</w:t>
      </w:r>
      <w:r>
        <w:rPr>
          <w:rFonts w:eastAsia="Calibri"/>
          <w:szCs w:val="22"/>
          <w:lang w:eastAsia="en-US"/>
        </w:rPr>
        <w:t> </w:t>
      </w:r>
      <w:r>
        <w:rPr>
          <w:rFonts w:eastAsia="Calibri"/>
          <w:b/>
          <w:i/>
          <w:szCs w:val="22"/>
          <w:lang w:eastAsia="en-US"/>
        </w:rPr>
        <w:t>dní po doručení sťažnosti</w:t>
      </w:r>
      <w:r>
        <w:rPr>
          <w:rFonts w:eastAsia="Calibri"/>
          <w:noProof/>
          <w:szCs w:val="22"/>
          <w:lang w:eastAsia="en-US"/>
        </w:rPr>
        <w:t xml:space="preserve"> začne, vykoná a uzavrie vyšetrovanie sťažnosti.</w:t>
      </w:r>
      <w:r>
        <w:rPr>
          <w:rFonts w:eastAsia="Calibri"/>
          <w:noProof/>
          <w:szCs w:val="22"/>
          <w:lang w:eastAsia="en-US"/>
        </w:rPr>
        <w:t xml:space="preserve"> </w:t>
      </w:r>
      <w:r>
        <w:rPr>
          <w:rFonts w:eastAsia="Calibri"/>
          <w:b/>
          <w:noProof/>
          <w:szCs w:val="22"/>
          <w:lang w:eastAsia="en-US"/>
        </w:rPr>
        <w:t xml:space="preserve"> [Am. 77]</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7.</w:t>
      </w:r>
      <w:r>
        <w:rPr>
          <w:rFonts w:eastAsia="Calibri"/>
          <w:noProof/>
          <w:szCs w:val="22"/>
          <w:lang w:eastAsia="en-US"/>
        </w:rPr>
        <w:tab/>
        <w:t xml:space="preserve">Ak orgán presadzovania práva zistí, že dlžník porušil toto nariadenie, požiada dlžníka, aby nezákonný postup ukončil. </w:t>
      </w:r>
    </w:p>
    <w:p w:rsidR="00166001" w:rsidRDefault="00992344">
      <w:pPr>
        <w:widowControl/>
        <w:spacing w:before="120" w:after="120" w:line="360" w:lineRule="auto"/>
        <w:ind w:left="850" w:hanging="850"/>
        <w:rPr>
          <w:rFonts w:eastAsia="Calibri"/>
          <w:b/>
          <w:szCs w:val="22"/>
          <w:lang w:eastAsia="en-US"/>
        </w:rPr>
      </w:pPr>
      <w:proofErr w:type="spellStart"/>
      <w:r>
        <w:rPr>
          <w:rFonts w:eastAsia="Calibri"/>
          <w:b/>
          <w:i/>
          <w:szCs w:val="22"/>
          <w:lang w:eastAsia="en-US"/>
        </w:rPr>
        <w:t>7a</w:t>
      </w:r>
      <w:proofErr w:type="spellEnd"/>
      <w:r>
        <w:rPr>
          <w:rFonts w:eastAsia="Calibri"/>
          <w:b/>
          <w:i/>
          <w:szCs w:val="22"/>
          <w:lang w:eastAsia="en-US"/>
        </w:rPr>
        <w:t>.</w:t>
      </w:r>
      <w:r>
        <w:rPr>
          <w:rFonts w:eastAsia="Calibri"/>
          <w:b/>
          <w:i/>
          <w:szCs w:val="22"/>
          <w:lang w:eastAsia="en-US"/>
        </w:rPr>
        <w:tab/>
        <w:t>Komisia sprístupní orgánom presadzovania práva v členských štátoch štandardný formulár sťažnosti EÚ.</w:t>
      </w:r>
      <w:r>
        <w:rPr>
          <w:rFonts w:eastAsia="Calibri"/>
          <w:b/>
          <w:szCs w:val="22"/>
          <w:lang w:eastAsia="en-US"/>
        </w:rPr>
        <w:t xml:space="preserve"> [Am. 78]</w:t>
      </w:r>
    </w:p>
    <w:p w:rsidR="00166001" w:rsidRDefault="00992344">
      <w:pPr>
        <w:widowControl/>
        <w:rPr>
          <w:rFonts w:eastAsia="Calibri"/>
          <w:i/>
          <w:noProof/>
          <w:szCs w:val="22"/>
          <w:lang w:eastAsia="en-US"/>
        </w:rPr>
      </w:pPr>
      <w:r>
        <w:rPr>
          <w:rFonts w:eastAsia="Calibri"/>
          <w:i/>
          <w:noProof/>
          <w:szCs w:val="22"/>
          <w:lang w:eastAsia="en-US"/>
        </w:rPr>
        <w:br w:type="page"/>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lastRenderedPageBreak/>
        <w:t xml:space="preserve">Článok 16 </w:t>
      </w:r>
      <w:r>
        <w:rPr>
          <w:rFonts w:eastAsia="Calibri"/>
          <w:noProof/>
          <w:szCs w:val="22"/>
          <w:lang w:eastAsia="en-US"/>
        </w:rPr>
        <w:br/>
        <w:t>Alternatívne riešenie sporov</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1.</w:t>
      </w:r>
      <w:r>
        <w:rPr>
          <w:rFonts w:eastAsia="Calibri"/>
          <w:noProof/>
          <w:szCs w:val="22"/>
          <w:lang w:eastAsia="en-US"/>
        </w:rPr>
        <w:tab/>
        <w:t>Bez toho, aby bolo dotknuté právo veriteľov podávať sťažnosti podľa článku 15 a povinnosti a právomoci orgánov presadzovania práva stanovené v článkoch 13, 14 a 15, členské štáty podporujú dobrovoľné využívanie úč</w:t>
      </w:r>
      <w:r>
        <w:rPr>
          <w:rFonts w:eastAsia="Calibri"/>
          <w:noProof/>
          <w:szCs w:val="22"/>
          <w:lang w:eastAsia="en-US"/>
        </w:rPr>
        <w:t xml:space="preserve">inných a nezávislých mechanizmov alternatívneho riešenia sporov na urovnávanie sporov medzi dlžníkmi a veriteľmi. </w:t>
      </w:r>
      <w:r>
        <w:rPr>
          <w:rFonts w:eastAsia="Calibri"/>
          <w:b/>
          <w:i/>
          <w:szCs w:val="22"/>
          <w:lang w:eastAsia="en-US"/>
        </w:rPr>
        <w:t>Bez ohľadu na ustanovenia článku 5 ods. 3, článku 8 ods. 3 a článku 9 ods. 1 písm. b) tohto nariadenia strany vrátane verejných subjektov môžu</w:t>
      </w:r>
      <w:r>
        <w:rPr>
          <w:rFonts w:eastAsia="Calibri"/>
          <w:b/>
          <w:i/>
          <w:szCs w:val="22"/>
          <w:lang w:eastAsia="en-US"/>
        </w:rPr>
        <w:t xml:space="preserve"> začať rokovania s cieľom dosiahnuť priateľské urovnanie sporných dlhov.</w:t>
      </w:r>
      <w:r>
        <w:rPr>
          <w:rFonts w:eastAsia="Calibri"/>
          <w:b/>
          <w:noProof/>
          <w:szCs w:val="22"/>
          <w:lang w:eastAsia="en-US"/>
        </w:rPr>
        <w:t xml:space="preserve"> [Am. 79]</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Mechanizmy alternatívneho riešenia sporov uplatňované v sporoch týkajúcich sa oneskorených platieb podnecujú strany sporu, aby samy našli riešenie, a musia byť rýchle, úči</w:t>
      </w:r>
      <w:r>
        <w:rPr>
          <w:rFonts w:eastAsia="Calibri"/>
          <w:noProof/>
          <w:szCs w:val="22"/>
          <w:lang w:eastAsia="en-US"/>
        </w:rPr>
        <w:t xml:space="preserve">nné a nákladovo efektívne, pričom sa zachová dôvera medzi stranami. </w:t>
      </w:r>
    </w:p>
    <w:p w:rsidR="00166001" w:rsidRDefault="00992344">
      <w:pPr>
        <w:widowControl/>
        <w:rPr>
          <w:rFonts w:eastAsia="Calibri"/>
          <w:b/>
          <w:i/>
          <w:noProof/>
          <w:szCs w:val="22"/>
          <w:lang w:eastAsia="en-US"/>
        </w:rPr>
      </w:pPr>
      <w:r>
        <w:rPr>
          <w:rFonts w:eastAsia="Calibri"/>
          <w:b/>
          <w:i/>
          <w:noProof/>
          <w:szCs w:val="22"/>
          <w:lang w:eastAsia="en-US"/>
        </w:rPr>
        <w:br w:type="page"/>
      </w:r>
    </w:p>
    <w:p w:rsidR="00166001" w:rsidRDefault="00992344">
      <w:pPr>
        <w:keepNext/>
        <w:widowControl/>
        <w:spacing w:before="120" w:after="120" w:line="360" w:lineRule="auto"/>
        <w:jc w:val="center"/>
        <w:rPr>
          <w:rFonts w:eastAsia="Calibri"/>
          <w:b/>
          <w:i/>
          <w:noProof/>
          <w:szCs w:val="22"/>
          <w:lang w:eastAsia="en-US"/>
        </w:rPr>
      </w:pPr>
      <w:r>
        <w:rPr>
          <w:rFonts w:eastAsia="Calibri"/>
          <w:b/>
          <w:i/>
          <w:noProof/>
          <w:szCs w:val="22"/>
          <w:lang w:eastAsia="en-US"/>
        </w:rPr>
        <w:lastRenderedPageBreak/>
        <w:t>Článok 16a</w:t>
      </w:r>
      <w:r>
        <w:rPr>
          <w:rFonts w:eastAsia="Calibri"/>
          <w:b/>
          <w:i/>
          <w:noProof/>
          <w:szCs w:val="22"/>
          <w:lang w:eastAsia="en-US"/>
        </w:rPr>
        <w:br/>
        <w:t>Povinnosti podávať správy</w:t>
      </w:r>
    </w:p>
    <w:p w:rsidR="00166001" w:rsidRDefault="00992344">
      <w:pPr>
        <w:widowControl/>
        <w:spacing w:before="120" w:after="120" w:line="360" w:lineRule="auto"/>
        <w:ind w:left="850" w:hanging="850"/>
        <w:rPr>
          <w:rFonts w:eastAsia="Calibri"/>
          <w:b/>
          <w:i/>
          <w:szCs w:val="22"/>
          <w:lang w:eastAsia="en-US"/>
        </w:rPr>
      </w:pPr>
      <w:r>
        <w:rPr>
          <w:rFonts w:eastAsia="Calibri"/>
          <w:b/>
          <w:i/>
          <w:szCs w:val="22"/>
          <w:lang w:eastAsia="en-US"/>
        </w:rPr>
        <w:t xml:space="preserve">1. </w:t>
      </w:r>
      <w:r>
        <w:rPr>
          <w:rFonts w:eastAsia="Calibri"/>
          <w:b/>
          <w:i/>
          <w:szCs w:val="22"/>
          <w:lang w:eastAsia="en-US"/>
        </w:rPr>
        <w:tab/>
        <w:t>Verejní obstarávatelia uvedení v článku 2 ods. 1 smernice 2014/24/EÚ každoročne podávajú správu o svojich platobných postupoch.</w:t>
      </w:r>
    </w:p>
    <w:p w:rsidR="00166001" w:rsidRDefault="00992344">
      <w:pPr>
        <w:widowControl/>
        <w:spacing w:before="120" w:after="120" w:line="360" w:lineRule="auto"/>
        <w:ind w:left="850" w:hanging="850"/>
        <w:rPr>
          <w:rFonts w:eastAsia="Calibri"/>
          <w:b/>
          <w:i/>
          <w:szCs w:val="22"/>
          <w:lang w:eastAsia="en-US"/>
        </w:rPr>
      </w:pPr>
      <w:r>
        <w:rPr>
          <w:rFonts w:eastAsia="Calibri"/>
          <w:b/>
          <w:i/>
          <w:szCs w:val="22"/>
          <w:lang w:eastAsia="en-US"/>
        </w:rPr>
        <w:t xml:space="preserve">2. </w:t>
      </w:r>
      <w:r>
        <w:rPr>
          <w:rFonts w:eastAsia="Calibri"/>
          <w:b/>
          <w:i/>
          <w:szCs w:val="22"/>
          <w:lang w:eastAsia="en-US"/>
        </w:rPr>
        <w:tab/>
        <w:t xml:space="preserve">Povinnosť </w:t>
      </w:r>
      <w:r>
        <w:rPr>
          <w:rFonts w:eastAsia="Calibri"/>
          <w:b/>
          <w:i/>
          <w:szCs w:val="22"/>
          <w:lang w:eastAsia="en-US"/>
        </w:rPr>
        <w:t>podávať správy podľa odseku 1 zahŕňa:</w:t>
      </w:r>
    </w:p>
    <w:p w:rsidR="00166001" w:rsidRDefault="00992344">
      <w:pPr>
        <w:widowControl/>
        <w:spacing w:before="120" w:after="120" w:line="360" w:lineRule="auto"/>
        <w:ind w:left="1418" w:hanging="568"/>
        <w:rPr>
          <w:rFonts w:eastAsia="Calibri"/>
          <w:b/>
          <w:i/>
          <w:szCs w:val="22"/>
          <w:lang w:eastAsia="en-US"/>
        </w:rPr>
      </w:pPr>
      <w:r>
        <w:rPr>
          <w:rFonts w:eastAsia="Calibri"/>
          <w:b/>
          <w:i/>
          <w:szCs w:val="22"/>
          <w:lang w:eastAsia="en-US"/>
        </w:rPr>
        <w:t>a)</w:t>
      </w:r>
      <w:r>
        <w:rPr>
          <w:rFonts w:eastAsia="Calibri"/>
          <w:b/>
          <w:i/>
          <w:szCs w:val="22"/>
          <w:lang w:eastAsia="en-US"/>
        </w:rPr>
        <w:tab/>
        <w:t>zaplatenú sumu v eurách:</w:t>
      </w:r>
    </w:p>
    <w:p w:rsidR="00166001" w:rsidRDefault="00992344">
      <w:pPr>
        <w:widowControl/>
        <w:spacing w:before="120" w:after="120" w:line="360" w:lineRule="auto"/>
        <w:ind w:left="1985" w:hanging="567"/>
        <w:rPr>
          <w:rFonts w:eastAsia="Calibri"/>
          <w:b/>
          <w:i/>
          <w:szCs w:val="22"/>
          <w:lang w:eastAsia="en-US"/>
        </w:rPr>
      </w:pPr>
      <w:r>
        <w:rPr>
          <w:rFonts w:eastAsia="Calibri"/>
          <w:b/>
          <w:i/>
          <w:szCs w:val="22"/>
          <w:lang w:eastAsia="en-US"/>
        </w:rPr>
        <w:t>–</w:t>
      </w:r>
      <w:r>
        <w:rPr>
          <w:rFonts w:eastAsia="Calibri"/>
          <w:b/>
          <w:i/>
          <w:szCs w:val="22"/>
          <w:lang w:eastAsia="en-US"/>
        </w:rPr>
        <w:tab/>
        <w:t>1 až 30 dní po uplynutí lehoty uvedenej v článku 3 tohto nariadenia;</w:t>
      </w:r>
    </w:p>
    <w:p w:rsidR="00166001" w:rsidRDefault="00992344">
      <w:pPr>
        <w:widowControl/>
        <w:spacing w:before="120" w:after="120" w:line="360" w:lineRule="auto"/>
        <w:ind w:left="1985" w:hanging="567"/>
        <w:rPr>
          <w:rFonts w:eastAsia="Calibri"/>
          <w:b/>
          <w:i/>
          <w:szCs w:val="22"/>
          <w:lang w:eastAsia="en-US"/>
        </w:rPr>
      </w:pPr>
      <w:r>
        <w:rPr>
          <w:rFonts w:eastAsia="Calibri"/>
          <w:b/>
          <w:i/>
          <w:szCs w:val="22"/>
          <w:lang w:eastAsia="en-US"/>
        </w:rPr>
        <w:t>–</w:t>
      </w:r>
      <w:r>
        <w:rPr>
          <w:rFonts w:eastAsia="Calibri"/>
          <w:b/>
          <w:i/>
          <w:szCs w:val="22"/>
          <w:lang w:eastAsia="en-US"/>
        </w:rPr>
        <w:tab/>
        <w:t>31 až 60 dní po uplynutí lehoty uvedenej v článku 3 tohto nariadenia;</w:t>
      </w:r>
    </w:p>
    <w:p w:rsidR="00166001" w:rsidRDefault="00992344">
      <w:pPr>
        <w:widowControl/>
        <w:spacing w:before="120" w:after="120" w:line="360" w:lineRule="auto"/>
        <w:ind w:left="1985" w:hanging="567"/>
        <w:rPr>
          <w:rFonts w:eastAsia="Calibri"/>
          <w:b/>
          <w:i/>
          <w:szCs w:val="22"/>
          <w:lang w:eastAsia="en-US"/>
        </w:rPr>
      </w:pPr>
      <w:r>
        <w:rPr>
          <w:rFonts w:eastAsia="Calibri"/>
          <w:b/>
          <w:i/>
          <w:szCs w:val="22"/>
          <w:lang w:eastAsia="en-US"/>
        </w:rPr>
        <w:t>–</w:t>
      </w:r>
      <w:r>
        <w:rPr>
          <w:rFonts w:eastAsia="Calibri"/>
          <w:b/>
          <w:i/>
          <w:szCs w:val="22"/>
          <w:lang w:eastAsia="en-US"/>
        </w:rPr>
        <w:tab/>
        <w:t>61 až 90 dní po uplynutí lehoty uvedenej v čl</w:t>
      </w:r>
      <w:r>
        <w:rPr>
          <w:rFonts w:eastAsia="Calibri"/>
          <w:b/>
          <w:i/>
          <w:szCs w:val="22"/>
          <w:lang w:eastAsia="en-US"/>
        </w:rPr>
        <w:t>ánku 3 tohto nariadenia;</w:t>
      </w:r>
    </w:p>
    <w:p w:rsidR="00166001" w:rsidRDefault="00992344">
      <w:pPr>
        <w:widowControl/>
        <w:spacing w:before="120" w:after="120" w:line="360" w:lineRule="auto"/>
        <w:ind w:left="1985" w:hanging="567"/>
        <w:rPr>
          <w:rFonts w:eastAsia="Calibri"/>
          <w:b/>
          <w:i/>
          <w:szCs w:val="22"/>
          <w:lang w:eastAsia="en-US"/>
        </w:rPr>
      </w:pPr>
      <w:r>
        <w:rPr>
          <w:rFonts w:eastAsia="Calibri"/>
          <w:b/>
          <w:i/>
          <w:szCs w:val="22"/>
          <w:lang w:eastAsia="en-US"/>
        </w:rPr>
        <w:t>–</w:t>
      </w:r>
      <w:r>
        <w:rPr>
          <w:rFonts w:eastAsia="Calibri"/>
          <w:b/>
          <w:i/>
          <w:szCs w:val="22"/>
          <w:lang w:eastAsia="en-US"/>
        </w:rPr>
        <w:tab/>
        <w:t>viac ako 90 dní po uplynutí lehoty uvedenej v článku 3 tohto nariadenia;</w:t>
      </w:r>
    </w:p>
    <w:p w:rsidR="00166001" w:rsidRDefault="00992344">
      <w:pPr>
        <w:widowControl/>
        <w:spacing w:before="120" w:after="120" w:line="360" w:lineRule="auto"/>
        <w:ind w:left="1418" w:hanging="568"/>
        <w:rPr>
          <w:rFonts w:eastAsia="Calibri"/>
          <w:b/>
          <w:i/>
          <w:szCs w:val="22"/>
          <w:lang w:eastAsia="en-US"/>
        </w:rPr>
      </w:pPr>
      <w:r>
        <w:rPr>
          <w:rFonts w:eastAsia="Calibri"/>
          <w:b/>
          <w:i/>
          <w:szCs w:val="22"/>
          <w:lang w:eastAsia="en-US"/>
        </w:rPr>
        <w:t xml:space="preserve">b) </w:t>
      </w:r>
      <w:r>
        <w:rPr>
          <w:rFonts w:eastAsia="Calibri"/>
          <w:b/>
          <w:i/>
          <w:szCs w:val="22"/>
          <w:lang w:eastAsia="en-US"/>
        </w:rPr>
        <w:tab/>
        <w:t>priemerný čas na zaplatenie faktúry.</w:t>
      </w:r>
    </w:p>
    <w:p w:rsidR="00166001" w:rsidRDefault="00992344">
      <w:pPr>
        <w:widowControl/>
        <w:spacing w:before="120" w:after="120" w:line="360" w:lineRule="auto"/>
        <w:ind w:left="850" w:hanging="850"/>
        <w:rPr>
          <w:rFonts w:eastAsia="Calibri"/>
          <w:b/>
          <w:szCs w:val="22"/>
          <w:lang w:eastAsia="en-US"/>
        </w:rPr>
      </w:pPr>
      <w:r>
        <w:rPr>
          <w:rFonts w:eastAsia="Calibri"/>
          <w:b/>
          <w:i/>
          <w:szCs w:val="22"/>
          <w:lang w:eastAsia="en-US"/>
        </w:rPr>
        <w:t xml:space="preserve">3. </w:t>
      </w:r>
      <w:r>
        <w:rPr>
          <w:rFonts w:eastAsia="Calibri"/>
          <w:b/>
          <w:i/>
          <w:szCs w:val="22"/>
          <w:lang w:eastAsia="en-US"/>
        </w:rPr>
        <w:tab/>
        <w:t xml:space="preserve">Správu uvedenú v odseku 1 tohto článku predkladajú verejní obstarávatelia orgánu presadzovania práva členského </w:t>
      </w:r>
      <w:r>
        <w:rPr>
          <w:rFonts w:eastAsia="Calibri"/>
          <w:b/>
          <w:i/>
          <w:szCs w:val="22"/>
          <w:lang w:eastAsia="en-US"/>
        </w:rPr>
        <w:t>štátu uvedenému v článku 13 v elektronickej podobe, pričom správa je prístupná verejnosti.</w:t>
      </w:r>
      <w:r>
        <w:rPr>
          <w:rFonts w:eastAsia="Calibri"/>
          <w:b/>
          <w:szCs w:val="22"/>
          <w:lang w:eastAsia="en-US"/>
        </w:rPr>
        <w:t xml:space="preserve"> [Am. 80]</w:t>
      </w:r>
    </w:p>
    <w:p w:rsidR="00166001" w:rsidRDefault="00992344">
      <w:pPr>
        <w:widowControl/>
        <w:rPr>
          <w:rFonts w:eastAsia="Calibri"/>
          <w:i/>
          <w:noProof/>
          <w:szCs w:val="22"/>
          <w:lang w:eastAsia="en-US"/>
        </w:rPr>
      </w:pPr>
      <w:r>
        <w:rPr>
          <w:rFonts w:eastAsia="Calibri"/>
          <w:i/>
          <w:noProof/>
          <w:szCs w:val="22"/>
          <w:lang w:eastAsia="en-US"/>
        </w:rPr>
        <w:br w:type="page"/>
      </w:r>
    </w:p>
    <w:p w:rsidR="00166001" w:rsidRDefault="00992344">
      <w:pPr>
        <w:keepNext/>
        <w:widowControl/>
        <w:spacing w:before="120" w:after="120" w:line="360" w:lineRule="auto"/>
        <w:jc w:val="center"/>
        <w:rPr>
          <w:rFonts w:eastAsia="Calibri"/>
          <w:i/>
          <w:noProof/>
          <w:szCs w:val="22"/>
          <w:lang w:eastAsia="en-US"/>
        </w:rPr>
      </w:pPr>
      <w:r>
        <w:rPr>
          <w:rFonts w:eastAsia="Calibri"/>
          <w:i/>
          <w:noProof/>
          <w:szCs w:val="22"/>
          <w:lang w:eastAsia="en-US"/>
        </w:rPr>
        <w:lastRenderedPageBreak/>
        <w:t xml:space="preserve">Článok 17 </w:t>
      </w:r>
      <w:r>
        <w:rPr>
          <w:rFonts w:eastAsia="Calibri"/>
          <w:i/>
          <w:noProof/>
          <w:szCs w:val="22"/>
          <w:lang w:eastAsia="en-US"/>
        </w:rPr>
        <w:br/>
      </w:r>
      <w:r>
        <w:rPr>
          <w:rFonts w:eastAsia="Calibri"/>
          <w:b/>
          <w:noProof/>
          <w:szCs w:val="22"/>
          <w:lang w:eastAsia="en-US"/>
        </w:rPr>
        <w:t>Digitálne nástroje, riadenie úverov a odborná príprava v oblasti finančnej gramotnosti</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Členské štáty na účinné presadzovanie tohto nariadeni</w:t>
      </w:r>
      <w:r>
        <w:rPr>
          <w:rFonts w:eastAsia="Calibri"/>
          <w:noProof/>
          <w:szCs w:val="22"/>
          <w:lang w:eastAsia="en-US"/>
        </w:rPr>
        <w:t xml:space="preserve">a v čo najväčšej možnej miere využívajú digitálne nástroje. </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2.</w:t>
      </w:r>
      <w:r>
        <w:rPr>
          <w:rFonts w:eastAsia="Calibri"/>
          <w:noProof/>
          <w:szCs w:val="22"/>
          <w:lang w:eastAsia="en-US"/>
        </w:rPr>
        <w:tab/>
        <w:t xml:space="preserve">Členské štáty zabezpečia, aby nástroje na </w:t>
      </w:r>
      <w:r>
        <w:rPr>
          <w:rFonts w:eastAsia="Calibri"/>
          <w:b/>
          <w:i/>
          <w:szCs w:val="22"/>
          <w:lang w:eastAsia="en-US"/>
        </w:rPr>
        <w:t xml:space="preserve">správu faktúr a </w:t>
      </w:r>
      <w:r>
        <w:rPr>
          <w:rFonts w:eastAsia="Calibri"/>
          <w:noProof/>
          <w:szCs w:val="22"/>
          <w:lang w:eastAsia="en-US"/>
        </w:rPr>
        <w:t xml:space="preserve">riadenie úverov </w:t>
      </w:r>
      <w:r>
        <w:rPr>
          <w:rFonts w:eastAsia="Calibri"/>
          <w:b/>
          <w:i/>
          <w:szCs w:val="22"/>
          <w:lang w:eastAsia="en-US"/>
        </w:rPr>
        <w:t xml:space="preserve">vrátane </w:t>
      </w:r>
      <w:proofErr w:type="spellStart"/>
      <w:r>
        <w:rPr>
          <w:rFonts w:eastAsia="Calibri"/>
          <w:b/>
          <w:i/>
          <w:szCs w:val="22"/>
          <w:lang w:eastAsia="en-US"/>
        </w:rPr>
        <w:t>faktoringu</w:t>
      </w:r>
      <w:proofErr w:type="spellEnd"/>
      <w:r>
        <w:rPr>
          <w:rFonts w:eastAsia="Calibri"/>
          <w:szCs w:val="22"/>
          <w:lang w:eastAsia="en-US"/>
        </w:rPr>
        <w:t xml:space="preserve"> </w:t>
      </w:r>
      <w:r>
        <w:rPr>
          <w:rFonts w:eastAsia="Calibri"/>
          <w:noProof/>
          <w:szCs w:val="22"/>
          <w:lang w:eastAsia="en-US"/>
        </w:rPr>
        <w:t>a </w:t>
      </w:r>
      <w:r>
        <w:rPr>
          <w:rFonts w:eastAsia="Calibri"/>
          <w:b/>
          <w:i/>
          <w:szCs w:val="22"/>
          <w:lang w:eastAsia="en-US"/>
        </w:rPr>
        <w:t>podobných finančných služieb,</w:t>
      </w:r>
      <w:r>
        <w:rPr>
          <w:rFonts w:eastAsia="Calibri"/>
          <w:szCs w:val="22"/>
          <w:lang w:eastAsia="en-US"/>
        </w:rPr>
        <w:t> </w:t>
      </w:r>
      <w:r>
        <w:rPr>
          <w:rFonts w:eastAsia="Calibri"/>
          <w:b/>
          <w:i/>
          <w:szCs w:val="22"/>
          <w:lang w:eastAsia="en-US"/>
        </w:rPr>
        <w:t xml:space="preserve">ako aj </w:t>
      </w:r>
      <w:r>
        <w:rPr>
          <w:rFonts w:eastAsia="Calibri"/>
          <w:noProof/>
          <w:szCs w:val="22"/>
          <w:lang w:eastAsia="en-US"/>
        </w:rPr>
        <w:t xml:space="preserve">odborná príprava v oblasti finančnej gramotnosti </w:t>
      </w:r>
      <w:r>
        <w:rPr>
          <w:rFonts w:eastAsia="Calibri"/>
          <w:b/>
          <w:i/>
          <w:szCs w:val="22"/>
          <w:lang w:eastAsia="en-US"/>
        </w:rPr>
        <w:t xml:space="preserve">a všetky </w:t>
      </w:r>
      <w:r>
        <w:rPr>
          <w:rFonts w:eastAsia="Calibri"/>
          <w:b/>
          <w:i/>
          <w:szCs w:val="22"/>
          <w:lang w:eastAsia="en-US"/>
        </w:rPr>
        <w:t>ďalšie iniciatívy, ktoré riešia oneskorenú platbu,</w:t>
      </w:r>
      <w:r>
        <w:rPr>
          <w:rFonts w:eastAsia="Calibri"/>
          <w:szCs w:val="22"/>
          <w:lang w:eastAsia="en-US"/>
        </w:rPr>
        <w:t xml:space="preserve"> </w:t>
      </w:r>
      <w:r>
        <w:rPr>
          <w:rFonts w:eastAsia="Calibri"/>
          <w:noProof/>
          <w:szCs w:val="22"/>
          <w:lang w:eastAsia="en-US"/>
        </w:rPr>
        <w:t>boli dostupné a prístupné malým a stredným podnikom, a to aj pokiaľ ide o používanie digitálnych nástrojov na realizáciu včasných platieb.</w:t>
      </w:r>
      <w:r>
        <w:rPr>
          <w:rFonts w:eastAsia="Calibri"/>
          <w:b/>
          <w:noProof/>
          <w:szCs w:val="22"/>
          <w:lang w:eastAsia="en-US"/>
        </w:rPr>
        <w:t xml:space="preserve"> [Am. 81]</w:t>
      </w:r>
    </w:p>
    <w:p w:rsidR="00166001" w:rsidRDefault="00992344">
      <w:pPr>
        <w:keepNext/>
        <w:widowControl/>
        <w:spacing w:before="360" w:after="120" w:line="360" w:lineRule="auto"/>
        <w:jc w:val="center"/>
        <w:rPr>
          <w:rFonts w:eastAsia="Calibri"/>
          <w:b/>
          <w:i/>
          <w:noProof/>
          <w:szCs w:val="22"/>
          <w:lang w:eastAsia="en-US"/>
        </w:rPr>
      </w:pPr>
      <w:r>
        <w:rPr>
          <w:rFonts w:eastAsia="Calibri"/>
          <w:b/>
          <w:i/>
          <w:noProof/>
          <w:szCs w:val="22"/>
          <w:lang w:eastAsia="en-US"/>
        </w:rPr>
        <w:t>Článok 17a</w:t>
      </w:r>
      <w:r>
        <w:rPr>
          <w:rFonts w:eastAsia="Calibri"/>
          <w:b/>
          <w:i/>
          <w:noProof/>
          <w:szCs w:val="22"/>
          <w:lang w:eastAsia="en-US"/>
        </w:rPr>
        <w:br/>
        <w:t>Európske stredisko pre monitorovanie oneskoren</w:t>
      </w:r>
      <w:r>
        <w:rPr>
          <w:rFonts w:eastAsia="Calibri"/>
          <w:b/>
          <w:i/>
          <w:noProof/>
          <w:szCs w:val="22"/>
          <w:lang w:eastAsia="en-US"/>
        </w:rPr>
        <w:t>ých platieb</w:t>
      </w:r>
    </w:p>
    <w:p w:rsidR="00166001" w:rsidRDefault="00992344">
      <w:pPr>
        <w:widowControl/>
        <w:spacing w:before="120" w:after="120" w:line="360" w:lineRule="auto"/>
        <w:ind w:left="850" w:hanging="850"/>
        <w:rPr>
          <w:rFonts w:eastAsia="Calibri"/>
          <w:b/>
          <w:i/>
          <w:noProof/>
          <w:szCs w:val="22"/>
          <w:lang w:eastAsia="en-US"/>
        </w:rPr>
      </w:pPr>
      <w:r>
        <w:rPr>
          <w:rFonts w:eastAsia="Calibri"/>
          <w:b/>
          <w:i/>
          <w:noProof/>
          <w:szCs w:val="22"/>
          <w:lang w:eastAsia="en-US"/>
        </w:rPr>
        <w:t xml:space="preserve">1. </w:t>
      </w:r>
      <w:r>
        <w:rPr>
          <w:rFonts w:eastAsia="Calibri"/>
          <w:b/>
          <w:i/>
          <w:noProof/>
          <w:szCs w:val="22"/>
          <w:lang w:eastAsia="en-US"/>
        </w:rPr>
        <w:tab/>
        <w:t>Komisia zriadi Stredisko pre monitorovanie oneskorených platieb (ďalej len „stredisko pre monitorovanie“) do ... [Úrad pre publikácie: dátum začatia uplatňovania tohto nariadenia].</w:t>
      </w:r>
    </w:p>
    <w:p w:rsidR="00166001" w:rsidRDefault="00992344">
      <w:pPr>
        <w:widowControl/>
        <w:spacing w:before="120" w:after="120" w:line="360" w:lineRule="auto"/>
        <w:ind w:left="850" w:hanging="850"/>
        <w:rPr>
          <w:rFonts w:eastAsia="Calibri"/>
          <w:b/>
          <w:i/>
          <w:noProof/>
          <w:szCs w:val="22"/>
          <w:lang w:eastAsia="en-US"/>
        </w:rPr>
      </w:pPr>
      <w:r>
        <w:rPr>
          <w:rFonts w:eastAsia="Calibri"/>
          <w:b/>
          <w:i/>
          <w:noProof/>
          <w:szCs w:val="22"/>
          <w:lang w:eastAsia="en-US"/>
        </w:rPr>
        <w:t xml:space="preserve">2. </w:t>
      </w:r>
      <w:r>
        <w:rPr>
          <w:rFonts w:eastAsia="Calibri"/>
          <w:b/>
          <w:i/>
          <w:noProof/>
          <w:szCs w:val="22"/>
          <w:lang w:eastAsia="en-US"/>
        </w:rPr>
        <w:tab/>
        <w:t>Stredisko pre monitorovanie monitoruje platobné postupy</w:t>
      </w:r>
      <w:r>
        <w:rPr>
          <w:rFonts w:eastAsia="Calibri"/>
          <w:b/>
          <w:i/>
          <w:noProof/>
          <w:szCs w:val="22"/>
          <w:lang w:eastAsia="en-US"/>
        </w:rPr>
        <w:t>, ako aj praktiky oneskorených platieb v Únii s cieľom zhromažďovať a vymieňať si odborné poznatky a najlepšie postupy a identifikovať potenciálne škodlivé praktiky s cieľom poskytovať Komisii poradenstvo a odborné znalosti o vývoji platobných postupov a p</w:t>
      </w:r>
      <w:r>
        <w:rPr>
          <w:rFonts w:eastAsia="Calibri"/>
          <w:b/>
          <w:i/>
          <w:noProof/>
          <w:szCs w:val="22"/>
          <w:lang w:eastAsia="en-US"/>
        </w:rPr>
        <w:t>raktikách oneskorených platieb.</w:t>
      </w:r>
    </w:p>
    <w:p w:rsidR="00166001" w:rsidRDefault="00992344">
      <w:pPr>
        <w:widowControl/>
        <w:rPr>
          <w:rFonts w:eastAsia="Calibri"/>
          <w:b/>
          <w:i/>
          <w:noProof/>
          <w:szCs w:val="22"/>
          <w:lang w:eastAsia="en-US"/>
        </w:rPr>
      </w:pPr>
      <w:r>
        <w:rPr>
          <w:rFonts w:eastAsia="Calibri"/>
          <w:b/>
          <w:i/>
          <w:noProof/>
          <w:szCs w:val="22"/>
          <w:lang w:eastAsia="en-US"/>
        </w:rPr>
        <w:br w:type="page"/>
      </w:r>
    </w:p>
    <w:p w:rsidR="00166001" w:rsidRDefault="00992344">
      <w:pPr>
        <w:widowControl/>
        <w:spacing w:before="120" w:after="120" w:line="360" w:lineRule="auto"/>
        <w:ind w:left="850" w:hanging="850"/>
        <w:rPr>
          <w:rFonts w:eastAsia="Calibri"/>
          <w:b/>
          <w:i/>
          <w:noProof/>
          <w:szCs w:val="22"/>
          <w:lang w:eastAsia="en-US"/>
        </w:rPr>
      </w:pPr>
      <w:r>
        <w:rPr>
          <w:rFonts w:eastAsia="Calibri"/>
          <w:b/>
          <w:i/>
          <w:noProof/>
          <w:szCs w:val="22"/>
          <w:lang w:eastAsia="en-US"/>
        </w:rPr>
        <w:lastRenderedPageBreak/>
        <w:t xml:space="preserve">3. </w:t>
      </w:r>
      <w:r>
        <w:rPr>
          <w:rFonts w:eastAsia="Calibri"/>
          <w:b/>
          <w:i/>
          <w:noProof/>
          <w:szCs w:val="22"/>
          <w:lang w:eastAsia="en-US"/>
        </w:rPr>
        <w:tab/>
        <w:t>Členské štáty oznámia stredisku pre monitorovanie:</w:t>
      </w:r>
    </w:p>
    <w:p w:rsidR="00166001" w:rsidRDefault="00992344">
      <w:pPr>
        <w:keepNext/>
        <w:widowControl/>
        <w:spacing w:before="120" w:after="120" w:line="360" w:lineRule="auto"/>
        <w:ind w:left="1418" w:hanging="567"/>
        <w:rPr>
          <w:rFonts w:eastAsia="Calibri"/>
          <w:b/>
          <w:i/>
          <w:noProof/>
          <w:szCs w:val="22"/>
          <w:lang w:eastAsia="en-US"/>
        </w:rPr>
      </w:pPr>
      <w:r>
        <w:rPr>
          <w:rFonts w:eastAsia="Calibri"/>
          <w:b/>
          <w:i/>
          <w:noProof/>
          <w:szCs w:val="22"/>
          <w:lang w:eastAsia="en-US"/>
        </w:rPr>
        <w:t xml:space="preserve">a) </w:t>
      </w:r>
      <w:r>
        <w:rPr>
          <w:rFonts w:eastAsia="Calibri"/>
          <w:b/>
          <w:i/>
          <w:noProof/>
          <w:szCs w:val="22"/>
          <w:lang w:eastAsia="en-US"/>
        </w:rPr>
        <w:tab/>
        <w:t>zoznamy tovaru a služieb, ktoré podliehajú postupu prijímania alebo overovania stanovenému v článku 3 ods. 2;</w:t>
      </w:r>
    </w:p>
    <w:p w:rsidR="00166001" w:rsidRDefault="00992344">
      <w:pPr>
        <w:keepNext/>
        <w:widowControl/>
        <w:spacing w:before="120" w:after="120" w:line="360" w:lineRule="auto"/>
        <w:ind w:left="1418" w:hanging="567"/>
        <w:rPr>
          <w:rFonts w:eastAsia="Calibri"/>
          <w:b/>
          <w:i/>
          <w:noProof/>
          <w:szCs w:val="22"/>
          <w:lang w:eastAsia="en-US"/>
        </w:rPr>
      </w:pPr>
      <w:r>
        <w:rPr>
          <w:rFonts w:eastAsia="Calibri"/>
          <w:b/>
          <w:i/>
          <w:noProof/>
          <w:szCs w:val="22"/>
          <w:lang w:eastAsia="en-US"/>
        </w:rPr>
        <w:t xml:space="preserve">b) </w:t>
      </w:r>
      <w:r>
        <w:rPr>
          <w:rFonts w:eastAsia="Calibri"/>
          <w:b/>
          <w:i/>
          <w:noProof/>
          <w:szCs w:val="22"/>
          <w:lang w:eastAsia="en-US"/>
        </w:rPr>
        <w:tab/>
        <w:t xml:space="preserve">súhrnné údaje obsahujúce informácie uvedené v </w:t>
      </w:r>
      <w:r>
        <w:rPr>
          <w:rFonts w:eastAsia="Calibri"/>
          <w:b/>
          <w:i/>
          <w:noProof/>
          <w:szCs w:val="22"/>
          <w:lang w:eastAsia="en-US"/>
        </w:rPr>
        <w:t>článku 13 ods. 3a, článku 14 ods. 1, článku 14 ods. 2 a článku 16a ods. 3;</w:t>
      </w:r>
    </w:p>
    <w:p w:rsidR="00166001" w:rsidRDefault="00992344">
      <w:pPr>
        <w:keepNext/>
        <w:widowControl/>
        <w:spacing w:before="120" w:after="120" w:line="360" w:lineRule="auto"/>
        <w:ind w:left="1418" w:hanging="567"/>
        <w:rPr>
          <w:rFonts w:eastAsia="Calibri"/>
          <w:b/>
          <w:i/>
          <w:noProof/>
          <w:szCs w:val="22"/>
          <w:lang w:eastAsia="en-US"/>
        </w:rPr>
      </w:pPr>
      <w:r>
        <w:rPr>
          <w:rFonts w:eastAsia="Calibri"/>
          <w:b/>
          <w:i/>
          <w:noProof/>
          <w:szCs w:val="22"/>
          <w:lang w:eastAsia="en-US"/>
        </w:rPr>
        <w:t xml:space="preserve">c) </w:t>
      </w:r>
      <w:r>
        <w:rPr>
          <w:rFonts w:eastAsia="Calibri"/>
          <w:b/>
          <w:i/>
          <w:noProof/>
          <w:szCs w:val="22"/>
          <w:lang w:eastAsia="en-US"/>
        </w:rPr>
        <w:tab/>
        <w:t>informácie týkajúce sa orgánov presadzovania práva, počte sťažností a vyšetrovaní a prijatých opatreniach;</w:t>
      </w:r>
    </w:p>
    <w:p w:rsidR="00166001" w:rsidRDefault="00992344">
      <w:pPr>
        <w:widowControl/>
        <w:spacing w:before="120" w:after="120" w:line="360" w:lineRule="auto"/>
        <w:ind w:left="850" w:hanging="850"/>
        <w:rPr>
          <w:rFonts w:eastAsia="Calibri"/>
          <w:b/>
          <w:i/>
          <w:noProof/>
          <w:szCs w:val="22"/>
          <w:lang w:eastAsia="en-US"/>
        </w:rPr>
      </w:pPr>
      <w:r>
        <w:rPr>
          <w:rFonts w:eastAsia="Calibri"/>
          <w:b/>
          <w:i/>
          <w:noProof/>
          <w:szCs w:val="22"/>
          <w:lang w:eastAsia="en-US"/>
        </w:rPr>
        <w:t xml:space="preserve">4. </w:t>
      </w:r>
      <w:r>
        <w:rPr>
          <w:rFonts w:eastAsia="Calibri"/>
          <w:b/>
          <w:i/>
          <w:noProof/>
          <w:szCs w:val="22"/>
          <w:lang w:eastAsia="en-US"/>
        </w:rPr>
        <w:tab/>
        <w:t>Stredisko pre monitorovanie vydáva výročné správy, stanoviská a pí</w:t>
      </w:r>
      <w:r>
        <w:rPr>
          <w:rFonts w:eastAsia="Calibri"/>
          <w:b/>
          <w:i/>
          <w:noProof/>
          <w:szCs w:val="22"/>
          <w:lang w:eastAsia="en-US"/>
        </w:rPr>
        <w:t>somné príspevky týkajúce sa vykonávania tohto nariadenia vrátane posúdenia a usmernení na účinné presadzovanie tohto nariadenia.</w:t>
      </w:r>
    </w:p>
    <w:p w:rsidR="00166001" w:rsidRDefault="00992344">
      <w:pPr>
        <w:widowControl/>
        <w:spacing w:before="120" w:after="120" w:line="360" w:lineRule="auto"/>
        <w:ind w:left="850" w:hanging="850"/>
        <w:rPr>
          <w:rFonts w:eastAsia="Calibri"/>
          <w:b/>
          <w:i/>
          <w:noProof/>
          <w:szCs w:val="22"/>
          <w:lang w:eastAsia="en-US"/>
        </w:rPr>
      </w:pPr>
      <w:r>
        <w:rPr>
          <w:rFonts w:eastAsia="Calibri"/>
          <w:b/>
          <w:i/>
          <w:noProof/>
          <w:szCs w:val="22"/>
          <w:lang w:eastAsia="en-US"/>
        </w:rPr>
        <w:t xml:space="preserve">5. </w:t>
      </w:r>
      <w:r>
        <w:rPr>
          <w:rFonts w:eastAsia="Calibri"/>
          <w:b/>
          <w:i/>
          <w:noProof/>
          <w:szCs w:val="22"/>
          <w:lang w:eastAsia="en-US"/>
        </w:rPr>
        <w:tab/>
        <w:t>Stredisku pre monitorovanie predsedá Komisia a pozostáva zo zástupcov príslušných odborníkov a zainteresovaných strán. Zlož</w:t>
      </w:r>
      <w:r>
        <w:rPr>
          <w:rFonts w:eastAsia="Calibri"/>
          <w:b/>
          <w:i/>
          <w:noProof/>
          <w:szCs w:val="22"/>
          <w:lang w:eastAsia="en-US"/>
        </w:rPr>
        <w:t xml:space="preserve">enie rady zabezpečuje vyvážené zastúpenie všetkých zainteresovaných strán. </w:t>
      </w:r>
      <w:r>
        <w:rPr>
          <w:rFonts w:eastAsia="Calibri"/>
          <w:b/>
          <w:noProof/>
          <w:szCs w:val="22"/>
          <w:lang w:eastAsia="en-US"/>
        </w:rPr>
        <w:t>[Am. 82]</w:t>
      </w:r>
    </w:p>
    <w:p w:rsidR="00166001" w:rsidRDefault="00992344">
      <w:pPr>
        <w:widowControl/>
        <w:rPr>
          <w:rFonts w:eastAsia="Calibri"/>
          <w:b/>
          <w:i/>
          <w:noProof/>
          <w:szCs w:val="22"/>
          <w:lang w:eastAsia="en-US"/>
        </w:rPr>
      </w:pPr>
      <w:r>
        <w:rPr>
          <w:rFonts w:eastAsia="Calibri"/>
          <w:b/>
          <w:i/>
          <w:noProof/>
          <w:szCs w:val="22"/>
          <w:lang w:eastAsia="en-US"/>
        </w:rPr>
        <w:br w:type="page"/>
      </w:r>
    </w:p>
    <w:p w:rsidR="00166001" w:rsidRDefault="00992344">
      <w:pPr>
        <w:keepNext/>
        <w:widowControl/>
        <w:spacing w:before="120" w:after="120" w:line="360" w:lineRule="auto"/>
        <w:jc w:val="center"/>
        <w:rPr>
          <w:rFonts w:eastAsia="Calibri"/>
          <w:b/>
          <w:i/>
          <w:noProof/>
          <w:szCs w:val="22"/>
          <w:lang w:eastAsia="en-US"/>
        </w:rPr>
      </w:pPr>
      <w:r>
        <w:rPr>
          <w:rFonts w:eastAsia="Calibri"/>
          <w:b/>
          <w:i/>
          <w:noProof/>
          <w:szCs w:val="22"/>
          <w:lang w:eastAsia="en-US"/>
        </w:rPr>
        <w:lastRenderedPageBreak/>
        <w:t>Článok 17b</w:t>
      </w:r>
      <w:r>
        <w:rPr>
          <w:rFonts w:eastAsia="Calibri"/>
          <w:b/>
          <w:i/>
          <w:noProof/>
          <w:szCs w:val="22"/>
          <w:lang w:eastAsia="en-US"/>
        </w:rPr>
        <w:br/>
        <w:t>Zmeny nariadenia (ES) č. 1896/2006</w:t>
      </w:r>
    </w:p>
    <w:p w:rsidR="00166001" w:rsidRDefault="00992344">
      <w:pPr>
        <w:keepNext/>
        <w:widowControl/>
        <w:spacing w:before="120" w:after="120" w:line="360" w:lineRule="auto"/>
        <w:rPr>
          <w:rFonts w:eastAsia="Calibri"/>
          <w:b/>
          <w:i/>
          <w:noProof/>
          <w:szCs w:val="22"/>
          <w:lang w:eastAsia="en-US"/>
        </w:rPr>
      </w:pPr>
      <w:r>
        <w:rPr>
          <w:rFonts w:eastAsia="Calibri"/>
          <w:b/>
          <w:i/>
          <w:noProof/>
          <w:szCs w:val="22"/>
          <w:lang w:eastAsia="en-US"/>
        </w:rPr>
        <w:t>Nariadenie (ES) č. 1896/2006 sa mení takto:</w:t>
      </w:r>
    </w:p>
    <w:p w:rsidR="00166001" w:rsidRDefault="00992344">
      <w:pPr>
        <w:keepNext/>
        <w:widowControl/>
        <w:spacing w:before="120" w:after="120" w:line="360" w:lineRule="auto"/>
        <w:ind w:left="851" w:hanging="851"/>
        <w:rPr>
          <w:rFonts w:eastAsia="Calibri"/>
          <w:b/>
          <w:i/>
          <w:noProof/>
          <w:szCs w:val="22"/>
          <w:lang w:eastAsia="en-US"/>
        </w:rPr>
      </w:pPr>
      <w:r>
        <w:rPr>
          <w:rFonts w:eastAsia="Calibri"/>
          <w:b/>
          <w:i/>
          <w:noProof/>
          <w:szCs w:val="22"/>
          <w:lang w:eastAsia="en-US"/>
        </w:rPr>
        <w:t xml:space="preserve">1. </w:t>
      </w:r>
      <w:r>
        <w:rPr>
          <w:rFonts w:eastAsia="Calibri"/>
          <w:b/>
          <w:i/>
          <w:noProof/>
          <w:szCs w:val="22"/>
          <w:lang w:eastAsia="en-US"/>
        </w:rPr>
        <w:tab/>
        <w:t>Článok 7 sa mení takto:</w:t>
      </w:r>
    </w:p>
    <w:p w:rsidR="00166001" w:rsidRDefault="00992344">
      <w:pPr>
        <w:keepNext/>
        <w:widowControl/>
        <w:spacing w:before="120" w:after="120" w:line="360" w:lineRule="auto"/>
        <w:ind w:left="1418" w:hanging="567"/>
        <w:rPr>
          <w:rFonts w:eastAsia="Calibri"/>
          <w:b/>
          <w:i/>
          <w:noProof/>
          <w:szCs w:val="22"/>
          <w:lang w:eastAsia="en-US"/>
        </w:rPr>
      </w:pPr>
      <w:r>
        <w:rPr>
          <w:rFonts w:eastAsia="Calibri"/>
          <w:b/>
          <w:i/>
          <w:noProof/>
          <w:szCs w:val="22"/>
          <w:lang w:eastAsia="en-US"/>
        </w:rPr>
        <w:t xml:space="preserve">a) </w:t>
      </w:r>
      <w:r>
        <w:rPr>
          <w:rFonts w:eastAsia="Calibri"/>
          <w:b/>
          <w:i/>
          <w:noProof/>
          <w:szCs w:val="22"/>
          <w:lang w:eastAsia="en-US"/>
        </w:rPr>
        <w:tab/>
        <w:t xml:space="preserve">odsek 5 sa nahrádza takto: </w:t>
      </w:r>
    </w:p>
    <w:p w:rsidR="00166001" w:rsidRDefault="00992344">
      <w:pPr>
        <w:keepNext/>
        <w:widowControl/>
        <w:spacing w:before="120" w:after="120" w:line="360" w:lineRule="auto"/>
        <w:ind w:left="1985" w:hanging="567"/>
        <w:rPr>
          <w:rFonts w:eastAsia="Calibri"/>
          <w:b/>
          <w:i/>
          <w:noProof/>
          <w:szCs w:val="22"/>
          <w:lang w:eastAsia="en-US"/>
        </w:rPr>
      </w:pPr>
      <w:r>
        <w:rPr>
          <w:rFonts w:eastAsia="Calibri"/>
          <w:b/>
          <w:i/>
          <w:noProof/>
          <w:szCs w:val="22"/>
          <w:lang w:eastAsia="en-US"/>
        </w:rPr>
        <w:t>„5.</w:t>
      </w:r>
      <w:r>
        <w:rPr>
          <w:rFonts w:eastAsia="Calibri"/>
          <w:b/>
          <w:i/>
          <w:noProof/>
          <w:szCs w:val="22"/>
          <w:lang w:eastAsia="en-US"/>
        </w:rPr>
        <w:tab/>
        <w:t>Žiadosť sa predk</w:t>
      </w:r>
      <w:r>
        <w:rPr>
          <w:rFonts w:eastAsia="Calibri"/>
          <w:b/>
          <w:i/>
          <w:noProof/>
          <w:szCs w:val="22"/>
          <w:lang w:eastAsia="en-US"/>
        </w:rPr>
        <w:t>ladá elektronicky.“</w:t>
      </w:r>
    </w:p>
    <w:p w:rsidR="00166001" w:rsidRDefault="00992344">
      <w:pPr>
        <w:keepNext/>
        <w:widowControl/>
        <w:spacing w:before="120" w:after="120" w:line="360" w:lineRule="auto"/>
        <w:ind w:left="1418" w:hanging="567"/>
        <w:rPr>
          <w:rFonts w:eastAsia="Calibri"/>
          <w:b/>
          <w:i/>
          <w:noProof/>
          <w:szCs w:val="22"/>
          <w:lang w:eastAsia="en-US"/>
        </w:rPr>
      </w:pPr>
      <w:r>
        <w:rPr>
          <w:rFonts w:eastAsia="Calibri"/>
          <w:b/>
          <w:i/>
          <w:noProof/>
          <w:szCs w:val="22"/>
          <w:lang w:eastAsia="en-US"/>
        </w:rPr>
        <w:t xml:space="preserve">b) </w:t>
      </w:r>
      <w:r>
        <w:rPr>
          <w:rFonts w:eastAsia="Calibri"/>
          <w:b/>
          <w:i/>
          <w:noProof/>
          <w:szCs w:val="22"/>
          <w:lang w:eastAsia="en-US"/>
        </w:rPr>
        <w:tab/>
        <w:t xml:space="preserve">odsek 6 sa nahrádza takto: </w:t>
      </w:r>
    </w:p>
    <w:p w:rsidR="00166001" w:rsidRDefault="00992344">
      <w:pPr>
        <w:keepNext/>
        <w:widowControl/>
        <w:spacing w:before="120" w:after="120" w:line="360" w:lineRule="auto"/>
        <w:ind w:left="1985" w:hanging="567"/>
        <w:rPr>
          <w:rFonts w:eastAsia="Calibri"/>
          <w:b/>
          <w:i/>
          <w:noProof/>
          <w:szCs w:val="22"/>
          <w:lang w:eastAsia="en-US"/>
        </w:rPr>
      </w:pPr>
      <w:r>
        <w:rPr>
          <w:rFonts w:eastAsia="Calibri"/>
          <w:b/>
          <w:i/>
          <w:noProof/>
          <w:szCs w:val="22"/>
          <w:lang w:eastAsia="en-US"/>
        </w:rPr>
        <w:t>„6.</w:t>
      </w:r>
      <w:r>
        <w:rPr>
          <w:rFonts w:eastAsia="Calibri"/>
          <w:b/>
          <w:i/>
          <w:noProof/>
          <w:szCs w:val="22"/>
          <w:lang w:eastAsia="en-US"/>
        </w:rPr>
        <w:tab/>
        <w:t>Žiadosť sa podpisuje elektronicky podľa článku 2 ods. 2 nariadenia Európskeho parlamentu a Rady (EÚ) č. 910/2014 z 23. júla 2014 o elektronickej identifikácii a dôveryhodných službách pre elektronické</w:t>
      </w:r>
      <w:r>
        <w:rPr>
          <w:rFonts w:eastAsia="Calibri"/>
          <w:b/>
          <w:i/>
          <w:noProof/>
          <w:szCs w:val="22"/>
          <w:lang w:eastAsia="en-US"/>
        </w:rPr>
        <w:t xml:space="preserve"> transakcie na vnútornom trhu. Tento podpis sa v členskom štáte pôvodu uznáva bez akýchkoľvek ďalších podmienok. Členské štáty zavedú alternatívne elektronické komunikačné systémy, ktoré umožňujú bezpečnú identifikáciu používateľov. V tomto prípade sa elek</w:t>
      </w:r>
      <w:r>
        <w:rPr>
          <w:rFonts w:eastAsia="Calibri"/>
          <w:b/>
          <w:i/>
          <w:noProof/>
          <w:szCs w:val="22"/>
          <w:lang w:eastAsia="en-US"/>
        </w:rPr>
        <w:t>tronický podpis nevyžaduje.“</w:t>
      </w:r>
    </w:p>
    <w:p w:rsidR="00166001" w:rsidRDefault="00992344">
      <w:pPr>
        <w:widowControl/>
        <w:rPr>
          <w:rFonts w:eastAsia="Calibri"/>
          <w:b/>
          <w:i/>
          <w:noProof/>
          <w:szCs w:val="22"/>
          <w:lang w:eastAsia="en-US"/>
        </w:rPr>
      </w:pPr>
      <w:r>
        <w:rPr>
          <w:rFonts w:eastAsia="Calibri"/>
          <w:b/>
          <w:i/>
          <w:noProof/>
          <w:szCs w:val="22"/>
          <w:lang w:eastAsia="en-US"/>
        </w:rPr>
        <w:br w:type="page"/>
      </w:r>
    </w:p>
    <w:p w:rsidR="00166001" w:rsidRDefault="00992344">
      <w:pPr>
        <w:keepNext/>
        <w:widowControl/>
        <w:spacing w:before="120" w:after="120" w:line="360" w:lineRule="auto"/>
        <w:ind w:left="851" w:hanging="851"/>
        <w:rPr>
          <w:rFonts w:eastAsia="Calibri"/>
          <w:b/>
          <w:i/>
          <w:noProof/>
          <w:szCs w:val="22"/>
          <w:lang w:eastAsia="en-US"/>
        </w:rPr>
      </w:pPr>
      <w:r>
        <w:rPr>
          <w:rFonts w:eastAsia="Calibri"/>
          <w:b/>
          <w:i/>
          <w:noProof/>
          <w:szCs w:val="22"/>
          <w:lang w:eastAsia="en-US"/>
        </w:rPr>
        <w:lastRenderedPageBreak/>
        <w:t>2.</w:t>
      </w:r>
      <w:r>
        <w:rPr>
          <w:rFonts w:eastAsia="Calibri"/>
          <w:b/>
          <w:i/>
          <w:noProof/>
          <w:szCs w:val="22"/>
          <w:lang w:eastAsia="en-US"/>
        </w:rPr>
        <w:tab/>
        <w:t xml:space="preserve">Článok 12 ods. 1 sa nahrádza takto: </w:t>
      </w:r>
    </w:p>
    <w:p w:rsidR="00166001" w:rsidRDefault="00992344">
      <w:pPr>
        <w:keepNext/>
        <w:widowControl/>
        <w:spacing w:before="120" w:after="120" w:line="360" w:lineRule="auto"/>
        <w:ind w:left="1418" w:hanging="567"/>
        <w:rPr>
          <w:rFonts w:eastAsia="Calibri"/>
          <w:b/>
          <w:i/>
          <w:noProof/>
          <w:szCs w:val="22"/>
          <w:lang w:eastAsia="en-US"/>
        </w:rPr>
      </w:pPr>
      <w:r>
        <w:rPr>
          <w:rFonts w:eastAsia="Calibri"/>
          <w:b/>
          <w:i/>
          <w:noProof/>
          <w:szCs w:val="22"/>
          <w:lang w:eastAsia="en-US"/>
        </w:rPr>
        <w:t>„1.</w:t>
      </w:r>
      <w:r>
        <w:rPr>
          <w:rFonts w:eastAsia="Calibri"/>
          <w:b/>
          <w:i/>
          <w:noProof/>
          <w:szCs w:val="22"/>
          <w:lang w:eastAsia="en-US"/>
        </w:rPr>
        <w:tab/>
        <w:t>Ak sú splnené podmienky stanovené v článku 8, súd vydá európsky platobný rozkaz na tlačive E uvedenom v prílohe V do 14 dní od podania žiadosti. Pri výpočte 14-dňovej lehoty sa nezo</w:t>
      </w:r>
      <w:r>
        <w:rPr>
          <w:rFonts w:eastAsia="Calibri"/>
          <w:b/>
          <w:i/>
          <w:noProof/>
          <w:szCs w:val="22"/>
          <w:lang w:eastAsia="en-US"/>
        </w:rPr>
        <w:t>hľadňuje čas, ktorý žiadateľ potreboval na doplnenie, opravu alebo zmenu žiadosti.“</w:t>
      </w:r>
    </w:p>
    <w:p w:rsidR="00166001" w:rsidRDefault="00992344">
      <w:pPr>
        <w:keepNext/>
        <w:widowControl/>
        <w:spacing w:before="120" w:after="120" w:line="360" w:lineRule="auto"/>
        <w:ind w:left="851" w:hanging="851"/>
        <w:rPr>
          <w:rFonts w:eastAsia="Calibri"/>
          <w:b/>
          <w:i/>
          <w:noProof/>
          <w:szCs w:val="22"/>
          <w:lang w:eastAsia="en-US"/>
        </w:rPr>
      </w:pPr>
      <w:r>
        <w:rPr>
          <w:rFonts w:eastAsia="Calibri"/>
          <w:b/>
          <w:i/>
          <w:noProof/>
          <w:szCs w:val="22"/>
          <w:lang w:eastAsia="en-US"/>
        </w:rPr>
        <w:t>3.</w:t>
      </w:r>
      <w:r>
        <w:rPr>
          <w:rFonts w:eastAsia="Calibri"/>
          <w:b/>
          <w:i/>
          <w:noProof/>
          <w:szCs w:val="22"/>
          <w:lang w:eastAsia="en-US"/>
        </w:rPr>
        <w:tab/>
        <w:t xml:space="preserve">Článok 16 ods. 2 sa nahrádza takto: </w:t>
      </w:r>
    </w:p>
    <w:p w:rsidR="00166001" w:rsidRDefault="00992344">
      <w:pPr>
        <w:keepNext/>
        <w:widowControl/>
        <w:spacing w:before="120" w:after="120" w:line="360" w:lineRule="auto"/>
        <w:ind w:left="1418" w:hanging="567"/>
        <w:rPr>
          <w:rFonts w:eastAsia="Calibri"/>
          <w:b/>
          <w:noProof/>
          <w:szCs w:val="22"/>
          <w:lang w:eastAsia="en-US"/>
        </w:rPr>
      </w:pPr>
      <w:r>
        <w:rPr>
          <w:rFonts w:eastAsia="Calibri"/>
          <w:b/>
          <w:i/>
          <w:noProof/>
          <w:szCs w:val="22"/>
          <w:lang w:eastAsia="en-US"/>
        </w:rPr>
        <w:t>„2.</w:t>
      </w:r>
      <w:r>
        <w:rPr>
          <w:rFonts w:eastAsia="Calibri"/>
          <w:b/>
          <w:i/>
          <w:noProof/>
          <w:szCs w:val="22"/>
          <w:lang w:eastAsia="en-US"/>
        </w:rPr>
        <w:tab/>
        <w:t>Odpor sa zašle do 14 dní odo dňa doručenia platobného rozkazu odporcovi.“</w:t>
      </w:r>
      <w:r>
        <w:rPr>
          <w:rFonts w:eastAsia="Calibri"/>
          <w:b/>
          <w:noProof/>
          <w:szCs w:val="22"/>
          <w:lang w:eastAsia="en-US"/>
        </w:rPr>
        <w:t xml:space="preserve"> [Am. 83]</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jc w:val="center"/>
        <w:rPr>
          <w:rFonts w:eastAsia="Calibri"/>
          <w:b/>
          <w:i/>
          <w:szCs w:val="22"/>
          <w:lang w:eastAsia="en-US"/>
        </w:rPr>
      </w:pPr>
      <w:r>
        <w:rPr>
          <w:rFonts w:eastAsia="Calibri"/>
          <w:b/>
          <w:i/>
          <w:szCs w:val="22"/>
          <w:lang w:eastAsia="en-US"/>
        </w:rPr>
        <w:lastRenderedPageBreak/>
        <w:t xml:space="preserve">Článok </w:t>
      </w:r>
      <w:proofErr w:type="spellStart"/>
      <w:r>
        <w:rPr>
          <w:rFonts w:eastAsia="Calibri"/>
          <w:b/>
          <w:i/>
          <w:szCs w:val="22"/>
          <w:lang w:eastAsia="en-US"/>
        </w:rPr>
        <w:t>17c</w:t>
      </w:r>
      <w:proofErr w:type="spellEnd"/>
      <w:r>
        <w:rPr>
          <w:rFonts w:eastAsia="Calibri"/>
          <w:b/>
          <w:i/>
          <w:szCs w:val="22"/>
          <w:lang w:eastAsia="en-US"/>
        </w:rPr>
        <w:br/>
        <w:t xml:space="preserve">Zmeny nariadenia (ES) č. </w:t>
      </w:r>
      <w:r>
        <w:rPr>
          <w:rFonts w:eastAsia="Calibri"/>
          <w:b/>
          <w:i/>
          <w:szCs w:val="22"/>
          <w:lang w:eastAsia="en-US"/>
        </w:rPr>
        <w:t>861/2007</w:t>
      </w:r>
    </w:p>
    <w:p w:rsidR="00166001" w:rsidRDefault="00992344">
      <w:pPr>
        <w:widowControl/>
        <w:spacing w:before="120" w:after="120" w:line="360" w:lineRule="auto"/>
        <w:rPr>
          <w:rFonts w:eastAsia="Calibri"/>
          <w:b/>
          <w:i/>
          <w:szCs w:val="22"/>
          <w:lang w:eastAsia="en-US"/>
        </w:rPr>
      </w:pPr>
      <w:r>
        <w:rPr>
          <w:rFonts w:eastAsia="Calibri"/>
          <w:b/>
          <w:i/>
          <w:szCs w:val="22"/>
          <w:lang w:eastAsia="en-US"/>
        </w:rPr>
        <w:t>Nariadenie (ES) č. 861/2007 sa mení takto:</w:t>
      </w:r>
    </w:p>
    <w:p w:rsidR="00166001" w:rsidRDefault="00992344">
      <w:pPr>
        <w:widowControl/>
        <w:spacing w:before="120" w:after="120" w:line="360" w:lineRule="auto"/>
        <w:ind w:left="851" w:hanging="851"/>
        <w:rPr>
          <w:rFonts w:eastAsia="Calibri"/>
          <w:b/>
          <w:i/>
          <w:szCs w:val="22"/>
          <w:lang w:eastAsia="en-US"/>
        </w:rPr>
      </w:pPr>
      <w:r>
        <w:rPr>
          <w:rFonts w:eastAsia="Calibri"/>
          <w:b/>
          <w:i/>
          <w:szCs w:val="22"/>
          <w:lang w:eastAsia="en-US"/>
        </w:rPr>
        <w:t>1.</w:t>
      </w:r>
      <w:r>
        <w:rPr>
          <w:rFonts w:eastAsia="Calibri"/>
          <w:b/>
          <w:i/>
          <w:szCs w:val="22"/>
          <w:lang w:eastAsia="en-US"/>
        </w:rPr>
        <w:tab/>
        <w:t>Článok 7 sa mení takto:</w:t>
      </w:r>
    </w:p>
    <w:p w:rsidR="00166001" w:rsidRDefault="00992344">
      <w:pPr>
        <w:widowControl/>
        <w:spacing w:before="120" w:after="120" w:line="360" w:lineRule="auto"/>
        <w:ind w:left="1418" w:hanging="567"/>
        <w:rPr>
          <w:rFonts w:eastAsia="Calibri"/>
          <w:b/>
          <w:i/>
          <w:szCs w:val="22"/>
          <w:lang w:eastAsia="en-US"/>
        </w:rPr>
      </w:pPr>
      <w:r>
        <w:rPr>
          <w:rFonts w:eastAsia="Calibri"/>
          <w:b/>
          <w:i/>
          <w:szCs w:val="22"/>
          <w:lang w:eastAsia="en-US"/>
        </w:rPr>
        <w:t>a)</w:t>
      </w:r>
      <w:r>
        <w:rPr>
          <w:rFonts w:eastAsia="Calibri"/>
          <w:b/>
          <w:i/>
          <w:szCs w:val="22"/>
          <w:lang w:eastAsia="en-US"/>
        </w:rPr>
        <w:tab/>
        <w:t xml:space="preserve">odsek 1 sa nahrádza takto: </w:t>
      </w:r>
    </w:p>
    <w:p w:rsidR="00166001" w:rsidRDefault="00992344">
      <w:pPr>
        <w:widowControl/>
        <w:spacing w:before="120" w:after="120" w:line="360" w:lineRule="auto"/>
        <w:ind w:left="1985" w:hanging="567"/>
        <w:rPr>
          <w:rFonts w:eastAsia="Calibri"/>
          <w:b/>
          <w:i/>
          <w:szCs w:val="22"/>
          <w:lang w:eastAsia="en-US"/>
        </w:rPr>
      </w:pPr>
      <w:r>
        <w:rPr>
          <w:rFonts w:eastAsia="Calibri"/>
          <w:b/>
          <w:i/>
          <w:szCs w:val="22"/>
          <w:lang w:eastAsia="en-US"/>
        </w:rPr>
        <w:t>„1.</w:t>
      </w:r>
      <w:r>
        <w:rPr>
          <w:rFonts w:eastAsia="Calibri"/>
          <w:b/>
          <w:i/>
          <w:szCs w:val="22"/>
          <w:lang w:eastAsia="en-US"/>
        </w:rPr>
        <w:tab/>
        <w:t>Do 14 dní od doručenia odpovedí žalovaného alebo žalobcu v lehote stanovenej v článku 5 ods. 3 alebo 6 súd vydá rozsudok alebo postupuje takto</w:t>
      </w:r>
      <w:r>
        <w:rPr>
          <w:rFonts w:eastAsia="Calibri"/>
          <w:b/>
          <w:i/>
          <w:szCs w:val="22"/>
          <w:lang w:eastAsia="en-US"/>
        </w:rPr>
        <w:t>:</w:t>
      </w:r>
    </w:p>
    <w:p w:rsidR="00166001" w:rsidRDefault="00992344">
      <w:pPr>
        <w:widowControl/>
        <w:spacing w:before="120" w:after="120" w:line="360" w:lineRule="auto"/>
        <w:ind w:left="2552" w:hanging="567"/>
        <w:rPr>
          <w:rFonts w:eastAsia="Calibri"/>
          <w:b/>
          <w:i/>
          <w:szCs w:val="22"/>
          <w:lang w:eastAsia="en-US"/>
        </w:rPr>
      </w:pPr>
      <w:r>
        <w:rPr>
          <w:rFonts w:eastAsia="Calibri"/>
          <w:b/>
          <w:i/>
          <w:szCs w:val="22"/>
          <w:lang w:eastAsia="en-US"/>
        </w:rPr>
        <w:t xml:space="preserve">a) </w:t>
      </w:r>
      <w:r>
        <w:rPr>
          <w:rFonts w:eastAsia="Calibri"/>
          <w:b/>
          <w:i/>
          <w:szCs w:val="22"/>
          <w:lang w:eastAsia="en-US"/>
        </w:rPr>
        <w:tab/>
        <w:t>vyzve strany, aby v stanovenej lehote, ktorá nesmie presiahnuť 14 dní, poskytli ďalšie informácie týkajúce sa nároku;</w:t>
      </w:r>
    </w:p>
    <w:p w:rsidR="00166001" w:rsidRDefault="00992344">
      <w:pPr>
        <w:widowControl/>
        <w:spacing w:before="120" w:after="120" w:line="360" w:lineRule="auto"/>
        <w:ind w:left="2552" w:hanging="567"/>
        <w:rPr>
          <w:rFonts w:eastAsia="Calibri"/>
          <w:b/>
          <w:i/>
          <w:szCs w:val="22"/>
          <w:lang w:eastAsia="en-US"/>
        </w:rPr>
      </w:pPr>
      <w:r>
        <w:rPr>
          <w:rFonts w:eastAsia="Calibri"/>
          <w:b/>
          <w:i/>
          <w:szCs w:val="22"/>
          <w:lang w:eastAsia="en-US"/>
        </w:rPr>
        <w:t>b)</w:t>
      </w:r>
      <w:r>
        <w:rPr>
          <w:rFonts w:eastAsia="Calibri"/>
          <w:b/>
          <w:i/>
          <w:szCs w:val="22"/>
          <w:lang w:eastAsia="en-US"/>
        </w:rPr>
        <w:tab/>
        <w:t>vykoná dôkazy v súlade s článkom 9;</w:t>
      </w:r>
    </w:p>
    <w:p w:rsidR="00166001" w:rsidRDefault="00992344">
      <w:pPr>
        <w:widowControl/>
        <w:spacing w:before="120" w:after="120" w:line="360" w:lineRule="auto"/>
        <w:ind w:left="2552" w:hanging="567"/>
        <w:rPr>
          <w:rFonts w:eastAsia="Calibri"/>
          <w:b/>
          <w:i/>
          <w:szCs w:val="22"/>
          <w:lang w:eastAsia="en-US"/>
        </w:rPr>
      </w:pPr>
      <w:r>
        <w:rPr>
          <w:rFonts w:eastAsia="Calibri"/>
          <w:b/>
          <w:i/>
          <w:szCs w:val="22"/>
          <w:lang w:eastAsia="en-US"/>
        </w:rPr>
        <w:t xml:space="preserve">c) </w:t>
      </w:r>
      <w:r>
        <w:rPr>
          <w:rFonts w:eastAsia="Calibri"/>
          <w:b/>
          <w:i/>
          <w:szCs w:val="22"/>
          <w:lang w:eastAsia="en-US"/>
        </w:rPr>
        <w:tab/>
        <w:t>predvolá strany na ústne pojednávanie, ktoré sa uskutoční do 14 dní od doručenia predvola</w:t>
      </w:r>
      <w:r>
        <w:rPr>
          <w:rFonts w:eastAsia="Calibri"/>
          <w:b/>
          <w:i/>
          <w:szCs w:val="22"/>
          <w:lang w:eastAsia="en-US"/>
        </w:rPr>
        <w:t>nia.“</w:t>
      </w:r>
    </w:p>
    <w:p w:rsidR="00166001" w:rsidRDefault="00992344">
      <w:pPr>
        <w:widowControl/>
        <w:spacing w:before="120" w:after="120" w:line="360" w:lineRule="auto"/>
        <w:ind w:left="1418" w:hanging="567"/>
        <w:rPr>
          <w:rFonts w:eastAsia="Calibri"/>
          <w:b/>
          <w:i/>
          <w:szCs w:val="22"/>
          <w:lang w:eastAsia="en-US"/>
        </w:rPr>
      </w:pPr>
      <w:r>
        <w:rPr>
          <w:rFonts w:eastAsia="Calibri"/>
          <w:b/>
          <w:i/>
          <w:szCs w:val="22"/>
          <w:lang w:eastAsia="en-US"/>
        </w:rPr>
        <w:t xml:space="preserve">b) </w:t>
      </w:r>
      <w:r>
        <w:rPr>
          <w:rFonts w:eastAsia="Calibri"/>
          <w:b/>
          <w:i/>
          <w:szCs w:val="22"/>
          <w:lang w:eastAsia="en-US"/>
        </w:rPr>
        <w:tab/>
        <w:t xml:space="preserve">odsek 2 sa nahrádza takto: </w:t>
      </w:r>
    </w:p>
    <w:p w:rsidR="00166001" w:rsidRDefault="00992344">
      <w:pPr>
        <w:widowControl/>
        <w:spacing w:before="120" w:after="120" w:line="360" w:lineRule="auto"/>
        <w:ind w:left="1985" w:hanging="567"/>
        <w:rPr>
          <w:rFonts w:eastAsia="Calibri"/>
          <w:b/>
          <w:i/>
          <w:szCs w:val="22"/>
          <w:lang w:eastAsia="en-US"/>
        </w:rPr>
      </w:pPr>
      <w:r>
        <w:rPr>
          <w:rFonts w:eastAsia="Calibri"/>
          <w:b/>
          <w:i/>
          <w:szCs w:val="22"/>
          <w:lang w:eastAsia="en-US"/>
        </w:rPr>
        <w:t>„2.</w:t>
      </w:r>
      <w:r>
        <w:rPr>
          <w:rFonts w:eastAsia="Calibri"/>
          <w:b/>
          <w:i/>
          <w:szCs w:val="22"/>
          <w:lang w:eastAsia="en-US"/>
        </w:rPr>
        <w:tab/>
        <w:t>Členské štáty zavedú alternatívne elektronické komunikačné systémy, ktoré umožňujú bezpečnú identifikáciu používateľov. V tomto prípade sa elektronický podpis nevyžaduje.“</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ind w:left="851" w:hanging="851"/>
        <w:rPr>
          <w:rFonts w:eastAsia="Calibri"/>
          <w:b/>
          <w:i/>
          <w:szCs w:val="22"/>
          <w:lang w:eastAsia="en-US"/>
        </w:rPr>
      </w:pPr>
      <w:r>
        <w:rPr>
          <w:rFonts w:eastAsia="Calibri"/>
          <w:b/>
          <w:i/>
          <w:szCs w:val="22"/>
          <w:lang w:eastAsia="en-US"/>
        </w:rPr>
        <w:lastRenderedPageBreak/>
        <w:t xml:space="preserve">2. </w:t>
      </w:r>
      <w:r>
        <w:rPr>
          <w:rFonts w:eastAsia="Calibri"/>
          <w:b/>
          <w:i/>
          <w:szCs w:val="22"/>
          <w:lang w:eastAsia="en-US"/>
        </w:rPr>
        <w:tab/>
        <w:t>V článku 13 sa dopĺňa tento odsek:</w:t>
      </w:r>
    </w:p>
    <w:p w:rsidR="00166001" w:rsidRDefault="00992344">
      <w:pPr>
        <w:widowControl/>
        <w:spacing w:before="120" w:after="120" w:line="360" w:lineRule="auto"/>
        <w:ind w:left="1418" w:hanging="567"/>
        <w:rPr>
          <w:rFonts w:eastAsia="Calibri"/>
          <w:b/>
          <w:i/>
          <w:szCs w:val="22"/>
          <w:lang w:eastAsia="en-US"/>
        </w:rPr>
      </w:pPr>
      <w:r>
        <w:rPr>
          <w:rFonts w:eastAsia="Calibri"/>
          <w:b/>
          <w:i/>
          <w:szCs w:val="22"/>
          <w:lang w:eastAsia="en-US"/>
        </w:rPr>
        <w:t>„</w:t>
      </w:r>
      <w:proofErr w:type="spellStart"/>
      <w:r>
        <w:rPr>
          <w:rFonts w:eastAsia="Calibri"/>
          <w:b/>
          <w:i/>
          <w:szCs w:val="22"/>
          <w:lang w:eastAsia="en-US"/>
        </w:rPr>
        <w:t>4a</w:t>
      </w:r>
      <w:proofErr w:type="spellEnd"/>
      <w:r>
        <w:rPr>
          <w:rFonts w:eastAsia="Calibri"/>
          <w:b/>
          <w:i/>
          <w:szCs w:val="22"/>
          <w:lang w:eastAsia="en-US"/>
        </w:rPr>
        <w:t xml:space="preserve">. </w:t>
      </w:r>
      <w:r>
        <w:rPr>
          <w:rFonts w:eastAsia="Calibri"/>
          <w:b/>
          <w:i/>
          <w:szCs w:val="22"/>
          <w:lang w:eastAsia="en-US"/>
        </w:rPr>
        <w:tab/>
        <w:t>Písomnosti uvedené v článku 5 ods. 2 a 6, ako aj rozsudky vydané v súlade s článkom 7 sa doručia elektronickými prostriedkami</w:t>
      </w:r>
      <w:r>
        <w:rPr>
          <w:rFonts w:eastAsia="Calibri"/>
          <w:b/>
          <w:i/>
          <w:strike/>
          <w:szCs w:val="22"/>
          <w:lang w:eastAsia="en-US"/>
        </w:rPr>
        <w:t xml:space="preserve"> do</w:t>
      </w:r>
      <w:r>
        <w:rPr>
          <w:rFonts w:eastAsia="Calibri"/>
          <w:b/>
          <w:i/>
          <w:szCs w:val="22"/>
          <w:lang w:eastAsia="en-US"/>
        </w:rPr>
        <w:t xml:space="preserve"> od 1. januára 2027. Doručenie sa potvrdí potvrdením o doručení s uvedením dátumu doručenia. Všetka korešpondencia medzi sú</w:t>
      </w:r>
      <w:r>
        <w:rPr>
          <w:rFonts w:eastAsia="Calibri"/>
          <w:b/>
          <w:i/>
          <w:szCs w:val="22"/>
          <w:lang w:eastAsia="en-US"/>
        </w:rPr>
        <w:t>dom a účastníkmi konania alebo inými osobami zúčastnenými na konaní, okrem korešpondencie uvedenej v odseku 1, sa zasiela elektronickými prostriedkami s potvrdením o prijatí. Členské štáty na to poskytnú potrebné technické prostriedky do 1. januára 2027.“</w:t>
      </w:r>
    </w:p>
    <w:p w:rsidR="00166001" w:rsidRDefault="00992344">
      <w:pPr>
        <w:widowControl/>
        <w:spacing w:before="120" w:after="120" w:line="360" w:lineRule="auto"/>
        <w:ind w:left="851" w:hanging="851"/>
        <w:rPr>
          <w:rFonts w:eastAsia="Calibri"/>
          <w:b/>
          <w:i/>
          <w:szCs w:val="22"/>
          <w:lang w:eastAsia="en-US"/>
        </w:rPr>
      </w:pPr>
      <w:r>
        <w:rPr>
          <w:rFonts w:eastAsia="Calibri"/>
          <w:b/>
          <w:i/>
          <w:szCs w:val="22"/>
          <w:lang w:eastAsia="en-US"/>
        </w:rPr>
        <w:t xml:space="preserve">3. </w:t>
      </w:r>
      <w:r>
        <w:rPr>
          <w:rFonts w:eastAsia="Calibri"/>
          <w:b/>
          <w:i/>
          <w:szCs w:val="22"/>
          <w:lang w:eastAsia="en-US"/>
        </w:rPr>
        <w:tab/>
        <w:t>Článok 18 ods. 2 sa nahrádza takto:</w:t>
      </w:r>
    </w:p>
    <w:p w:rsidR="00166001" w:rsidRDefault="00992344">
      <w:pPr>
        <w:widowControl/>
        <w:spacing w:before="120" w:after="120" w:line="360" w:lineRule="auto"/>
        <w:ind w:left="1418" w:hanging="567"/>
        <w:rPr>
          <w:rFonts w:eastAsia="Calibri"/>
          <w:b/>
          <w:szCs w:val="22"/>
          <w:lang w:eastAsia="en-US"/>
        </w:rPr>
      </w:pPr>
      <w:r>
        <w:rPr>
          <w:rFonts w:eastAsia="Calibri"/>
          <w:b/>
          <w:i/>
          <w:szCs w:val="22"/>
          <w:lang w:eastAsia="en-US"/>
        </w:rPr>
        <w:t>„2.</w:t>
      </w:r>
      <w:r>
        <w:rPr>
          <w:rFonts w:eastAsia="Calibri"/>
          <w:b/>
          <w:i/>
          <w:szCs w:val="22"/>
          <w:lang w:eastAsia="en-US"/>
        </w:rPr>
        <w:tab/>
        <w:t>Lehota na podanie žiadosti o preskúmanie rozsudku je 14 dní. Začína plynúť v deň, keď sa odporca skutočne dozvedel o obsahu rozsudku a mohol podľa toho konať, najneskôr však v deň prvého exekučného opatrenia, kto</w:t>
      </w:r>
      <w:r>
        <w:rPr>
          <w:rFonts w:eastAsia="Calibri"/>
          <w:b/>
          <w:i/>
          <w:szCs w:val="22"/>
          <w:lang w:eastAsia="en-US"/>
        </w:rPr>
        <w:t>ré viedlo k úplnému alebo čiastočnému odňatiu majetku odporcu z jeho dispozície. Predĺženie tejto lehoty je vylúčené.“</w:t>
      </w:r>
      <w:r>
        <w:rPr>
          <w:rFonts w:eastAsia="Calibri"/>
          <w:b/>
          <w:szCs w:val="22"/>
          <w:lang w:eastAsia="en-US"/>
        </w:rPr>
        <w:t>[Am. 84]</w:t>
      </w:r>
    </w:p>
    <w:p w:rsidR="00166001" w:rsidRDefault="00992344">
      <w:pPr>
        <w:widowControl/>
        <w:rPr>
          <w:rFonts w:eastAsia="Calibri"/>
          <w:i/>
          <w:noProof/>
          <w:szCs w:val="22"/>
          <w:lang w:eastAsia="en-US"/>
        </w:rPr>
      </w:pPr>
      <w:r>
        <w:rPr>
          <w:rFonts w:eastAsia="Calibri"/>
          <w:i/>
          <w:noProof/>
          <w:szCs w:val="22"/>
          <w:lang w:eastAsia="en-US"/>
        </w:rPr>
        <w:br w:type="page"/>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lastRenderedPageBreak/>
        <w:t xml:space="preserve">Článok 18 </w:t>
      </w:r>
      <w:r>
        <w:rPr>
          <w:rFonts w:eastAsia="Calibri"/>
          <w:noProof/>
          <w:szCs w:val="22"/>
          <w:lang w:eastAsia="en-US"/>
        </w:rPr>
        <w:br/>
        <w:t>Správa</w:t>
      </w:r>
    </w:p>
    <w:p w:rsidR="00166001" w:rsidRDefault="00992344">
      <w:pPr>
        <w:widowControl/>
        <w:spacing w:before="120" w:after="120" w:line="360" w:lineRule="auto"/>
        <w:rPr>
          <w:rFonts w:eastAsia="Calibri"/>
          <w:b/>
          <w:noProof/>
          <w:szCs w:val="22"/>
          <w:lang w:eastAsia="en-US"/>
        </w:rPr>
      </w:pPr>
      <w:r>
        <w:rPr>
          <w:rFonts w:eastAsia="Calibri"/>
          <w:noProof/>
          <w:szCs w:val="22"/>
          <w:lang w:eastAsia="en-US"/>
        </w:rPr>
        <w:t xml:space="preserve">Do </w:t>
      </w:r>
      <w:r>
        <w:rPr>
          <w:rFonts w:eastAsia="Calibri"/>
          <w:noProof/>
          <w:sz w:val="22"/>
          <w:szCs w:val="22"/>
          <w:lang w:eastAsia="en-US"/>
        </w:rPr>
        <w:t>[Úrad pre publikácie: vložte dátum = 4</w:t>
      </w:r>
      <w:r>
        <w:rPr>
          <w:rFonts w:eastAsia="Calibri"/>
          <w:noProof/>
          <w:szCs w:val="22"/>
          <w:lang w:eastAsia="en-US"/>
        </w:rPr>
        <w:t xml:space="preserve"> roky po nadobudnutí účinnosti tohto nariadenia </w:t>
      </w:r>
      <w:r>
        <w:rPr>
          <w:rFonts w:eastAsia="Calibri"/>
          <w:b/>
          <w:i/>
          <w:szCs w:val="22"/>
          <w:lang w:eastAsia="en-US"/>
        </w:rPr>
        <w:t>a potom každé 3 roky</w:t>
      </w:r>
      <w:r>
        <w:rPr>
          <w:rFonts w:eastAsia="Calibri"/>
          <w:noProof/>
          <w:sz w:val="22"/>
          <w:szCs w:val="22"/>
          <w:lang w:eastAsia="en-US"/>
        </w:rPr>
        <w:t>]</w:t>
      </w:r>
      <w:r>
        <w:rPr>
          <w:rFonts w:eastAsia="Calibri"/>
          <w:noProof/>
          <w:szCs w:val="22"/>
          <w:lang w:eastAsia="en-US"/>
        </w:rPr>
        <w:t xml:space="preserve"> Komisia predloží Európskemu parlamentu a Rade správu o vykonávaní tohto nariadenia.</w:t>
      </w:r>
      <w:r>
        <w:rPr>
          <w:rFonts w:eastAsia="Calibri"/>
          <w:b/>
          <w:noProof/>
          <w:szCs w:val="22"/>
          <w:lang w:eastAsia="en-US"/>
        </w:rPr>
        <w:t xml:space="preserve"> [Am. 85]</w:t>
      </w:r>
    </w:p>
    <w:p w:rsidR="00166001" w:rsidRDefault="00992344">
      <w:pPr>
        <w:widowControl/>
        <w:spacing w:before="120" w:after="120" w:line="360" w:lineRule="auto"/>
        <w:rPr>
          <w:rFonts w:eastAsia="Calibri"/>
          <w:b/>
          <w:i/>
          <w:noProof/>
          <w:szCs w:val="22"/>
          <w:lang w:eastAsia="en-US"/>
        </w:rPr>
      </w:pPr>
      <w:r>
        <w:rPr>
          <w:rFonts w:eastAsia="Calibri"/>
          <w:b/>
          <w:i/>
          <w:noProof/>
          <w:szCs w:val="22"/>
          <w:lang w:eastAsia="en-US"/>
        </w:rPr>
        <w:t>V správe sa posúdia tieto skutočnosti:</w:t>
      </w:r>
    </w:p>
    <w:p w:rsidR="00166001" w:rsidRDefault="00992344">
      <w:pPr>
        <w:widowControl/>
        <w:spacing w:before="120" w:after="120" w:line="360" w:lineRule="auto"/>
        <w:ind w:left="851" w:hanging="851"/>
        <w:rPr>
          <w:rFonts w:eastAsia="Calibri"/>
          <w:b/>
          <w:i/>
          <w:noProof/>
          <w:szCs w:val="22"/>
          <w:lang w:eastAsia="en-US"/>
        </w:rPr>
      </w:pPr>
      <w:r>
        <w:rPr>
          <w:rFonts w:eastAsia="Calibri"/>
          <w:b/>
          <w:i/>
          <w:noProof/>
          <w:szCs w:val="22"/>
          <w:lang w:eastAsia="en-US"/>
        </w:rPr>
        <w:t>a)</w:t>
      </w:r>
      <w:r>
        <w:rPr>
          <w:rFonts w:eastAsia="Calibri"/>
          <w:b/>
          <w:i/>
          <w:noProof/>
          <w:szCs w:val="22"/>
          <w:lang w:eastAsia="en-US"/>
        </w:rPr>
        <w:tab/>
        <w:t>vplyv rozsahu pôsobnosti stanovený v článku 1 vrátane vplyvu na konkrétne odvetvia a na konkrétne obchodné modely;</w:t>
      </w:r>
    </w:p>
    <w:p w:rsidR="00166001" w:rsidRDefault="00992344">
      <w:pPr>
        <w:widowControl/>
        <w:spacing w:before="120" w:after="120" w:line="360" w:lineRule="auto"/>
        <w:ind w:left="851" w:hanging="851"/>
        <w:rPr>
          <w:rFonts w:eastAsia="Calibri"/>
          <w:b/>
          <w:i/>
          <w:noProof/>
          <w:szCs w:val="22"/>
          <w:lang w:eastAsia="en-US"/>
        </w:rPr>
      </w:pPr>
      <w:r>
        <w:rPr>
          <w:rFonts w:eastAsia="Calibri"/>
          <w:b/>
          <w:i/>
          <w:noProof/>
          <w:szCs w:val="22"/>
          <w:lang w:eastAsia="en-US"/>
        </w:rPr>
        <w:t>b)</w:t>
      </w:r>
      <w:r>
        <w:rPr>
          <w:rFonts w:eastAsia="Calibri"/>
          <w:b/>
          <w:i/>
          <w:noProof/>
          <w:szCs w:val="22"/>
          <w:lang w:eastAsia="en-US"/>
        </w:rPr>
        <w:tab/>
      </w:r>
      <w:r>
        <w:rPr>
          <w:rFonts w:eastAsia="Calibri"/>
          <w:b/>
          <w:i/>
          <w:noProof/>
          <w:szCs w:val="22"/>
          <w:lang w:eastAsia="en-US"/>
        </w:rPr>
        <w:t>vplyv zavedených opatrení, najmä pokiaľ ide o lehoty splatnosti stanovené v článku 3 o zvýšení peňažného toku a likvidity na trhu;</w:t>
      </w:r>
    </w:p>
    <w:p w:rsidR="00166001" w:rsidRDefault="00992344">
      <w:pPr>
        <w:widowControl/>
        <w:spacing w:before="120" w:after="120" w:line="360" w:lineRule="auto"/>
        <w:ind w:left="851" w:hanging="851"/>
        <w:rPr>
          <w:rFonts w:eastAsia="Calibri"/>
          <w:b/>
          <w:i/>
          <w:noProof/>
          <w:szCs w:val="22"/>
          <w:lang w:eastAsia="en-US"/>
        </w:rPr>
      </w:pPr>
      <w:r>
        <w:rPr>
          <w:rFonts w:eastAsia="Calibri"/>
          <w:b/>
          <w:i/>
          <w:noProof/>
          <w:szCs w:val="22"/>
          <w:lang w:eastAsia="en-US"/>
        </w:rPr>
        <w:t>c)</w:t>
      </w:r>
      <w:r>
        <w:rPr>
          <w:rFonts w:eastAsia="Calibri"/>
          <w:b/>
          <w:i/>
          <w:noProof/>
          <w:szCs w:val="22"/>
          <w:lang w:eastAsia="en-US"/>
        </w:rPr>
        <w:tab/>
        <w:t>účinnosť orgánov presadzovania práva, ako je stanovené v článkoch 13, 14 a 15;</w:t>
      </w:r>
    </w:p>
    <w:p w:rsidR="00166001" w:rsidRDefault="00992344">
      <w:pPr>
        <w:widowControl/>
        <w:spacing w:before="120" w:after="120" w:line="360" w:lineRule="auto"/>
        <w:ind w:left="851" w:hanging="851"/>
        <w:rPr>
          <w:rFonts w:eastAsia="Calibri"/>
          <w:b/>
          <w:noProof/>
          <w:szCs w:val="22"/>
          <w:lang w:eastAsia="en-US"/>
        </w:rPr>
      </w:pPr>
      <w:r>
        <w:rPr>
          <w:rFonts w:eastAsia="Calibri"/>
          <w:b/>
          <w:i/>
          <w:noProof/>
          <w:szCs w:val="22"/>
          <w:lang w:eastAsia="en-US"/>
        </w:rPr>
        <w:t>d)</w:t>
      </w:r>
      <w:r>
        <w:rPr>
          <w:rFonts w:eastAsia="Calibri"/>
          <w:b/>
          <w:i/>
          <w:noProof/>
          <w:szCs w:val="22"/>
          <w:lang w:eastAsia="en-US"/>
        </w:rPr>
        <w:tab/>
        <w:t>potenciálne prínosy zavedenia elektronic</w:t>
      </w:r>
      <w:r>
        <w:rPr>
          <w:rFonts w:eastAsia="Calibri"/>
          <w:b/>
          <w:i/>
          <w:noProof/>
          <w:szCs w:val="22"/>
          <w:lang w:eastAsia="en-US"/>
        </w:rPr>
        <w:t>kej fakturácie v celej EÚ pre skrátenie lehôt splatnosti na trhu;</w:t>
      </w:r>
      <w:r>
        <w:rPr>
          <w:rFonts w:eastAsia="Calibri"/>
          <w:b/>
          <w:noProof/>
          <w:szCs w:val="22"/>
          <w:lang w:eastAsia="en-US"/>
        </w:rPr>
        <w:t xml:space="preserve"> [Am. 86]</w:t>
      </w:r>
    </w:p>
    <w:p w:rsidR="00166001" w:rsidRDefault="00992344">
      <w:pPr>
        <w:widowControl/>
        <w:rPr>
          <w:rFonts w:eastAsia="Calibri"/>
          <w:b/>
          <w:i/>
          <w:szCs w:val="22"/>
          <w:lang w:eastAsia="en-US"/>
        </w:rPr>
      </w:pPr>
      <w:r>
        <w:rPr>
          <w:rFonts w:eastAsia="Calibri"/>
          <w:b/>
          <w:i/>
          <w:szCs w:val="22"/>
          <w:lang w:eastAsia="en-US"/>
        </w:rPr>
        <w:br w:type="page"/>
      </w:r>
    </w:p>
    <w:p w:rsidR="00166001" w:rsidRDefault="00992344">
      <w:pPr>
        <w:widowControl/>
        <w:spacing w:before="120" w:after="120" w:line="360" w:lineRule="auto"/>
        <w:rPr>
          <w:rFonts w:eastAsia="Calibri"/>
          <w:b/>
          <w:szCs w:val="22"/>
          <w:lang w:eastAsia="en-US"/>
        </w:rPr>
      </w:pPr>
      <w:r>
        <w:rPr>
          <w:rFonts w:eastAsia="Calibri"/>
          <w:b/>
          <w:i/>
          <w:szCs w:val="22"/>
          <w:lang w:eastAsia="en-US"/>
        </w:rPr>
        <w:lastRenderedPageBreak/>
        <w:t>Členské štáty poskytnú Komisii informácie potrebné na vypracovanie tejto správy vrátane informácií týkajúcich sa vyšetrovaní, inšpekcií, rozhodnutí, konaní a publikácií orgánov pr</w:t>
      </w:r>
      <w:r>
        <w:rPr>
          <w:rFonts w:eastAsia="Calibri"/>
          <w:b/>
          <w:i/>
          <w:szCs w:val="22"/>
          <w:lang w:eastAsia="en-US"/>
        </w:rPr>
        <w:t>esadzovania práva uvedených v článku 14 ods. 1.</w:t>
      </w:r>
      <w:r>
        <w:rPr>
          <w:rFonts w:eastAsia="Calibri"/>
          <w:b/>
          <w:szCs w:val="22"/>
          <w:lang w:eastAsia="en-US"/>
        </w:rPr>
        <w:t xml:space="preserve"> [Am. 87]</w:t>
      </w:r>
    </w:p>
    <w:p w:rsidR="00166001" w:rsidRDefault="00992344">
      <w:pPr>
        <w:widowControl/>
        <w:spacing w:before="120" w:after="120" w:line="360" w:lineRule="auto"/>
        <w:rPr>
          <w:rFonts w:eastAsia="Calibri"/>
          <w:b/>
          <w:szCs w:val="22"/>
          <w:lang w:eastAsia="en-US"/>
        </w:rPr>
      </w:pPr>
      <w:r>
        <w:rPr>
          <w:rFonts w:eastAsia="Calibri"/>
          <w:b/>
          <w:i/>
          <w:szCs w:val="22"/>
          <w:lang w:eastAsia="en-US"/>
        </w:rPr>
        <w:t>Správa musí obsahovať aj posúdenie vplyvu tohto nariadenia na obchodné transakcie a vplyvu Európskeho strediska pre monitorovanie oneskorených platieb na monitorovanie platobných postupov v EÚ.</w:t>
      </w:r>
      <w:r>
        <w:rPr>
          <w:rFonts w:eastAsia="Calibri"/>
          <w:b/>
          <w:szCs w:val="22"/>
          <w:lang w:eastAsia="en-US"/>
        </w:rPr>
        <w:t xml:space="preserve"> [Am. </w:t>
      </w:r>
      <w:r>
        <w:rPr>
          <w:rFonts w:eastAsia="Calibri"/>
          <w:b/>
          <w:szCs w:val="22"/>
          <w:lang w:eastAsia="en-US"/>
        </w:rPr>
        <w:t>88]</w:t>
      </w:r>
    </w:p>
    <w:p w:rsidR="00166001" w:rsidRDefault="00992344">
      <w:pPr>
        <w:widowControl/>
        <w:spacing w:before="120" w:after="120" w:line="360" w:lineRule="auto"/>
        <w:rPr>
          <w:rFonts w:eastAsia="Calibri"/>
          <w:b/>
          <w:noProof/>
          <w:szCs w:val="22"/>
          <w:lang w:eastAsia="en-US"/>
        </w:rPr>
      </w:pPr>
      <w:r>
        <w:rPr>
          <w:rFonts w:eastAsia="Calibri"/>
          <w:b/>
          <w:i/>
          <w:szCs w:val="22"/>
          <w:lang w:eastAsia="en-US"/>
        </w:rPr>
        <w:t>K správe sa v prípade potreby a primeranosti pripojí legislatívny návrh.</w:t>
      </w:r>
      <w:r>
        <w:rPr>
          <w:rFonts w:eastAsia="Calibri"/>
          <w:b/>
          <w:szCs w:val="22"/>
          <w:lang w:eastAsia="en-US"/>
        </w:rPr>
        <w:t xml:space="preserve"> [Am. 89]</w:t>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t xml:space="preserve">Článok 19 </w:t>
      </w:r>
      <w:r>
        <w:rPr>
          <w:rFonts w:eastAsia="Calibri"/>
          <w:noProof/>
          <w:szCs w:val="22"/>
          <w:lang w:eastAsia="en-US"/>
        </w:rPr>
        <w:br/>
        <w:t xml:space="preserve">Zrušenie </w:t>
      </w:r>
    </w:p>
    <w:p w:rsidR="00166001" w:rsidRDefault="00992344">
      <w:pPr>
        <w:widowControl/>
        <w:spacing w:before="120" w:after="120" w:line="360" w:lineRule="auto"/>
        <w:rPr>
          <w:rFonts w:eastAsia="Calibri"/>
          <w:noProof/>
          <w:szCs w:val="22"/>
          <w:lang w:eastAsia="en-US"/>
        </w:rPr>
      </w:pPr>
      <w:r>
        <w:rPr>
          <w:rFonts w:eastAsia="Calibri"/>
          <w:noProof/>
          <w:szCs w:val="22"/>
          <w:lang w:eastAsia="en-US"/>
        </w:rPr>
        <w:t>Smernica 2011/7/EÚ sa zrušuje.</w:t>
      </w:r>
    </w:p>
    <w:p w:rsidR="00166001" w:rsidRDefault="00992344">
      <w:pPr>
        <w:widowControl/>
        <w:spacing w:before="120" w:after="120" w:line="360" w:lineRule="auto"/>
        <w:rPr>
          <w:rFonts w:eastAsia="Calibri"/>
          <w:b/>
          <w:noProof/>
          <w:szCs w:val="22"/>
          <w:lang w:eastAsia="en-US"/>
        </w:rPr>
      </w:pPr>
      <w:r>
        <w:rPr>
          <w:rFonts w:eastAsia="Calibri"/>
          <w:b/>
          <w:i/>
          <w:szCs w:val="22"/>
          <w:lang w:eastAsia="en-US"/>
        </w:rPr>
        <w:t>Od [dátum začatia uplatňovania tohto nariadenia] do [24 mesiacov po nadobudnutí účinnosti tohto nariadenia] sa však na</w:t>
      </w:r>
      <w:r>
        <w:rPr>
          <w:rFonts w:eastAsia="Calibri"/>
          <w:b/>
          <w:i/>
          <w:szCs w:val="22"/>
          <w:lang w:eastAsia="en-US"/>
        </w:rPr>
        <w:t xml:space="preserve">ďalej uplatňuje na prípady, keď sú dlžníkmi </w:t>
      </w:r>
      <w:proofErr w:type="spellStart"/>
      <w:r>
        <w:rPr>
          <w:rFonts w:eastAsia="Calibri"/>
          <w:b/>
          <w:i/>
          <w:szCs w:val="22"/>
          <w:lang w:eastAsia="en-US"/>
        </w:rPr>
        <w:t>mikropodniky</w:t>
      </w:r>
      <w:proofErr w:type="spellEnd"/>
      <w:r>
        <w:rPr>
          <w:rFonts w:eastAsia="Calibri"/>
          <w:b/>
          <w:i/>
          <w:szCs w:val="22"/>
          <w:lang w:eastAsia="en-US"/>
        </w:rPr>
        <w:t xml:space="preserve"> uvedené v článku 3 ods. 1 smernice 2013/34/EÚ a samostatne zárobkovo činné osoby.</w:t>
      </w:r>
      <w:r>
        <w:rPr>
          <w:rFonts w:eastAsia="Calibri"/>
          <w:b/>
          <w:szCs w:val="22"/>
          <w:lang w:eastAsia="en-US"/>
        </w:rPr>
        <w:t xml:space="preserve"> [Am. 90]</w:t>
      </w:r>
    </w:p>
    <w:p w:rsidR="00166001" w:rsidRDefault="00992344">
      <w:pPr>
        <w:widowControl/>
        <w:spacing w:before="120" w:after="120" w:line="360" w:lineRule="auto"/>
        <w:rPr>
          <w:rFonts w:eastAsia="Calibri"/>
          <w:noProof/>
          <w:szCs w:val="22"/>
          <w:lang w:eastAsia="en-US"/>
        </w:rPr>
      </w:pPr>
      <w:r>
        <w:rPr>
          <w:rFonts w:eastAsia="Calibri"/>
          <w:noProof/>
          <w:szCs w:val="22"/>
          <w:lang w:eastAsia="en-US"/>
        </w:rPr>
        <w:t>Odkazy na zrušenú smernicu sa považujú za odkazy na toto nariadenie.</w:t>
      </w:r>
    </w:p>
    <w:p w:rsidR="00166001" w:rsidRDefault="00992344">
      <w:pPr>
        <w:widowControl/>
        <w:rPr>
          <w:rFonts w:eastAsia="Calibri"/>
          <w:noProof/>
          <w:szCs w:val="22"/>
          <w:lang w:eastAsia="en-US"/>
        </w:rPr>
      </w:pPr>
      <w:r>
        <w:rPr>
          <w:rFonts w:eastAsia="Calibri"/>
          <w:noProof/>
          <w:szCs w:val="22"/>
          <w:lang w:eastAsia="en-US"/>
        </w:rPr>
        <w:br w:type="page"/>
      </w:r>
    </w:p>
    <w:p w:rsidR="00166001" w:rsidRDefault="00992344">
      <w:pPr>
        <w:keepNext/>
        <w:widowControl/>
        <w:spacing w:before="120" w:after="120" w:line="360" w:lineRule="auto"/>
        <w:jc w:val="center"/>
        <w:rPr>
          <w:rFonts w:eastAsia="Calibri"/>
          <w:noProof/>
          <w:szCs w:val="22"/>
          <w:lang w:eastAsia="en-US"/>
        </w:rPr>
      </w:pPr>
      <w:r>
        <w:rPr>
          <w:rFonts w:eastAsia="Calibri"/>
          <w:noProof/>
          <w:szCs w:val="22"/>
          <w:lang w:eastAsia="en-US"/>
        </w:rPr>
        <w:lastRenderedPageBreak/>
        <w:t xml:space="preserve">Článok 20 </w:t>
      </w:r>
      <w:r>
        <w:rPr>
          <w:rFonts w:eastAsia="Calibri"/>
          <w:noProof/>
          <w:szCs w:val="22"/>
          <w:lang w:eastAsia="en-US"/>
        </w:rPr>
        <w:br/>
        <w:t>Nadobudnutie účinnosti a u</w:t>
      </w:r>
      <w:r>
        <w:rPr>
          <w:rFonts w:eastAsia="Calibri"/>
          <w:noProof/>
          <w:szCs w:val="22"/>
          <w:lang w:eastAsia="en-US"/>
        </w:rPr>
        <w:t>platňovanie</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Toto nariadenie nadobúda účinnosť dňom nasledujúcim po jeho uverejnení v </w:t>
      </w:r>
      <w:r>
        <w:rPr>
          <w:rFonts w:eastAsia="Calibri"/>
          <w:i/>
          <w:noProof/>
          <w:szCs w:val="22"/>
          <w:lang w:eastAsia="en-US"/>
        </w:rPr>
        <w:t>Úradnom vestníku Európskej únie</w:t>
      </w:r>
      <w:r>
        <w:rPr>
          <w:rFonts w:eastAsia="Calibri"/>
          <w:noProof/>
          <w:szCs w:val="22"/>
          <w:lang w:eastAsia="en-US"/>
        </w:rPr>
        <w:t>.</w:t>
      </w:r>
    </w:p>
    <w:p w:rsidR="00166001" w:rsidRDefault="00992344">
      <w:pPr>
        <w:widowControl/>
        <w:spacing w:before="120" w:after="120" w:line="360" w:lineRule="auto"/>
        <w:ind w:left="850" w:hanging="850"/>
        <w:rPr>
          <w:rFonts w:eastAsia="Calibri"/>
          <w:b/>
          <w:noProof/>
          <w:szCs w:val="22"/>
          <w:lang w:eastAsia="en-US"/>
        </w:rPr>
      </w:pPr>
      <w:r>
        <w:rPr>
          <w:rFonts w:eastAsia="Calibri"/>
          <w:noProof/>
          <w:szCs w:val="22"/>
          <w:lang w:eastAsia="en-US"/>
        </w:rPr>
        <w:t>2.</w:t>
      </w:r>
      <w:r>
        <w:rPr>
          <w:rFonts w:eastAsia="Calibri"/>
          <w:noProof/>
          <w:szCs w:val="22"/>
          <w:lang w:eastAsia="en-US"/>
        </w:rPr>
        <w:tab/>
        <w:t>Uplatňuje sa od [Úrad pre publikácie: vložte dátum = </w:t>
      </w:r>
      <w:r>
        <w:rPr>
          <w:rFonts w:eastAsia="Calibri"/>
          <w:strike/>
          <w:noProof/>
          <w:szCs w:val="22"/>
          <w:lang w:eastAsia="en-US"/>
        </w:rPr>
        <w:t>12</w:t>
      </w:r>
      <w:r>
        <w:rPr>
          <w:rFonts w:eastAsia="Calibri"/>
          <w:b/>
          <w:i/>
          <w:noProof/>
          <w:szCs w:val="22"/>
          <w:lang w:eastAsia="en-US"/>
        </w:rPr>
        <w:t>18</w:t>
      </w:r>
      <w:r>
        <w:rPr>
          <w:rFonts w:eastAsia="Calibri"/>
          <w:noProof/>
          <w:szCs w:val="22"/>
          <w:lang w:eastAsia="en-US"/>
        </w:rPr>
        <w:t xml:space="preserve"> mesiacov od nadobudnutia účinnosti tohto nariadenia] </w:t>
      </w:r>
      <w:r>
        <w:rPr>
          <w:rFonts w:eastAsia="Calibri"/>
          <w:b/>
          <w:i/>
          <w:szCs w:val="22"/>
          <w:lang w:eastAsia="en-US"/>
        </w:rPr>
        <w:t xml:space="preserve">s výhradou článku 19 </w:t>
      </w:r>
      <w:r>
        <w:rPr>
          <w:rFonts w:eastAsia="Calibri"/>
          <w:b/>
          <w:i/>
          <w:szCs w:val="22"/>
          <w:lang w:eastAsia="en-US"/>
        </w:rPr>
        <w:t xml:space="preserve">druhého </w:t>
      </w:r>
      <w:proofErr w:type="spellStart"/>
      <w:r>
        <w:rPr>
          <w:rFonts w:eastAsia="Calibri"/>
          <w:b/>
          <w:i/>
          <w:szCs w:val="22"/>
          <w:lang w:eastAsia="en-US"/>
        </w:rPr>
        <w:t>pododseku</w:t>
      </w:r>
      <w:proofErr w:type="spellEnd"/>
      <w:r>
        <w:rPr>
          <w:rFonts w:eastAsia="Calibri"/>
          <w:noProof/>
          <w:szCs w:val="22"/>
          <w:lang w:eastAsia="en-US"/>
        </w:rPr>
        <w:t>.</w:t>
      </w:r>
      <w:r>
        <w:rPr>
          <w:rFonts w:eastAsia="Calibri"/>
          <w:b/>
          <w:noProof/>
          <w:szCs w:val="22"/>
          <w:lang w:eastAsia="en-US"/>
        </w:rPr>
        <w:t xml:space="preserve"> [Am. 91]</w:t>
      </w:r>
    </w:p>
    <w:p w:rsidR="00166001" w:rsidRDefault="00992344">
      <w:pPr>
        <w:widowControl/>
        <w:spacing w:before="120" w:after="120" w:line="360" w:lineRule="auto"/>
        <w:ind w:left="850" w:hanging="850"/>
        <w:rPr>
          <w:rFonts w:eastAsia="Calibri"/>
          <w:noProof/>
          <w:szCs w:val="22"/>
          <w:lang w:eastAsia="en-US"/>
        </w:rPr>
      </w:pPr>
      <w:r>
        <w:rPr>
          <w:rFonts w:eastAsia="Calibri"/>
          <w:noProof/>
          <w:szCs w:val="22"/>
          <w:lang w:eastAsia="en-US"/>
        </w:rPr>
        <w:t>3.</w:t>
      </w:r>
      <w:r>
        <w:rPr>
          <w:rFonts w:eastAsia="Calibri"/>
          <w:noProof/>
          <w:szCs w:val="22"/>
          <w:lang w:eastAsia="en-US"/>
        </w:rPr>
        <w:tab/>
        <w:t>Obchodné transakcie uskutočnené po dátume začatia uplatňovania tohto nariadenia podliehajú ustanoveniam tohto nariadenia, a to aj vtedy, keď bola podkladová zmluva uzavretá pred týmto dátumom.</w:t>
      </w:r>
    </w:p>
    <w:p w:rsidR="00166001" w:rsidRDefault="00992344">
      <w:pPr>
        <w:widowControl/>
        <w:spacing w:before="120" w:after="120" w:line="360" w:lineRule="auto"/>
        <w:rPr>
          <w:rFonts w:eastAsia="Calibri"/>
          <w:noProof/>
          <w:szCs w:val="22"/>
          <w:lang w:eastAsia="en-US"/>
        </w:rPr>
      </w:pPr>
      <w:r>
        <w:rPr>
          <w:rFonts w:eastAsia="Calibri"/>
          <w:noProof/>
          <w:szCs w:val="22"/>
          <w:lang w:eastAsia="en-US"/>
        </w:rPr>
        <w:t>Toto nariadenie je záväzné v cel</w:t>
      </w:r>
      <w:r>
        <w:rPr>
          <w:rFonts w:eastAsia="Calibri"/>
          <w:noProof/>
          <w:szCs w:val="22"/>
          <w:lang w:eastAsia="en-US"/>
        </w:rPr>
        <w:t>om rozsahu a priamo uplatniteľné vo všetkých členských štátoch.</w:t>
      </w:r>
    </w:p>
    <w:p w:rsidR="00166001" w:rsidRDefault="00992344">
      <w:pPr>
        <w:keepNext/>
        <w:widowControl/>
        <w:spacing w:before="120" w:after="120" w:line="360" w:lineRule="auto"/>
        <w:rPr>
          <w:rFonts w:eastAsia="Calibri"/>
          <w:noProof/>
          <w:szCs w:val="22"/>
          <w:lang w:eastAsia="en-US"/>
        </w:rPr>
      </w:pPr>
      <w:r>
        <w:rPr>
          <w:rFonts w:eastAsia="Calibri"/>
          <w:szCs w:val="22"/>
          <w:lang w:eastAsia="en-US"/>
        </w:rPr>
        <w:t>V …</w:t>
      </w:r>
      <w:bookmarkStart w:id="15" w:name="_GoBack"/>
      <w:bookmarkEnd w:id="15"/>
    </w:p>
    <w:p w:rsidR="00166001" w:rsidRDefault="00992344">
      <w:pPr>
        <w:keepNext/>
        <w:widowControl/>
        <w:tabs>
          <w:tab w:val="left" w:pos="4252"/>
        </w:tabs>
        <w:spacing w:before="720" w:line="360" w:lineRule="auto"/>
        <w:jc w:val="both"/>
        <w:rPr>
          <w:rFonts w:eastAsia="Calibri"/>
          <w:i/>
          <w:noProof/>
          <w:szCs w:val="22"/>
          <w:lang w:eastAsia="en-US"/>
        </w:rPr>
      </w:pPr>
      <w:r>
        <w:rPr>
          <w:rFonts w:eastAsia="Calibri"/>
          <w:i/>
          <w:noProof/>
          <w:szCs w:val="22"/>
          <w:lang w:eastAsia="en-US"/>
        </w:rPr>
        <w:t>Za Európsky parlament</w:t>
      </w:r>
      <w:r>
        <w:rPr>
          <w:rFonts w:eastAsia="Calibri"/>
          <w:i/>
          <w:noProof/>
          <w:szCs w:val="22"/>
          <w:lang w:eastAsia="en-US"/>
        </w:rPr>
        <w:tab/>
        <w:t>Za Radu</w:t>
      </w:r>
    </w:p>
    <w:p w:rsidR="00166001" w:rsidRDefault="00992344" w:rsidP="00992344">
      <w:pPr>
        <w:widowControl/>
        <w:tabs>
          <w:tab w:val="left" w:pos="4252"/>
        </w:tabs>
        <w:spacing w:line="360" w:lineRule="auto"/>
      </w:pPr>
      <w:r>
        <w:rPr>
          <w:rFonts w:eastAsia="Calibri"/>
          <w:i/>
          <w:noProof/>
          <w:szCs w:val="22"/>
          <w:lang w:eastAsia="en-US"/>
        </w:rPr>
        <w:t>predsedníčka</w:t>
      </w:r>
      <w:r>
        <w:rPr>
          <w:rFonts w:eastAsia="Calibri"/>
          <w:i/>
          <w:noProof/>
          <w:szCs w:val="22"/>
          <w:lang w:eastAsia="en-US"/>
        </w:rPr>
        <w:tab/>
        <w:t>predseda/predsedníčka</w:t>
      </w:r>
    </w:p>
    <w:sectPr w:rsidR="0016600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001" w:rsidRDefault="00992344">
      <w:r>
        <w:separator/>
      </w:r>
    </w:p>
  </w:endnote>
  <w:endnote w:type="continuationSeparator" w:id="0">
    <w:p w:rsidR="00166001" w:rsidRDefault="00992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001" w:rsidRDefault="0016600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001" w:rsidRDefault="0016600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001" w:rsidRDefault="0016600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001" w:rsidRDefault="00992344">
      <w:r>
        <w:separator/>
      </w:r>
    </w:p>
  </w:footnote>
  <w:footnote w:type="continuationSeparator" w:id="0">
    <w:p w:rsidR="00166001" w:rsidRDefault="00992344">
      <w:r>
        <w:continuationSeparator/>
      </w:r>
    </w:p>
  </w:footnote>
  <w:footnote w:id="1">
    <w:p w:rsidR="00166001" w:rsidRDefault="00992344">
      <w:pPr>
        <w:pStyle w:val="FootnoteText"/>
        <w:ind w:left="567" w:hanging="567"/>
        <w:rPr>
          <w:lang w:val="sk-SK"/>
        </w:rPr>
      </w:pPr>
      <w:r>
        <w:rPr>
          <w:rStyle w:val="FootnoteReference"/>
          <w:lang w:val="sk-SK"/>
        </w:rPr>
        <w:footnoteRef/>
      </w:r>
      <w:r>
        <w:rPr>
          <w:lang w:val="sk-SK"/>
        </w:rPr>
        <w:t xml:space="preserve"> </w:t>
      </w:r>
      <w:r>
        <w:rPr>
          <w:lang w:val="sk-SK"/>
        </w:rPr>
        <w:tab/>
      </w:r>
      <w:r>
        <w:rPr>
          <w:sz w:val="24"/>
          <w:szCs w:val="24"/>
          <w:lang w:val="sk-SK"/>
        </w:rPr>
        <w:t xml:space="preserve">Ú. v. EÚ C, C/2024/2101, 26.3.2024, </w:t>
      </w:r>
      <w:proofErr w:type="spellStart"/>
      <w:r>
        <w:rPr>
          <w:sz w:val="24"/>
          <w:szCs w:val="24"/>
          <w:lang w:val="sk-SK"/>
        </w:rPr>
        <w:t>ELI</w:t>
      </w:r>
      <w:proofErr w:type="spellEnd"/>
      <w:r>
        <w:rPr>
          <w:sz w:val="24"/>
          <w:szCs w:val="24"/>
          <w:lang w:val="sk-SK"/>
        </w:rPr>
        <w:t xml:space="preserve">: </w:t>
      </w:r>
      <w:hyperlink r:id="rId1" w:history="1">
        <w:r>
          <w:rPr>
            <w:rStyle w:val="Hyperlink"/>
            <w:sz w:val="24"/>
            <w:szCs w:val="24"/>
            <w:lang w:val="sk-SK"/>
          </w:rPr>
          <w:t>http://d</w:t>
        </w:r>
        <w:r>
          <w:rPr>
            <w:rStyle w:val="Hyperlink"/>
            <w:sz w:val="24"/>
            <w:szCs w:val="24"/>
            <w:lang w:val="sk-SK"/>
          </w:rPr>
          <w:t>ata.europa.eu/eli/C/2024/2101/oj</w:t>
        </w:r>
      </w:hyperlink>
      <w:r>
        <w:rPr>
          <w:sz w:val="24"/>
          <w:szCs w:val="24"/>
          <w:lang w:val="sk-SK"/>
        </w:rPr>
        <w:t>.</w:t>
      </w:r>
    </w:p>
  </w:footnote>
  <w:footnote w:id="2">
    <w:p w:rsidR="00166001" w:rsidRDefault="00992344">
      <w:pPr>
        <w:pStyle w:val="FootnoteText"/>
        <w:ind w:left="567" w:hanging="567"/>
        <w:rPr>
          <w:lang w:val="sk-SK"/>
        </w:rPr>
      </w:pPr>
      <w:r>
        <w:rPr>
          <w:rStyle w:val="FootnoteReference"/>
          <w:lang w:val="sk-SK"/>
        </w:rPr>
        <w:footnoteRef/>
      </w:r>
      <w:r>
        <w:rPr>
          <w:lang w:val="sk-SK"/>
        </w:rPr>
        <w:t xml:space="preserve"> </w:t>
      </w:r>
      <w:r>
        <w:rPr>
          <w:lang w:val="sk-SK"/>
        </w:rPr>
        <w:tab/>
      </w:r>
      <w:r>
        <w:rPr>
          <w:sz w:val="24"/>
          <w:szCs w:val="24"/>
          <w:lang w:val="sk-SK"/>
        </w:rPr>
        <w:t xml:space="preserve">Ú. v. EÚ C, C/2024/1980, 18.3.2024, </w:t>
      </w:r>
      <w:proofErr w:type="spellStart"/>
      <w:r>
        <w:rPr>
          <w:sz w:val="24"/>
          <w:szCs w:val="24"/>
          <w:lang w:val="sk-SK"/>
        </w:rPr>
        <w:t>ELI</w:t>
      </w:r>
      <w:proofErr w:type="spellEnd"/>
      <w:r>
        <w:rPr>
          <w:sz w:val="24"/>
          <w:szCs w:val="24"/>
          <w:lang w:val="sk-SK"/>
        </w:rPr>
        <w:t xml:space="preserve">: </w:t>
      </w:r>
      <w:hyperlink r:id="rId2" w:history="1">
        <w:r>
          <w:rPr>
            <w:rStyle w:val="Hyperlink"/>
            <w:sz w:val="24"/>
            <w:szCs w:val="24"/>
            <w:lang w:val="sk-SK"/>
          </w:rPr>
          <w:t>http://data.europa.eu/eli/C/2024/1980/oj</w:t>
        </w:r>
      </w:hyperlink>
      <w:r>
        <w:rPr>
          <w:sz w:val="24"/>
          <w:szCs w:val="24"/>
          <w:lang w:val="sk-SK"/>
        </w:rPr>
        <w:t>.</w:t>
      </w:r>
    </w:p>
  </w:footnote>
  <w:footnote w:id="3">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sz w:val="24"/>
          <w:szCs w:val="24"/>
          <w:lang w:val="sk-SK"/>
        </w:rPr>
        <w:t>Ú. v. EÚ C , , s. .</w:t>
      </w:r>
    </w:p>
  </w:footnote>
  <w:footnote w:id="4">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t xml:space="preserve">Nariadenie Európskeho parlamentu a Rady (ES) </w:t>
      </w:r>
      <w:r>
        <w:rPr>
          <w:sz w:val="24"/>
          <w:szCs w:val="24"/>
          <w:lang w:val="sk-SK"/>
        </w:rPr>
        <w:t>č. 805/2004 z 21. apríla 2004, ktorým sa vytvára európsky exekučný titul pre nesporné nároky (Ú. v. EÚ L 143, 30.4.2004, s. 15).</w:t>
      </w:r>
    </w:p>
  </w:footnote>
  <w:footnote w:id="5">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sz w:val="24"/>
          <w:szCs w:val="24"/>
          <w:lang w:val="sk-SK"/>
        </w:rPr>
        <w:t>Nariadenie Európskeho parlamentu a Rady (ES) č. 1896/2006 z 12. decembra 2006, ktorým sa zavádza európske konanie o platobnom</w:t>
      </w:r>
      <w:r>
        <w:rPr>
          <w:sz w:val="24"/>
          <w:szCs w:val="24"/>
          <w:lang w:val="sk-SK"/>
        </w:rPr>
        <w:t xml:space="preserve"> rozkaze (Ú. v. EÚ L 399, 30.12.2006, s. 1). </w:t>
      </w:r>
    </w:p>
  </w:footnote>
  <w:footnote w:id="6">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sz w:val="24"/>
          <w:szCs w:val="24"/>
          <w:lang w:val="sk-SK"/>
        </w:rPr>
        <w:t>Nariadenie Európskeho parlamentu a Rady (ES) č. 861/2007 z 11. júla 2007, ktorým sa ustanovuje európske konanie vo veciach s nízkou hodnotou sporu (Ú. v. EÚ L 199, 31.7.2007, s. 1).</w:t>
      </w:r>
    </w:p>
  </w:footnote>
  <w:footnote w:id="7">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sz w:val="24"/>
          <w:szCs w:val="24"/>
          <w:lang w:val="sk-SK"/>
        </w:rPr>
        <w:t>Nariadenie Európskeho pa</w:t>
      </w:r>
      <w:r>
        <w:rPr>
          <w:sz w:val="24"/>
          <w:szCs w:val="24"/>
          <w:lang w:val="sk-SK"/>
        </w:rPr>
        <w:t>rlamentu a Rady (EÚ) č. 1215/2012 z 12. decembra 2012 o právomoci a o uznávaní a výkone rozsudkov v občianskych a obchodných veciach (Ú. v. EÚ L 351, 20.12.2012, s. 1).</w:t>
      </w:r>
    </w:p>
  </w:footnote>
  <w:footnote w:id="8">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sz w:val="24"/>
          <w:szCs w:val="24"/>
          <w:lang w:val="sk-SK"/>
        </w:rPr>
        <w:t>Smernica Európskeho parlamentu a Rady 2011/7/EÚ zo 16. februára 2011 o boji proti one</w:t>
      </w:r>
      <w:r>
        <w:rPr>
          <w:sz w:val="24"/>
          <w:szCs w:val="24"/>
          <w:lang w:val="sk-SK"/>
        </w:rPr>
        <w:t>skoreným platbám v obchodných transakciách (Ú. v. EÚ L 48, 23.2.2011, s. 1).</w:t>
      </w:r>
    </w:p>
  </w:footnote>
  <w:footnote w:id="9">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proofErr w:type="spellStart"/>
      <w:r>
        <w:rPr>
          <w:sz w:val="24"/>
          <w:szCs w:val="24"/>
          <w:lang w:val="sk-SK"/>
        </w:rPr>
        <w:t>COM</w:t>
      </w:r>
      <w:proofErr w:type="spellEnd"/>
      <w:r>
        <w:rPr>
          <w:sz w:val="24"/>
          <w:szCs w:val="24"/>
          <w:lang w:val="sk-SK"/>
        </w:rPr>
        <w:t xml:space="preserve">(2020) 103 v konečnom znení. </w:t>
      </w:r>
    </w:p>
  </w:footnote>
  <w:footnote w:id="10">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sz w:val="24"/>
          <w:szCs w:val="24"/>
          <w:lang w:val="sk-SK"/>
        </w:rPr>
        <w:t>Smernica Európskeho parlamentu a Rady (EÚ) 2019/1023 z 20. júna 2019 o rámcoch preventívnej reštrukturalizácie, o oddlžení a diskvalifikácii a</w:t>
      </w:r>
      <w:r>
        <w:rPr>
          <w:sz w:val="24"/>
          <w:szCs w:val="24"/>
          <w:lang w:val="sk-SK"/>
        </w:rPr>
        <w:t xml:space="preserve"> o opatreniach na zvýšenie účinnosti reštrukturalizačných, konkurzných a </w:t>
      </w:r>
      <w:proofErr w:type="spellStart"/>
      <w:r>
        <w:rPr>
          <w:sz w:val="24"/>
          <w:szCs w:val="24"/>
          <w:lang w:val="sk-SK"/>
        </w:rPr>
        <w:t>oddlžovacích</w:t>
      </w:r>
      <w:proofErr w:type="spellEnd"/>
      <w:r>
        <w:rPr>
          <w:sz w:val="24"/>
          <w:szCs w:val="24"/>
          <w:lang w:val="sk-SK"/>
        </w:rPr>
        <w:t xml:space="preserve"> konaní a o zmene smernice (EÚ) 2017/1132 (Ú. v. EÚ L 172, 26.6.2019, s. 18).</w:t>
      </w:r>
    </w:p>
  </w:footnote>
  <w:footnote w:id="11">
    <w:p w:rsidR="00166001" w:rsidRDefault="00992344">
      <w:pPr>
        <w:pStyle w:val="Footnote"/>
        <w:ind w:left="851" w:hanging="851"/>
        <w:jc w:val="left"/>
        <w:rPr>
          <w:sz w:val="24"/>
          <w:szCs w:val="24"/>
        </w:rPr>
      </w:pPr>
      <w:r>
        <w:rPr>
          <w:rStyle w:val="FootnoteReference"/>
          <w:sz w:val="24"/>
          <w:szCs w:val="24"/>
        </w:rPr>
        <w:footnoteRef/>
      </w:r>
      <w:r>
        <w:rPr>
          <w:sz w:val="24"/>
          <w:szCs w:val="24"/>
        </w:rPr>
        <w:tab/>
      </w:r>
      <w:r>
        <w:rPr>
          <w:sz w:val="24"/>
          <w:szCs w:val="24"/>
        </w:rPr>
        <w:t xml:space="preserve">Rozsudok z 20. októbra 2022, </w:t>
      </w:r>
      <w:proofErr w:type="spellStart"/>
      <w:r>
        <w:rPr>
          <w:sz w:val="24"/>
          <w:szCs w:val="24"/>
        </w:rPr>
        <w:t>BFF</w:t>
      </w:r>
      <w:proofErr w:type="spellEnd"/>
      <w:r>
        <w:rPr>
          <w:sz w:val="24"/>
          <w:szCs w:val="24"/>
        </w:rPr>
        <w:t xml:space="preserve"> </w:t>
      </w:r>
      <w:proofErr w:type="spellStart"/>
      <w:r>
        <w:rPr>
          <w:sz w:val="24"/>
          <w:szCs w:val="24"/>
        </w:rPr>
        <w:t>Finance</w:t>
      </w:r>
      <w:proofErr w:type="spellEnd"/>
      <w:r>
        <w:rPr>
          <w:sz w:val="24"/>
          <w:szCs w:val="24"/>
        </w:rPr>
        <w:t xml:space="preserve"> </w:t>
      </w:r>
      <w:proofErr w:type="spellStart"/>
      <w:r>
        <w:rPr>
          <w:sz w:val="24"/>
          <w:szCs w:val="24"/>
        </w:rPr>
        <w:t>Iberia</w:t>
      </w:r>
      <w:proofErr w:type="spellEnd"/>
      <w:r>
        <w:rPr>
          <w:sz w:val="24"/>
          <w:szCs w:val="24"/>
        </w:rPr>
        <w:t xml:space="preserve"> </w:t>
      </w:r>
      <w:proofErr w:type="spellStart"/>
      <w:r>
        <w:rPr>
          <w:sz w:val="24"/>
          <w:szCs w:val="24"/>
        </w:rPr>
        <w:t>S.A.U</w:t>
      </w:r>
      <w:proofErr w:type="spellEnd"/>
      <w:r>
        <w:rPr>
          <w:sz w:val="24"/>
          <w:szCs w:val="24"/>
        </w:rPr>
        <w:t>./</w:t>
      </w:r>
      <w:proofErr w:type="spellStart"/>
      <w:r>
        <w:rPr>
          <w:sz w:val="24"/>
          <w:szCs w:val="24"/>
        </w:rPr>
        <w:t>Gerencia</w:t>
      </w:r>
      <w:proofErr w:type="spellEnd"/>
      <w:r>
        <w:rPr>
          <w:sz w:val="24"/>
          <w:szCs w:val="24"/>
        </w:rPr>
        <w:t xml:space="preserve"> </w:t>
      </w:r>
      <w:proofErr w:type="spellStart"/>
      <w:r>
        <w:rPr>
          <w:sz w:val="24"/>
          <w:szCs w:val="24"/>
        </w:rPr>
        <w:t>Regional</w:t>
      </w:r>
      <w:proofErr w:type="spellEnd"/>
      <w:r>
        <w:rPr>
          <w:sz w:val="24"/>
          <w:szCs w:val="24"/>
        </w:rPr>
        <w:t xml:space="preserve"> de </w:t>
      </w:r>
      <w:proofErr w:type="spellStart"/>
      <w:r>
        <w:rPr>
          <w:sz w:val="24"/>
          <w:szCs w:val="24"/>
        </w:rPr>
        <w:t>Salud</w:t>
      </w:r>
      <w:proofErr w:type="spellEnd"/>
      <w:r>
        <w:rPr>
          <w:sz w:val="24"/>
          <w:szCs w:val="24"/>
        </w:rPr>
        <w:t xml:space="preserve"> de la Jun</w:t>
      </w:r>
      <w:r>
        <w:rPr>
          <w:sz w:val="24"/>
          <w:szCs w:val="24"/>
        </w:rPr>
        <w:t xml:space="preserve">ta de </w:t>
      </w:r>
      <w:proofErr w:type="spellStart"/>
      <w:r>
        <w:rPr>
          <w:sz w:val="24"/>
          <w:szCs w:val="24"/>
        </w:rPr>
        <w:t>Castilla</w:t>
      </w:r>
      <w:proofErr w:type="spellEnd"/>
      <w:r>
        <w:rPr>
          <w:sz w:val="24"/>
          <w:szCs w:val="24"/>
        </w:rPr>
        <w:t xml:space="preserve"> y León (Ú. v. EÚ C 53, 15.2.2021, s. 19), </w:t>
      </w:r>
      <w:proofErr w:type="spellStart"/>
      <w:r>
        <w:rPr>
          <w:sz w:val="24"/>
          <w:szCs w:val="24"/>
        </w:rPr>
        <w:t>C585</w:t>
      </w:r>
      <w:proofErr w:type="spellEnd"/>
      <w:r>
        <w:rPr>
          <w:sz w:val="24"/>
          <w:szCs w:val="24"/>
        </w:rPr>
        <w:t xml:space="preserve">/20, </w:t>
      </w:r>
      <w:proofErr w:type="spellStart"/>
      <w:r>
        <w:rPr>
          <w:sz w:val="24"/>
          <w:szCs w:val="24"/>
        </w:rPr>
        <w:t>EU:C:2022:806</w:t>
      </w:r>
      <w:proofErr w:type="spellEnd"/>
      <w:r>
        <w:rPr>
          <w:sz w:val="24"/>
          <w:szCs w:val="24"/>
        </w:rPr>
        <w:t>, bod 53.</w:t>
      </w:r>
    </w:p>
  </w:footnote>
  <w:footnote w:id="12">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sz w:val="24"/>
          <w:szCs w:val="24"/>
          <w:lang w:val="sk-SK"/>
        </w:rPr>
        <w:t>Smernica Európskeho parlamentu a Rady 2014/23/EÚ z 26. februára 2014 o udeľovaní koncesií (Ú. v. EÚ L 94, 28.3.2014, s. 1 – 64).</w:t>
      </w:r>
    </w:p>
  </w:footnote>
  <w:footnote w:id="13">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sz w:val="24"/>
          <w:szCs w:val="24"/>
          <w:lang w:val="sk-SK"/>
        </w:rPr>
        <w:t>Smernica Európskeho parlamentu a R</w:t>
      </w:r>
      <w:r>
        <w:rPr>
          <w:sz w:val="24"/>
          <w:szCs w:val="24"/>
          <w:lang w:val="sk-SK"/>
        </w:rPr>
        <w:t>ady 2014/24/EÚ z 26. februára 2014 o verejnom obstarávaní a o zrušení smernice 2004/18/ES (Ú. v. EÚ L 94, 28.3.2014, s. 65 – 242).</w:t>
      </w:r>
    </w:p>
  </w:footnote>
  <w:footnote w:id="14">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rStyle w:val="markedcontent"/>
          <w:sz w:val="24"/>
          <w:szCs w:val="24"/>
          <w:lang w:val="sk-SK"/>
        </w:rPr>
        <w:t>Smernica Európskeho parlamentu a Rady 2014/25/EÚ z 26. februára 2014 o obstarávaní vykonávanom subjektmi pôsobiacimi v odve</w:t>
      </w:r>
      <w:r>
        <w:rPr>
          <w:rStyle w:val="markedcontent"/>
          <w:sz w:val="24"/>
          <w:szCs w:val="24"/>
          <w:lang w:val="sk-SK"/>
        </w:rPr>
        <w:t>tviach vodného hospodárstva, energetiky, dopravy a poštových služieb a o zrušení smernice 2004/17/ES</w:t>
      </w:r>
      <w:r>
        <w:rPr>
          <w:sz w:val="24"/>
          <w:szCs w:val="24"/>
          <w:lang w:val="sk-SK"/>
        </w:rPr>
        <w:t xml:space="preserve"> (Ú. v. EÚ L 94, 28.3.2014, s. 243 – 374).</w:t>
      </w:r>
    </w:p>
  </w:footnote>
  <w:footnote w:id="15">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sz w:val="24"/>
          <w:szCs w:val="24"/>
          <w:lang w:val="sk-SK"/>
        </w:rPr>
        <w:t xml:space="preserve">Smernica Európskeho parlamentu a Rady 2009/81/ES z 13. júla 2009 o koordinácii postupov pre zadávanie určitých </w:t>
      </w:r>
      <w:r>
        <w:rPr>
          <w:sz w:val="24"/>
          <w:szCs w:val="24"/>
          <w:lang w:val="sk-SK"/>
        </w:rPr>
        <w:t>zákaziek na práce, zákaziek na dodávku tovaru a zákaziek na služby verejnými obstarávateľmi alebo obstarávateľmi v oblastiach obrany a bezpečnosti a o zmene a doplnení smerníc 2004/17/ES a 2004/18/ES (Ú. v. EÚ L 216, 20.8.2009, s. 76 – 136).</w:t>
      </w:r>
    </w:p>
  </w:footnote>
  <w:footnote w:id="16">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sz w:val="24"/>
          <w:szCs w:val="24"/>
          <w:lang w:val="sk-SK"/>
        </w:rPr>
        <w:t>Rozsudok z 2</w:t>
      </w:r>
      <w:r>
        <w:rPr>
          <w:sz w:val="24"/>
          <w:szCs w:val="24"/>
          <w:lang w:val="sk-SK"/>
        </w:rPr>
        <w:t xml:space="preserve">0. októbra 2022, </w:t>
      </w:r>
      <w:proofErr w:type="spellStart"/>
      <w:r>
        <w:rPr>
          <w:sz w:val="24"/>
          <w:szCs w:val="24"/>
          <w:lang w:val="sk-SK"/>
        </w:rPr>
        <w:t>BFF</w:t>
      </w:r>
      <w:proofErr w:type="spellEnd"/>
      <w:r>
        <w:rPr>
          <w:sz w:val="24"/>
          <w:szCs w:val="24"/>
          <w:lang w:val="sk-SK"/>
        </w:rPr>
        <w:t xml:space="preserve"> </w:t>
      </w:r>
      <w:proofErr w:type="spellStart"/>
      <w:r>
        <w:rPr>
          <w:sz w:val="24"/>
          <w:szCs w:val="24"/>
          <w:lang w:val="sk-SK"/>
        </w:rPr>
        <w:t>Finance</w:t>
      </w:r>
      <w:proofErr w:type="spellEnd"/>
      <w:r>
        <w:rPr>
          <w:sz w:val="24"/>
          <w:szCs w:val="24"/>
          <w:lang w:val="sk-SK"/>
        </w:rPr>
        <w:t xml:space="preserve"> </w:t>
      </w:r>
      <w:proofErr w:type="spellStart"/>
      <w:r>
        <w:rPr>
          <w:sz w:val="24"/>
          <w:szCs w:val="24"/>
          <w:lang w:val="sk-SK"/>
        </w:rPr>
        <w:t>Iberia</w:t>
      </w:r>
      <w:proofErr w:type="spellEnd"/>
      <w:r>
        <w:rPr>
          <w:sz w:val="24"/>
          <w:szCs w:val="24"/>
          <w:lang w:val="sk-SK"/>
        </w:rPr>
        <w:t xml:space="preserve"> </w:t>
      </w:r>
      <w:proofErr w:type="spellStart"/>
      <w:r>
        <w:rPr>
          <w:sz w:val="24"/>
          <w:szCs w:val="24"/>
          <w:lang w:val="sk-SK"/>
        </w:rPr>
        <w:t>S.A.U</w:t>
      </w:r>
      <w:proofErr w:type="spellEnd"/>
      <w:r>
        <w:rPr>
          <w:sz w:val="24"/>
          <w:szCs w:val="24"/>
          <w:lang w:val="sk-SK"/>
        </w:rPr>
        <w:t>./</w:t>
      </w:r>
      <w:proofErr w:type="spellStart"/>
      <w:r>
        <w:rPr>
          <w:sz w:val="24"/>
          <w:szCs w:val="24"/>
          <w:lang w:val="sk-SK"/>
        </w:rPr>
        <w:t>Gerencia</w:t>
      </w:r>
      <w:proofErr w:type="spellEnd"/>
      <w:r>
        <w:rPr>
          <w:sz w:val="24"/>
          <w:szCs w:val="24"/>
          <w:lang w:val="sk-SK"/>
        </w:rPr>
        <w:t xml:space="preserve"> </w:t>
      </w:r>
      <w:proofErr w:type="spellStart"/>
      <w:r>
        <w:rPr>
          <w:sz w:val="24"/>
          <w:szCs w:val="24"/>
          <w:lang w:val="sk-SK"/>
        </w:rPr>
        <w:t>Regional</w:t>
      </w:r>
      <w:proofErr w:type="spellEnd"/>
      <w:r>
        <w:rPr>
          <w:sz w:val="24"/>
          <w:szCs w:val="24"/>
          <w:lang w:val="sk-SK"/>
        </w:rPr>
        <w:t xml:space="preserve"> de </w:t>
      </w:r>
      <w:proofErr w:type="spellStart"/>
      <w:r>
        <w:rPr>
          <w:sz w:val="24"/>
          <w:szCs w:val="24"/>
          <w:lang w:val="sk-SK"/>
        </w:rPr>
        <w:t>Salud</w:t>
      </w:r>
      <w:proofErr w:type="spellEnd"/>
      <w:r>
        <w:rPr>
          <w:sz w:val="24"/>
          <w:szCs w:val="24"/>
          <w:lang w:val="sk-SK"/>
        </w:rPr>
        <w:t xml:space="preserve"> de la Junta de </w:t>
      </w:r>
      <w:proofErr w:type="spellStart"/>
      <w:r>
        <w:rPr>
          <w:sz w:val="24"/>
          <w:szCs w:val="24"/>
          <w:lang w:val="sk-SK"/>
        </w:rPr>
        <w:t>Castilla</w:t>
      </w:r>
      <w:proofErr w:type="spellEnd"/>
      <w:r>
        <w:rPr>
          <w:sz w:val="24"/>
          <w:szCs w:val="24"/>
          <w:lang w:val="sk-SK"/>
        </w:rPr>
        <w:t xml:space="preserve"> y León, C-585/20, </w:t>
      </w:r>
      <w:proofErr w:type="spellStart"/>
      <w:r>
        <w:rPr>
          <w:sz w:val="24"/>
          <w:szCs w:val="24"/>
          <w:lang w:val="sk-SK"/>
        </w:rPr>
        <w:t>ECLI:EU:C:2022:806</w:t>
      </w:r>
      <w:proofErr w:type="spellEnd"/>
      <w:r>
        <w:rPr>
          <w:sz w:val="24"/>
          <w:szCs w:val="24"/>
          <w:lang w:val="sk-SK"/>
        </w:rPr>
        <w:t>.</w:t>
      </w:r>
    </w:p>
  </w:footnote>
  <w:footnote w:id="17">
    <w:p w:rsidR="00166001" w:rsidRDefault="00992344">
      <w:pPr>
        <w:pStyle w:val="Footnote"/>
        <w:ind w:left="851" w:hanging="851"/>
        <w:jc w:val="left"/>
        <w:rPr>
          <w:sz w:val="24"/>
          <w:szCs w:val="24"/>
        </w:rPr>
      </w:pPr>
      <w:r>
        <w:rPr>
          <w:rStyle w:val="FootnoteReference"/>
          <w:sz w:val="24"/>
          <w:szCs w:val="24"/>
        </w:rPr>
        <w:footnoteRef/>
      </w:r>
      <w:r>
        <w:rPr>
          <w:sz w:val="24"/>
          <w:szCs w:val="24"/>
        </w:rPr>
        <w:tab/>
      </w:r>
      <w:r>
        <w:rPr>
          <w:sz w:val="24"/>
          <w:szCs w:val="24"/>
        </w:rPr>
        <w:t>Smernica Rady 2006/112/ES z 28. novembra 2006 o spoločnom systéme dane z pridanej hodnoty (Ú. v. EÚ L 347, 11.12.2006, s. </w:t>
      </w:r>
      <w:r>
        <w:rPr>
          <w:sz w:val="24"/>
          <w:szCs w:val="24"/>
        </w:rPr>
        <w:t>1).</w:t>
      </w:r>
    </w:p>
  </w:footnote>
  <w:footnote w:id="18">
    <w:p w:rsidR="00166001" w:rsidRDefault="00992344">
      <w:pPr>
        <w:pStyle w:val="Footnote"/>
        <w:ind w:left="851" w:hanging="851"/>
        <w:jc w:val="left"/>
        <w:rPr>
          <w:sz w:val="24"/>
          <w:szCs w:val="24"/>
        </w:rPr>
      </w:pPr>
      <w:r>
        <w:rPr>
          <w:rStyle w:val="FootnoteReference"/>
          <w:sz w:val="24"/>
          <w:szCs w:val="24"/>
        </w:rPr>
        <w:footnoteRef/>
      </w:r>
      <w:r>
        <w:rPr>
          <w:sz w:val="24"/>
          <w:szCs w:val="24"/>
        </w:rPr>
        <w:tab/>
      </w:r>
      <w:r>
        <w:rPr>
          <w:sz w:val="24"/>
          <w:szCs w:val="24"/>
        </w:rPr>
        <w:t>Smernica Európskeho parlamentu a Rady 2014/55/EÚ zo 16. apríla 2014 o elektronickej fakturácii vo verejnom obstarávaní (Ú. v. EÚ L 133, 6.5.2014, s. 1).</w:t>
      </w:r>
    </w:p>
  </w:footnote>
  <w:footnote w:id="19">
    <w:p w:rsidR="00166001" w:rsidRDefault="00992344">
      <w:pPr>
        <w:pStyle w:val="Footnote"/>
        <w:ind w:left="851" w:hanging="851"/>
        <w:jc w:val="left"/>
        <w:rPr>
          <w:sz w:val="24"/>
          <w:szCs w:val="24"/>
        </w:rPr>
      </w:pPr>
      <w:r>
        <w:rPr>
          <w:rStyle w:val="FootnoteReference"/>
          <w:sz w:val="24"/>
          <w:szCs w:val="24"/>
        </w:rPr>
        <w:footnoteRef/>
      </w:r>
      <w:r>
        <w:rPr>
          <w:sz w:val="24"/>
          <w:szCs w:val="24"/>
        </w:rPr>
        <w:tab/>
      </w:r>
      <w:bookmarkStart w:id="12" w:name="_Hlk140677584"/>
      <w:r>
        <w:rPr>
          <w:sz w:val="24"/>
          <w:szCs w:val="24"/>
        </w:rPr>
        <w:t>Smernica Európskeho parlamentu a Rady (EÚ) 2019/633 zo 17. apríla 2019 o nekalých obchodných pr</w:t>
      </w:r>
      <w:r>
        <w:rPr>
          <w:sz w:val="24"/>
          <w:szCs w:val="24"/>
        </w:rPr>
        <w:t xml:space="preserve">aktikách vo vzťahoch medzi podnikmi v poľnohospodárskom a potravinovom dodávateľskom reťazci (Ú. v. EÚ L 111, 25.4.2019, s. 59). </w:t>
      </w:r>
      <w:bookmarkEnd w:id="12"/>
    </w:p>
  </w:footnote>
  <w:footnote w:id="20">
    <w:p w:rsidR="00166001" w:rsidRDefault="00992344">
      <w:pPr>
        <w:pStyle w:val="Footnote"/>
        <w:ind w:left="851" w:hanging="851"/>
        <w:jc w:val="left"/>
        <w:rPr>
          <w:sz w:val="24"/>
          <w:szCs w:val="24"/>
        </w:rPr>
      </w:pPr>
      <w:r>
        <w:rPr>
          <w:rStyle w:val="FootnoteReference"/>
          <w:sz w:val="24"/>
          <w:szCs w:val="24"/>
        </w:rPr>
        <w:footnoteRef/>
      </w:r>
      <w:r>
        <w:rPr>
          <w:sz w:val="24"/>
          <w:szCs w:val="24"/>
        </w:rPr>
        <w:tab/>
      </w:r>
      <w:r>
        <w:rPr>
          <w:sz w:val="24"/>
          <w:szCs w:val="24"/>
        </w:rPr>
        <w:t>Článok 23 nariadenia Európskeho parlamentu a Rady (EÚ) č. 1308/2013 zo 17. decembra 2013, ktorým sa vytvára spoločná organiz</w:t>
      </w:r>
      <w:r>
        <w:rPr>
          <w:sz w:val="24"/>
          <w:szCs w:val="24"/>
        </w:rPr>
        <w:t>ácia trhov s poľnohospodárskymi výrobkami (Ú. v. EÚ L 347, 20.12.2013, s. 671).</w:t>
      </w:r>
    </w:p>
  </w:footnote>
  <w:footnote w:id="21">
    <w:p w:rsidR="00166001" w:rsidRDefault="00992344">
      <w:pPr>
        <w:pStyle w:val="Footnote"/>
        <w:ind w:left="851" w:hanging="851"/>
        <w:jc w:val="left"/>
        <w:rPr>
          <w:sz w:val="24"/>
          <w:szCs w:val="24"/>
        </w:rPr>
      </w:pPr>
      <w:r>
        <w:rPr>
          <w:rStyle w:val="FootnoteReference"/>
          <w:sz w:val="24"/>
          <w:szCs w:val="24"/>
        </w:rPr>
        <w:footnoteRef/>
      </w:r>
      <w:r>
        <w:rPr>
          <w:sz w:val="24"/>
          <w:szCs w:val="24"/>
        </w:rPr>
        <w:tab/>
      </w:r>
      <w:r>
        <w:rPr>
          <w:sz w:val="24"/>
          <w:szCs w:val="24"/>
        </w:rPr>
        <w:t xml:space="preserve">Článok </w:t>
      </w:r>
      <w:proofErr w:type="spellStart"/>
      <w:r>
        <w:rPr>
          <w:sz w:val="24"/>
          <w:szCs w:val="24"/>
        </w:rPr>
        <w:t>172a</w:t>
      </w:r>
      <w:proofErr w:type="spellEnd"/>
      <w:r>
        <w:rPr>
          <w:sz w:val="24"/>
          <w:szCs w:val="24"/>
        </w:rPr>
        <w:t xml:space="preserve"> nariadenia Európskeho parlamentu a Rady (EÚ) č. 1308/2013 zo 17. decembra 2013, ktorým sa vytvára spoločná organizácia trhov s poľnohospodárskymi výrobkami (Ú. v.</w:t>
      </w:r>
      <w:r>
        <w:rPr>
          <w:sz w:val="24"/>
          <w:szCs w:val="24"/>
        </w:rPr>
        <w:t> EÚ L 347, 20.12.2013, s. 671).</w:t>
      </w:r>
    </w:p>
  </w:footnote>
  <w:footnote w:id="22">
    <w:p w:rsidR="00166001" w:rsidRDefault="00992344">
      <w:pPr>
        <w:pStyle w:val="Footnote"/>
        <w:ind w:left="851" w:hanging="851"/>
        <w:jc w:val="left"/>
        <w:rPr>
          <w:sz w:val="24"/>
          <w:szCs w:val="24"/>
        </w:rPr>
      </w:pPr>
      <w:r>
        <w:rPr>
          <w:rStyle w:val="FootnoteReference"/>
          <w:sz w:val="24"/>
          <w:szCs w:val="24"/>
        </w:rPr>
        <w:footnoteRef/>
      </w:r>
      <w:r>
        <w:rPr>
          <w:sz w:val="24"/>
          <w:szCs w:val="24"/>
        </w:rPr>
        <w:tab/>
      </w:r>
      <w:r>
        <w:rPr>
          <w:sz w:val="24"/>
          <w:szCs w:val="24"/>
        </w:rPr>
        <w:t xml:space="preserve">Článok </w:t>
      </w:r>
      <w:proofErr w:type="spellStart"/>
      <w:r>
        <w:rPr>
          <w:sz w:val="24"/>
          <w:szCs w:val="24"/>
        </w:rPr>
        <w:t>147a</w:t>
      </w:r>
      <w:proofErr w:type="spellEnd"/>
      <w:r>
        <w:rPr>
          <w:sz w:val="24"/>
          <w:szCs w:val="24"/>
        </w:rPr>
        <w:t xml:space="preserve"> nariadenia Európskeho parlamentu a Rady (EÚ) č. 1308/2013 zo 17. decembra 2013, ktorým sa vytvára spoločná organizácia trhov s poľnohospodárskymi výrobkami (Ú. v. EÚ L 347, 20.12.2013, s. 671).</w:t>
      </w:r>
    </w:p>
  </w:footnote>
  <w:footnote w:id="23">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sz w:val="24"/>
          <w:szCs w:val="24"/>
          <w:lang w:val="sk-SK"/>
        </w:rPr>
        <w:t>Smernica Európ</w:t>
      </w:r>
      <w:r>
        <w:rPr>
          <w:sz w:val="24"/>
          <w:szCs w:val="24"/>
          <w:lang w:val="sk-SK"/>
        </w:rPr>
        <w:t xml:space="preserve">skeho parlamentu a Rady (EÚ) 2019/1023 z 20. júna 2019 o rámcoch preventívnej reštrukturalizácie, o oddlžení a diskvalifikácii a o opatreniach na zvýšenie účinnosti reštrukturalizačných, konkurzných a </w:t>
      </w:r>
      <w:proofErr w:type="spellStart"/>
      <w:r>
        <w:rPr>
          <w:sz w:val="24"/>
          <w:szCs w:val="24"/>
          <w:lang w:val="sk-SK"/>
        </w:rPr>
        <w:t>oddlžovacích</w:t>
      </w:r>
      <w:proofErr w:type="spellEnd"/>
      <w:r>
        <w:rPr>
          <w:sz w:val="24"/>
          <w:szCs w:val="24"/>
          <w:lang w:val="sk-SK"/>
        </w:rPr>
        <w:t xml:space="preserve"> konaní a o zmene smernice (EÚ) 2017/1132 (</w:t>
      </w:r>
      <w:r>
        <w:rPr>
          <w:sz w:val="24"/>
          <w:szCs w:val="24"/>
          <w:lang w:val="sk-SK"/>
        </w:rPr>
        <w:t>Ú. v. EÚ L 172, 26.6.2019, s. 18).</w:t>
      </w:r>
    </w:p>
  </w:footnote>
  <w:footnote w:id="24">
    <w:p w:rsidR="00166001" w:rsidRDefault="00992344">
      <w:pPr>
        <w:pStyle w:val="FootnoteText"/>
        <w:ind w:left="851" w:hanging="851"/>
        <w:rPr>
          <w:sz w:val="24"/>
          <w:szCs w:val="24"/>
          <w:lang w:val="sk-SK"/>
        </w:rPr>
      </w:pPr>
      <w:r>
        <w:rPr>
          <w:rStyle w:val="FootnoteReference"/>
          <w:sz w:val="24"/>
          <w:szCs w:val="24"/>
          <w:lang w:val="sk-SK"/>
        </w:rPr>
        <w:footnoteRef/>
      </w:r>
      <w:r>
        <w:rPr>
          <w:sz w:val="24"/>
          <w:szCs w:val="24"/>
          <w:lang w:val="sk-SK"/>
        </w:rPr>
        <w:tab/>
      </w:r>
      <w:r>
        <w:rPr>
          <w:sz w:val="24"/>
          <w:szCs w:val="24"/>
          <w:lang w:val="sk-SK"/>
        </w:rPr>
        <w:t>Smernica Európskeho parlamentu a Rady 2009/81/ES z 13. júla 2009 o koordinácii postupov pre zadávanie určitých zákaziek na práce, zákaziek na dodávku tovaru a zákaziek na služby verejnými obstarávateľmi alebo obstarávat</w:t>
      </w:r>
      <w:r>
        <w:rPr>
          <w:sz w:val="24"/>
          <w:szCs w:val="24"/>
          <w:lang w:val="sk-SK"/>
        </w:rPr>
        <w:t>eľmi v oblastiach obrany a bezpečnosti a o zmene a doplnení smerníc 2004/17/ES a 2004/18/ES.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001" w:rsidRDefault="0016600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001" w:rsidRDefault="0016600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001" w:rsidRDefault="0016600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3A33A61"/>
    <w:multiLevelType w:val="hybridMultilevel"/>
    <w:tmpl w:val="681EE3CC"/>
    <w:lvl w:ilvl="0" w:tplc="C95C8986">
      <w:start w:val="1"/>
      <w:numFmt w:val="decimal"/>
      <w:pStyle w:val="NormalPara"/>
      <w:lvlText w:val="%1."/>
      <w:lvlJc w:val="left"/>
      <w:pPr>
        <w:ind w:left="720" w:hanging="720"/>
      </w:pPr>
      <w:rPr>
        <w:rFonts w:hint="default"/>
        <w:b w:val="0"/>
        <w:color w:val="595959" w:themeColor="text1" w:themeTint="A6"/>
        <w:vertAlign w:val="baseline"/>
        <w:lang w:val="en-G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6"/>
  </w:num>
  <w:num w:numId="3">
    <w:abstractNumId w:val="15"/>
  </w:num>
  <w:num w:numId="4">
    <w:abstractNumId w:val="10"/>
    <w:lvlOverride w:ilvl="0">
      <w:startOverride w:val="1"/>
    </w:lvlOverride>
  </w:num>
  <w:num w:numId="5">
    <w:abstractNumId w:val="5"/>
  </w:num>
  <w:num w:numId="6">
    <w:abstractNumId w:val="14"/>
  </w:num>
  <w:num w:numId="7">
    <w:abstractNumId w:val="7"/>
  </w:num>
  <w:num w:numId="8">
    <w:abstractNumId w:val="17"/>
  </w:num>
  <w:num w:numId="9">
    <w:abstractNumId w:val="4"/>
  </w:num>
  <w:num w:numId="10">
    <w:abstractNumId w:val="8"/>
  </w:num>
  <w:num w:numId="11">
    <w:abstractNumId w:val="9"/>
  </w:num>
  <w:num w:numId="12">
    <w:abstractNumId w:val="2"/>
  </w:num>
  <w:num w:numId="13">
    <w:abstractNumId w:val="1"/>
  </w:num>
  <w:num w:numId="14">
    <w:abstractNumId w:val="12"/>
  </w:num>
  <w:num w:numId="15">
    <w:abstractNumId w:val="13"/>
  </w:num>
  <w:num w:numId="16">
    <w:abstractNumId w:val="3"/>
  </w:num>
  <w:num w:numId="17">
    <w:abstractNumId w:val="11"/>
  </w:num>
  <w:num w:numId="18">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SK"/>
    <w:docVar w:name="dvnumam" w:val="91"/>
    <w:docVar w:name="dvpe" w:val="756.002"/>
    <w:docVar w:name="dvrapporteur" w:val="Spravodajkyňa: "/>
    <w:docVar w:name="dvstar" w:val="***IBoj proti oneskoreným platbám v obchodných transakciách"/>
    <w:docVar w:name="dvtitre" w:val="Legislatívne uznesenie Európskeho parlamentu z xx. apríla 2024 o návrhu nariadenia Európskeho parlamentu a Rady o boji proti oneskoreným platbám v obchodných transakciách(COM(2023)0533 – C9-0338/2023 – 2023/0323(COD))"/>
  </w:docVars>
  <w:rsids>
    <w:rsidRoot w:val="00166001"/>
    <w:rsid w:val="00166001"/>
    <w:rsid w:val="0099234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16AB38"/>
  <w15:chartTrackingRefBased/>
  <w15:docId w15:val="{42F5B6F4-04C3-4F2D-ABEA-032D77982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List Bullet 3" w:uiPriority="99"/>
    <w:lsdException w:name="List Bullet 4"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uiPriority w:val="9"/>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link w:val="CharCharChar1"/>
    <w:uiPriority w:val="99"/>
    <w:semiHidden/>
    <w:rPr>
      <w:b w:val="0"/>
      <w:vertAlign w:val="superscript"/>
    </w:rPr>
  </w:style>
  <w:style w:type="paragraph" w:styleId="FootnoteText">
    <w:name w:val="footnote text"/>
    <w:basedOn w:val="Normal"/>
    <w:link w:val="FootnoteTextChar"/>
    <w:uiPriority w:val="99"/>
    <w:semiHidden/>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Pr>
      <w:sz w:val="22"/>
      <w:lang w:val="fr-FR" w:eastAsia="fr-FR"/>
    </w:rPr>
  </w:style>
  <w:style w:type="character" w:styleId="PageNumber">
    <w:name w:val="page number"/>
  </w:style>
  <w:style w:type="paragraph" w:styleId="TOC2">
    <w:name w:val="toc 2"/>
    <w:basedOn w:val="Normal"/>
    <w:next w:val="Normal"/>
    <w:autoRedefine/>
    <w:uiPriority w:val="39"/>
    <w:semiHidden/>
    <w:pPr>
      <w:keepNext/>
      <w:keepLines/>
      <w:widowControl/>
    </w:pPr>
    <w:rPr>
      <w:b/>
      <w:noProof/>
      <w:lang w:val="fr-FR" w:eastAsia="fr-FR"/>
    </w:rPr>
  </w:style>
  <w:style w:type="paragraph" w:styleId="TOC3">
    <w:name w:val="toc 3"/>
    <w:basedOn w:val="Normal"/>
    <w:next w:val="Normal"/>
    <w:autoRedefine/>
    <w:uiPriority w:val="39"/>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uiPriority w:val="9"/>
    <w:rPr>
      <w:b/>
      <w:kern w:val="28"/>
      <w:sz w:val="28"/>
      <w:lang w:val="fr-FR" w:eastAsia="fr-FR"/>
    </w:rPr>
  </w:style>
  <w:style w:type="character" w:customStyle="1" w:styleId="Heading2Char">
    <w:name w:val="Heading 2 Char"/>
    <w:basedOn w:val="DefaultParagraphFont"/>
    <w:link w:val="Heading2"/>
    <w:uiPriority w:val="9"/>
    <w:semiHidden/>
    <w:rPr>
      <w:sz w:val="24"/>
      <w:lang w:val="fr-FR" w:eastAsia="fr-FR"/>
    </w:rPr>
  </w:style>
  <w:style w:type="character" w:customStyle="1" w:styleId="Heading3Char">
    <w:name w:val="Heading 3 Char"/>
    <w:basedOn w:val="DefaultParagraphFont"/>
    <w:link w:val="Heading3"/>
    <w:uiPriority w:val="9"/>
    <w:semiHidden/>
    <w:rPr>
      <w:rFonts w:ascii="Arial" w:hAnsi="Arial"/>
      <w:sz w:val="24"/>
      <w:lang w:val="fr-FR" w:eastAsia="fr-FR"/>
    </w:rPr>
  </w:style>
  <w:style w:type="character" w:customStyle="1" w:styleId="Heading4Char">
    <w:name w:val="Heading 4 Char"/>
    <w:basedOn w:val="DefaultParagraphFont"/>
    <w:link w:val="Heading4"/>
    <w:uiPriority w:val="9"/>
    <w:semiHidden/>
    <w:rPr>
      <w:sz w:val="24"/>
      <w:lang w:val="en-US" w:eastAsia="fr-FR"/>
    </w:rPr>
  </w:style>
  <w:style w:type="character" w:customStyle="1" w:styleId="Heading5Char">
    <w:name w:val="Heading 5 Char"/>
    <w:basedOn w:val="DefaultParagraphFont"/>
    <w:link w:val="Heading5"/>
    <w:uiPriority w:val="9"/>
    <w:semiHidden/>
    <w:rPr>
      <w:sz w:val="24"/>
      <w:lang w:val="en-US" w:eastAsia="fr-FR"/>
    </w:rPr>
  </w:style>
  <w:style w:type="character" w:customStyle="1" w:styleId="Heading6Char">
    <w:name w:val="Heading 6 Char"/>
    <w:basedOn w:val="DefaultParagraphFont"/>
    <w:link w:val="Heading6"/>
    <w:uiPriority w:val="9"/>
    <w:semiHidden/>
    <w:rPr>
      <w:i/>
      <w:sz w:val="22"/>
      <w:lang w:val="sk-SK"/>
    </w:rPr>
  </w:style>
  <w:style w:type="character" w:customStyle="1" w:styleId="Heading7Char">
    <w:name w:val="Heading 7 Char"/>
    <w:basedOn w:val="DefaultParagraphFont"/>
    <w:link w:val="Heading7"/>
    <w:uiPriority w:val="9"/>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paragraph" w:customStyle="1" w:styleId="Default">
    <w:name w:val="Default"/>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sk-SK"/>
      <w14:textOutline w14:w="0" w14:cap="flat" w14:cmpd="sng" w14:algn="ctr">
        <w14:noFill/>
        <w14:prstDash w14:val="solid"/>
        <w14:bevel/>
      </w14:textOutline>
    </w:rPr>
  </w:style>
  <w:style w:type="paragraph" w:customStyle="1" w:styleId="Normal6">
    <w:name w:val="Normal6"/>
    <w:basedOn w:val="Normal"/>
    <w:link w:val="Normal6Char"/>
    <w:pPr>
      <w:spacing w:after="120"/>
    </w:pPr>
  </w:style>
  <w:style w:type="character" w:customStyle="1" w:styleId="NormalBoldChar">
    <w:name w:val="NormalBold Char"/>
    <w:basedOn w:val="DefaultParagraphFont"/>
    <w:link w:val="NormalBold"/>
    <w:rPr>
      <w:b/>
      <w:sz w:val="24"/>
      <w:lang w:val="sk-SK"/>
    </w:rPr>
  </w:style>
  <w:style w:type="character" w:customStyle="1" w:styleId="Normal6Char">
    <w:name w:val="Normal6 Char"/>
    <w:basedOn w:val="DefaultParagraphFont"/>
    <w:link w:val="Normal6"/>
    <w:rPr>
      <w:sz w:val="24"/>
      <w:lang w:val="sk-SK"/>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pPr>
      <w:jc w:val="right"/>
    </w:pPr>
    <w:rPr>
      <w:lang w:val="sk-SK"/>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lang w:val="sk-SK"/>
    </w:r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val="sk-SK"/>
    </w:r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lang w:val="sk-SK"/>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val="sk-SK"/>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character" w:customStyle="1" w:styleId="NormalBold12bChar">
    <w:name w:val="NormalBold12b Char"/>
    <w:basedOn w:val="DefaultParagraphFont"/>
    <w:link w:val="NormalBold12b"/>
    <w:locked/>
    <w:rPr>
      <w:b/>
      <w:sz w:val="24"/>
      <w:lang w:val="sk-SK"/>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character" w:styleId="Hyperlink">
    <w:name w:val="Hyperlink"/>
    <w:basedOn w:val="DefaultParagraphFont"/>
    <w:uiPriority w:val="99"/>
    <w:rPr>
      <w:color w:val="0563C1" w:themeColor="hyperlink"/>
      <w:u w:val="single"/>
    </w:rPr>
  </w:style>
  <w:style w:type="paragraph" w:customStyle="1" w:styleId="AmDocTypeTab">
    <w:name w:val="AmDocTypeTab"/>
    <w:basedOn w:val="Normal"/>
    <w:pPr>
      <w:tabs>
        <w:tab w:val="right" w:pos="9070"/>
      </w:tabs>
    </w:pPr>
    <w:rPr>
      <w:b/>
      <w:szCs w:val="24"/>
      <w:lang w:eastAsia="en-US"/>
    </w:rPr>
  </w:style>
  <w:style w:type="paragraph" w:customStyle="1" w:styleId="Institutionquiagit">
    <w:name w:val="Institution qui agit"/>
    <w:basedOn w:val="Normal"/>
    <w:next w:val="Normal"/>
    <w:pPr>
      <w:keepNext/>
      <w:widowControl/>
      <w:spacing w:before="600" w:after="120"/>
      <w:jc w:val="both"/>
    </w:pPr>
    <w:rPr>
      <w:rFonts w:eastAsia="Calibri"/>
      <w:szCs w:val="22"/>
      <w:lang w:eastAsia="en-US"/>
    </w:rPr>
  </w:style>
  <w:style w:type="numbering" w:customStyle="1" w:styleId="NoList1">
    <w:name w:val="No List1"/>
    <w:next w:val="NoList"/>
    <w:uiPriority w:val="99"/>
    <w:semiHidden/>
    <w:unhideWhenUsed/>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OBC Bullet,L"/>
    <w:basedOn w:val="Normal"/>
    <w:link w:val="ListParagraphChar"/>
    <w:uiPriority w:val="34"/>
    <w:qFormat/>
    <w:pPr>
      <w:widowControl/>
      <w:spacing w:before="120" w:after="120"/>
      <w:ind w:left="720"/>
      <w:contextualSpacing/>
      <w:jc w:val="both"/>
    </w:pPr>
    <w:rPr>
      <w:rFonts w:eastAsia="Calibri"/>
      <w:szCs w:val="22"/>
      <w:lang w:eastAsia="en-US"/>
    </w:rPr>
  </w:style>
  <w:style w:type="paragraph" w:styleId="ListBullet">
    <w:name w:val="List Bullet"/>
    <w:basedOn w:val="Normal"/>
    <w:unhideWhenUsed/>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nhideWhenUsed/>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pPr>
      <w:widowControl/>
      <w:tabs>
        <w:tab w:val="num" w:pos="643"/>
      </w:tabs>
      <w:spacing w:before="120" w:after="120"/>
      <w:ind w:left="643" w:hanging="360"/>
      <w:contextualSpacing/>
      <w:jc w:val="both"/>
    </w:pPr>
    <w:rPr>
      <w:rFonts w:eastAsia="Calibri"/>
      <w:szCs w:val="22"/>
      <w:lang w:eastAsia="en-US"/>
    </w:rPr>
  </w:style>
  <w:style w:type="paragraph" w:customStyle="1" w:styleId="Title1">
    <w:name w:val="Title1"/>
    <w:basedOn w:val="Normal"/>
    <w:next w:val="Normal"/>
    <w:uiPriority w:val="10"/>
    <w:qFormat/>
    <w:pPr>
      <w:widowControl/>
      <w:contextualSpacing/>
      <w:jc w:val="both"/>
    </w:pPr>
    <w:rPr>
      <w:rFonts w:ascii="Cambria" w:hAnsi="Cambria"/>
      <w:spacing w:val="-10"/>
      <w:kern w:val="28"/>
      <w:sz w:val="56"/>
      <w:szCs w:val="56"/>
      <w:lang w:eastAsia="en-US"/>
    </w:rPr>
  </w:style>
  <w:style w:type="character" w:customStyle="1" w:styleId="TitleChar">
    <w:name w:val="Title Char"/>
    <w:basedOn w:val="DefaultParagraphFont"/>
    <w:link w:val="Title"/>
    <w:uiPriority w:val="10"/>
    <w:rPr>
      <w:rFonts w:ascii="Cambria" w:eastAsia="Times New Roman" w:hAnsi="Cambria" w:cs="Times New Roman"/>
      <w:spacing w:val="-10"/>
      <w:kern w:val="28"/>
      <w:sz w:val="56"/>
      <w:szCs w:val="56"/>
      <w:lang w:val="sk-SK"/>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rPr>
      <w:rFonts w:eastAsia="Calibri"/>
      <w:sz w:val="24"/>
      <w:szCs w:val="22"/>
      <w:lang w:val="en-US" w:eastAsia="en-US"/>
    </w:rPr>
  </w:style>
  <w:style w:type="character" w:customStyle="1" w:styleId="normaltextrun">
    <w:name w:val="normaltextrun"/>
    <w:basedOn w:val="DefaultParagraphFont"/>
  </w:style>
  <w:style w:type="character" w:customStyle="1" w:styleId="FollowedHyperlink1">
    <w:name w:val="FollowedHyperlink1"/>
    <w:basedOn w:val="DefaultParagraphFont"/>
    <w:uiPriority w:val="99"/>
    <w:semiHidden/>
    <w:unhideWhenUsed/>
    <w:rPr>
      <w:color w:val="800080"/>
      <w:u w:val="single"/>
    </w:rPr>
  </w:style>
  <w:style w:type="character" w:customStyle="1" w:styleId="markedcontent">
    <w:name w:val="markedcontent"/>
    <w:basedOn w:val="DefaultParagraphFont"/>
  </w:style>
  <w:style w:type="paragraph" w:customStyle="1" w:styleId="CharCharChar1">
    <w:name w:val="Char Char Char1"/>
    <w:basedOn w:val="Normal"/>
    <w:link w:val="FootnoteReference"/>
    <w:uiPriority w:val="99"/>
    <w:pPr>
      <w:widowControl/>
      <w:spacing w:after="160" w:line="240" w:lineRule="exact"/>
      <w:jc w:val="both"/>
    </w:pPr>
    <w:rPr>
      <w:sz w:val="20"/>
      <w:vertAlign w:val="superscript"/>
      <w:lang w:val="en-GB"/>
    </w:rPr>
  </w:style>
  <w:style w:type="paragraph" w:customStyle="1" w:styleId="NormalPara">
    <w:name w:val="Normal # Para"/>
    <w:basedOn w:val="Normal"/>
    <w:qFormat/>
    <w:pPr>
      <w:widowControl/>
      <w:numPr>
        <w:numId w:val="3"/>
      </w:numPr>
      <w:tabs>
        <w:tab w:val="num" w:pos="926"/>
      </w:tabs>
      <w:spacing w:after="240"/>
      <w:ind w:left="926" w:hanging="360"/>
      <w:jc w:val="both"/>
    </w:pPr>
    <w:rPr>
      <w:rFonts w:eastAsia="Calibri"/>
      <w:szCs w:val="24"/>
      <w:lang w:eastAsia="en-US"/>
    </w:rPr>
  </w:style>
  <w:style w:type="character" w:customStyle="1" w:styleId="visible-description">
    <w:name w:val="visible-description"/>
    <w:basedOn w:val="DefaultParagraphFont"/>
  </w:style>
  <w:style w:type="character" w:customStyle="1" w:styleId="show-more-description">
    <w:name w:val="show-more-description"/>
    <w:basedOn w:val="DefaultParagraphFont"/>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OBC Bullet Char"/>
    <w:link w:val="ListParagraph"/>
    <w:uiPriority w:val="34"/>
    <w:qFormat/>
    <w:locked/>
    <w:rPr>
      <w:rFonts w:eastAsia="Calibri"/>
      <w:sz w:val="24"/>
      <w:szCs w:val="22"/>
      <w:lang w:val="sk-SK" w:eastAsia="en-US"/>
    </w:rPr>
  </w:style>
  <w:style w:type="paragraph" w:customStyle="1" w:styleId="Footnote">
    <w:name w:val="Footnote"/>
    <w:basedOn w:val="FootnoteText"/>
    <w:pPr>
      <w:keepLines w:val="0"/>
      <w:spacing w:line="240" w:lineRule="auto"/>
      <w:ind w:left="720" w:hanging="720"/>
      <w:jc w:val="both"/>
    </w:pPr>
    <w:rPr>
      <w:rFonts w:eastAsia="Calibri"/>
      <w:sz w:val="20"/>
      <w:lang w:val="sk-SK" w:eastAsia="en-US"/>
    </w:rPr>
  </w:style>
  <w:style w:type="paragraph" w:customStyle="1" w:styleId="Normal1">
    <w:name w:val="Normal1"/>
    <w:basedOn w:val="Normal"/>
    <w:pPr>
      <w:widowControl/>
      <w:spacing w:before="100" w:beforeAutospacing="1" w:after="100" w:afterAutospacing="1"/>
    </w:pPr>
    <w:rPr>
      <w:szCs w:val="24"/>
      <w:lang w:eastAsia="en-IE"/>
    </w:rPr>
  </w:style>
  <w:style w:type="paragraph" w:customStyle="1" w:styleId="LegalNumPar">
    <w:name w:val="LegalNumPar"/>
    <w:basedOn w:val="Normal"/>
    <w:pPr>
      <w:widowControl/>
      <w:numPr>
        <w:numId w:val="5"/>
      </w:numPr>
      <w:tabs>
        <w:tab w:val="num" w:pos="1209"/>
      </w:tabs>
      <w:spacing w:before="120" w:after="120" w:line="360" w:lineRule="auto"/>
      <w:ind w:left="1209" w:hanging="360"/>
      <w:jc w:val="both"/>
    </w:pPr>
    <w:rPr>
      <w:rFonts w:eastAsia="Calibri"/>
      <w:szCs w:val="22"/>
      <w:lang w:eastAsia="en-US"/>
    </w:rPr>
  </w:style>
  <w:style w:type="paragraph" w:customStyle="1" w:styleId="LegalNumPar2">
    <w:name w:val="LegalNumPar2"/>
    <w:basedOn w:val="Normal"/>
    <w:pPr>
      <w:widowControl/>
      <w:numPr>
        <w:ilvl w:val="1"/>
        <w:numId w:val="5"/>
      </w:numPr>
      <w:tabs>
        <w:tab w:val="num" w:pos="1209"/>
      </w:tabs>
      <w:spacing w:before="120" w:after="120" w:line="360" w:lineRule="auto"/>
      <w:ind w:left="1209" w:hanging="360"/>
      <w:jc w:val="both"/>
    </w:pPr>
    <w:rPr>
      <w:rFonts w:eastAsia="Calibri"/>
      <w:szCs w:val="22"/>
      <w:lang w:eastAsia="en-US"/>
    </w:rPr>
  </w:style>
  <w:style w:type="paragraph" w:customStyle="1" w:styleId="LegalNumPar3">
    <w:name w:val="LegalNumPar3"/>
    <w:basedOn w:val="Normal"/>
    <w:pPr>
      <w:widowControl/>
      <w:numPr>
        <w:ilvl w:val="2"/>
        <w:numId w:val="5"/>
      </w:numPr>
      <w:tabs>
        <w:tab w:val="num" w:pos="1209"/>
      </w:tabs>
      <w:spacing w:before="120" w:after="120" w:line="360" w:lineRule="auto"/>
      <w:ind w:left="1209" w:hanging="360"/>
      <w:jc w:val="both"/>
    </w:pPr>
    <w:rPr>
      <w:rFonts w:eastAsia="Calibri"/>
      <w:szCs w:val="22"/>
      <w:lang w:eastAsia="en-US"/>
    </w:rPr>
  </w:style>
  <w:style w:type="character" w:styleId="Emphasis">
    <w:name w:val="Emphasis"/>
    <w:basedOn w:val="DefaultParagraphFont"/>
    <w:uiPriority w:val="20"/>
    <w:qFormat/>
    <w:rPr>
      <w:i/>
      <w:iCs/>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TOC4">
    <w:name w:val="toc 4"/>
    <w:basedOn w:val="Normal"/>
    <w:next w:val="Normal"/>
    <w:uiPriority w:val="39"/>
    <w:unhideWhenUsed/>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pPr>
      <w:widowControl/>
      <w:spacing w:after="120"/>
      <w:jc w:val="right"/>
    </w:pPr>
    <w:rPr>
      <w:rFonts w:eastAsia="Calibri"/>
      <w:sz w:val="28"/>
      <w:szCs w:val="22"/>
      <w:lang w:eastAsia="en-US"/>
    </w:rPr>
  </w:style>
  <w:style w:type="paragraph" w:customStyle="1" w:styleId="FooterSensitivity">
    <w:name w:val="Footer Sensitivity"/>
    <w:basedOn w:val="Normal"/>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pPr>
      <w:widowControl/>
      <w:spacing w:before="120" w:after="120"/>
      <w:ind w:left="850"/>
      <w:jc w:val="both"/>
    </w:pPr>
    <w:rPr>
      <w:rFonts w:eastAsia="Calibri"/>
      <w:szCs w:val="22"/>
      <w:lang w:eastAsia="en-US"/>
    </w:rPr>
  </w:style>
  <w:style w:type="paragraph" w:customStyle="1" w:styleId="Text2">
    <w:name w:val="Text 2"/>
    <w:basedOn w:val="Normal"/>
    <w:pPr>
      <w:widowControl/>
      <w:spacing w:before="120" w:after="120"/>
      <w:ind w:left="1417"/>
      <w:jc w:val="both"/>
    </w:pPr>
    <w:rPr>
      <w:rFonts w:eastAsia="Calibri"/>
      <w:szCs w:val="22"/>
      <w:lang w:eastAsia="en-US"/>
    </w:rPr>
  </w:style>
  <w:style w:type="paragraph" w:customStyle="1" w:styleId="Text3">
    <w:name w:val="Text 3"/>
    <w:basedOn w:val="Normal"/>
    <w:pPr>
      <w:widowControl/>
      <w:spacing w:before="120" w:after="120"/>
      <w:ind w:left="1984"/>
      <w:jc w:val="both"/>
    </w:pPr>
    <w:rPr>
      <w:rFonts w:eastAsia="Calibri"/>
      <w:szCs w:val="22"/>
      <w:lang w:eastAsia="en-US"/>
    </w:rPr>
  </w:style>
  <w:style w:type="paragraph" w:customStyle="1" w:styleId="Text4">
    <w:name w:val="Text 4"/>
    <w:basedOn w:val="Normal"/>
    <w:pPr>
      <w:widowControl/>
      <w:spacing w:before="120" w:after="120"/>
      <w:ind w:left="2551"/>
      <w:jc w:val="both"/>
    </w:pPr>
    <w:rPr>
      <w:rFonts w:eastAsia="Calibri"/>
      <w:szCs w:val="22"/>
      <w:lang w:eastAsia="en-US"/>
    </w:rPr>
  </w:style>
  <w:style w:type="paragraph" w:customStyle="1" w:styleId="Text5">
    <w:name w:val="Text 5"/>
    <w:basedOn w:val="Normal"/>
    <w:pPr>
      <w:widowControl/>
      <w:spacing w:before="120" w:after="120"/>
      <w:ind w:left="3118"/>
      <w:jc w:val="both"/>
    </w:pPr>
    <w:rPr>
      <w:rFonts w:eastAsia="Calibri"/>
      <w:szCs w:val="22"/>
      <w:lang w:eastAsia="en-US"/>
    </w:rPr>
  </w:style>
  <w:style w:type="paragraph" w:customStyle="1" w:styleId="Text6">
    <w:name w:val="Text 6"/>
    <w:basedOn w:val="Normal"/>
    <w:pPr>
      <w:widowControl/>
      <w:spacing w:before="120" w:after="120"/>
      <w:ind w:left="3685"/>
      <w:jc w:val="both"/>
    </w:pPr>
    <w:rPr>
      <w:rFonts w:eastAsia="Calibri"/>
      <w:szCs w:val="22"/>
      <w:lang w:eastAsia="en-US"/>
    </w:rPr>
  </w:style>
  <w:style w:type="paragraph" w:customStyle="1" w:styleId="NormalCentered">
    <w:name w:val="Normal Centered"/>
    <w:basedOn w:val="Normal"/>
    <w:pPr>
      <w:widowControl/>
      <w:spacing w:before="120" w:after="120"/>
      <w:jc w:val="center"/>
    </w:pPr>
    <w:rPr>
      <w:rFonts w:eastAsia="Calibri"/>
      <w:szCs w:val="22"/>
      <w:lang w:eastAsia="en-US"/>
    </w:rPr>
  </w:style>
  <w:style w:type="paragraph" w:customStyle="1" w:styleId="NormalLeft">
    <w:name w:val="Normal Left"/>
    <w:basedOn w:val="Normal"/>
    <w:pPr>
      <w:widowControl/>
      <w:spacing w:before="120" w:after="120"/>
    </w:pPr>
    <w:rPr>
      <w:rFonts w:eastAsia="Calibri"/>
      <w:szCs w:val="22"/>
      <w:lang w:eastAsia="en-US"/>
    </w:rPr>
  </w:style>
  <w:style w:type="paragraph" w:customStyle="1" w:styleId="NormalRight">
    <w:name w:val="Normal Right"/>
    <w:basedOn w:val="Normal"/>
    <w:pPr>
      <w:widowControl/>
      <w:spacing w:before="120" w:after="120"/>
      <w:jc w:val="right"/>
    </w:pPr>
    <w:rPr>
      <w:rFonts w:eastAsia="Calibri"/>
      <w:szCs w:val="22"/>
      <w:lang w:eastAsia="en-US"/>
    </w:rPr>
  </w:style>
  <w:style w:type="paragraph" w:customStyle="1" w:styleId="QuotedText">
    <w:name w:val="Quoted Text"/>
    <w:basedOn w:val="Normal"/>
    <w:pPr>
      <w:widowControl/>
      <w:spacing w:before="120" w:after="120"/>
      <w:ind w:left="1417"/>
      <w:jc w:val="both"/>
    </w:pPr>
    <w:rPr>
      <w:rFonts w:eastAsia="Calibri"/>
      <w:szCs w:val="22"/>
      <w:lang w:eastAsia="en-US"/>
    </w:rPr>
  </w:style>
  <w:style w:type="paragraph" w:customStyle="1" w:styleId="Point0">
    <w:name w:val="Point 0"/>
    <w:basedOn w:val="Normal"/>
    <w:pPr>
      <w:widowControl/>
      <w:spacing w:before="120" w:after="120"/>
      <w:ind w:left="850" w:hanging="850"/>
      <w:jc w:val="both"/>
    </w:pPr>
    <w:rPr>
      <w:rFonts w:eastAsia="Calibri"/>
      <w:szCs w:val="22"/>
      <w:lang w:eastAsia="en-US"/>
    </w:rPr>
  </w:style>
  <w:style w:type="paragraph" w:customStyle="1" w:styleId="Point1">
    <w:name w:val="Point 1"/>
    <w:basedOn w:val="Normal"/>
    <w:pPr>
      <w:widowControl/>
      <w:spacing w:before="120" w:after="120"/>
      <w:ind w:left="1417" w:hanging="567"/>
      <w:jc w:val="both"/>
    </w:pPr>
    <w:rPr>
      <w:rFonts w:eastAsia="Calibri"/>
      <w:szCs w:val="22"/>
      <w:lang w:eastAsia="en-US"/>
    </w:rPr>
  </w:style>
  <w:style w:type="paragraph" w:customStyle="1" w:styleId="Point2">
    <w:name w:val="Point 2"/>
    <w:basedOn w:val="Normal"/>
    <w:pPr>
      <w:widowControl/>
      <w:spacing w:before="120" w:after="120"/>
      <w:ind w:left="1984" w:hanging="567"/>
      <w:jc w:val="both"/>
    </w:pPr>
    <w:rPr>
      <w:rFonts w:eastAsia="Calibri"/>
      <w:szCs w:val="22"/>
      <w:lang w:eastAsia="en-US"/>
    </w:rPr>
  </w:style>
  <w:style w:type="paragraph" w:customStyle="1" w:styleId="Point3">
    <w:name w:val="Point 3"/>
    <w:basedOn w:val="Normal"/>
    <w:pPr>
      <w:widowControl/>
      <w:spacing w:before="120" w:after="120"/>
      <w:ind w:left="2551" w:hanging="567"/>
      <w:jc w:val="both"/>
    </w:pPr>
    <w:rPr>
      <w:rFonts w:eastAsia="Calibri"/>
      <w:szCs w:val="22"/>
      <w:lang w:eastAsia="en-US"/>
    </w:rPr>
  </w:style>
  <w:style w:type="paragraph" w:customStyle="1" w:styleId="Point4">
    <w:name w:val="Point 4"/>
    <w:basedOn w:val="Normal"/>
    <w:pPr>
      <w:widowControl/>
      <w:spacing w:before="120" w:after="120"/>
      <w:ind w:left="3118" w:hanging="567"/>
      <w:jc w:val="both"/>
    </w:pPr>
    <w:rPr>
      <w:rFonts w:eastAsia="Calibri"/>
      <w:szCs w:val="22"/>
      <w:lang w:eastAsia="en-US"/>
    </w:rPr>
  </w:style>
  <w:style w:type="paragraph" w:customStyle="1" w:styleId="Point5">
    <w:name w:val="Point 5"/>
    <w:basedOn w:val="Normal"/>
    <w:pPr>
      <w:widowControl/>
      <w:spacing w:before="120" w:after="120"/>
      <w:ind w:left="3685" w:hanging="567"/>
      <w:jc w:val="both"/>
    </w:pPr>
    <w:rPr>
      <w:rFonts w:eastAsia="Calibri"/>
      <w:szCs w:val="22"/>
      <w:lang w:eastAsia="en-US"/>
    </w:rPr>
  </w:style>
  <w:style w:type="paragraph" w:customStyle="1" w:styleId="Tiret0">
    <w:name w:val="Tiret 0"/>
    <w:basedOn w:val="Point0"/>
    <w:pPr>
      <w:numPr>
        <w:numId w:val="6"/>
      </w:numPr>
      <w:tabs>
        <w:tab w:val="clear" w:pos="850"/>
        <w:tab w:val="num" w:pos="1492"/>
      </w:tabs>
      <w:ind w:left="1492" w:hanging="360"/>
    </w:pPr>
  </w:style>
  <w:style w:type="paragraph" w:customStyle="1" w:styleId="Tiret1">
    <w:name w:val="Tiret 1"/>
    <w:basedOn w:val="Point1"/>
    <w:pPr>
      <w:numPr>
        <w:numId w:val="7"/>
      </w:numPr>
      <w:tabs>
        <w:tab w:val="clear" w:pos="1417"/>
        <w:tab w:val="num" w:pos="1492"/>
      </w:tabs>
      <w:ind w:left="1492" w:hanging="360"/>
    </w:pPr>
  </w:style>
  <w:style w:type="paragraph" w:customStyle="1" w:styleId="Tiret2">
    <w:name w:val="Tiret 2"/>
    <w:basedOn w:val="Point2"/>
    <w:pPr>
      <w:numPr>
        <w:numId w:val="8"/>
      </w:numPr>
      <w:tabs>
        <w:tab w:val="clear" w:pos="1984"/>
        <w:tab w:val="num" w:pos="360"/>
      </w:tabs>
      <w:ind w:left="360" w:hanging="360"/>
    </w:pPr>
  </w:style>
  <w:style w:type="paragraph" w:customStyle="1" w:styleId="Tiret3">
    <w:name w:val="Tiret 3"/>
    <w:basedOn w:val="Point3"/>
    <w:pPr>
      <w:numPr>
        <w:numId w:val="9"/>
      </w:numPr>
      <w:tabs>
        <w:tab w:val="clear" w:pos="2551"/>
        <w:tab w:val="num" w:pos="360"/>
      </w:tabs>
      <w:ind w:left="360" w:hanging="360"/>
    </w:pPr>
  </w:style>
  <w:style w:type="paragraph" w:customStyle="1" w:styleId="Tiret4">
    <w:name w:val="Tiret 4"/>
    <w:basedOn w:val="Point4"/>
    <w:pPr>
      <w:numPr>
        <w:numId w:val="10"/>
      </w:numPr>
      <w:tabs>
        <w:tab w:val="clear" w:pos="3118"/>
        <w:tab w:val="num" w:pos="643"/>
      </w:tabs>
      <w:ind w:left="643" w:hanging="360"/>
    </w:pPr>
  </w:style>
  <w:style w:type="paragraph" w:customStyle="1" w:styleId="Tiret5">
    <w:name w:val="Tiret 5"/>
    <w:basedOn w:val="Point5"/>
    <w:pPr>
      <w:numPr>
        <w:numId w:val="11"/>
      </w:numPr>
      <w:tabs>
        <w:tab w:val="clear" w:pos="3685"/>
        <w:tab w:val="num" w:pos="643"/>
      </w:tabs>
      <w:ind w:left="643" w:hanging="360"/>
    </w:pPr>
  </w:style>
  <w:style w:type="paragraph" w:customStyle="1" w:styleId="PointDouble0">
    <w:name w:val="PointDouble 0"/>
    <w:basedOn w:val="Normal"/>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pPr>
      <w:widowControl/>
      <w:numPr>
        <w:numId w:val="12"/>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pPr>
      <w:widowControl/>
      <w:numPr>
        <w:ilvl w:val="1"/>
        <w:numId w:val="12"/>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pPr>
      <w:widowControl/>
      <w:numPr>
        <w:ilvl w:val="2"/>
        <w:numId w:val="12"/>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pPr>
      <w:widowControl/>
      <w:numPr>
        <w:ilvl w:val="3"/>
        <w:numId w:val="12"/>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pPr>
      <w:widowControl/>
      <w:numPr>
        <w:ilvl w:val="4"/>
        <w:numId w:val="12"/>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pPr>
      <w:widowControl/>
      <w:numPr>
        <w:ilvl w:val="5"/>
        <w:numId w:val="12"/>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pPr>
      <w:widowControl/>
      <w:numPr>
        <w:ilvl w:val="6"/>
        <w:numId w:val="12"/>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pPr>
      <w:widowControl/>
      <w:spacing w:before="120" w:after="120"/>
      <w:ind w:left="1417" w:hanging="1417"/>
      <w:jc w:val="both"/>
    </w:pPr>
    <w:rPr>
      <w:rFonts w:eastAsia="Calibri"/>
      <w:szCs w:val="22"/>
      <w:lang w:eastAsia="en-US"/>
    </w:rPr>
  </w:style>
  <w:style w:type="paragraph" w:customStyle="1" w:styleId="QuotedNumPar">
    <w:name w:val="Quoted NumPar"/>
    <w:basedOn w:val="Normal"/>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pPr>
      <w:widowControl/>
      <w:spacing w:before="120" w:after="120"/>
      <w:jc w:val="center"/>
    </w:pPr>
    <w:rPr>
      <w:rFonts w:eastAsia="Calibri"/>
      <w:b/>
      <w:szCs w:val="22"/>
      <w:lang w:eastAsia="en-US"/>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widowControl/>
      <w:numPr>
        <w:numId w:val="13"/>
      </w:numPr>
      <w:tabs>
        <w:tab w:val="clear" w:pos="850"/>
        <w:tab w:val="num" w:pos="1209"/>
      </w:tabs>
      <w:spacing w:before="120" w:after="120"/>
      <w:ind w:left="1209" w:hanging="360"/>
      <w:jc w:val="both"/>
    </w:pPr>
    <w:rPr>
      <w:rFonts w:eastAsia="Calibri"/>
      <w:szCs w:val="22"/>
      <w:lang w:eastAsia="en-US"/>
    </w:rPr>
  </w:style>
  <w:style w:type="paragraph" w:customStyle="1" w:styleId="Point1number">
    <w:name w:val="Point 1 (number)"/>
    <w:basedOn w:val="Normal"/>
    <w:pPr>
      <w:widowControl/>
      <w:numPr>
        <w:ilvl w:val="2"/>
        <w:numId w:val="13"/>
      </w:numPr>
      <w:tabs>
        <w:tab w:val="clear" w:pos="1417"/>
        <w:tab w:val="num" w:pos="1209"/>
      </w:tabs>
      <w:spacing w:before="120" w:after="120"/>
      <w:ind w:left="1209" w:hanging="360"/>
      <w:jc w:val="both"/>
    </w:pPr>
    <w:rPr>
      <w:rFonts w:eastAsia="Calibri"/>
      <w:szCs w:val="22"/>
      <w:lang w:eastAsia="en-US"/>
    </w:rPr>
  </w:style>
  <w:style w:type="paragraph" w:customStyle="1" w:styleId="Point2number">
    <w:name w:val="Point 2 (number)"/>
    <w:basedOn w:val="Normal"/>
    <w:pPr>
      <w:widowControl/>
      <w:numPr>
        <w:ilvl w:val="4"/>
        <w:numId w:val="13"/>
      </w:numPr>
      <w:tabs>
        <w:tab w:val="clear" w:pos="1984"/>
        <w:tab w:val="num" w:pos="1209"/>
      </w:tabs>
      <w:spacing w:before="120" w:after="120"/>
      <w:ind w:left="1209" w:hanging="360"/>
      <w:jc w:val="both"/>
    </w:pPr>
    <w:rPr>
      <w:rFonts w:eastAsia="Calibri"/>
      <w:szCs w:val="22"/>
      <w:lang w:eastAsia="en-US"/>
    </w:rPr>
  </w:style>
  <w:style w:type="paragraph" w:customStyle="1" w:styleId="Point3number">
    <w:name w:val="Point 3 (number)"/>
    <w:basedOn w:val="Normal"/>
    <w:pPr>
      <w:widowControl/>
      <w:numPr>
        <w:ilvl w:val="6"/>
        <w:numId w:val="13"/>
      </w:numPr>
      <w:tabs>
        <w:tab w:val="clear" w:pos="2551"/>
        <w:tab w:val="num" w:pos="1209"/>
      </w:tabs>
      <w:spacing w:before="120" w:after="120"/>
      <w:ind w:left="1209" w:hanging="360"/>
      <w:jc w:val="both"/>
    </w:pPr>
    <w:rPr>
      <w:rFonts w:eastAsia="Calibri"/>
      <w:szCs w:val="22"/>
      <w:lang w:eastAsia="en-US"/>
    </w:rPr>
  </w:style>
  <w:style w:type="paragraph" w:customStyle="1" w:styleId="Point0letter">
    <w:name w:val="Point 0 (letter)"/>
    <w:basedOn w:val="Normal"/>
    <w:pPr>
      <w:widowControl/>
      <w:numPr>
        <w:ilvl w:val="1"/>
        <w:numId w:val="13"/>
      </w:numPr>
      <w:tabs>
        <w:tab w:val="clear" w:pos="850"/>
        <w:tab w:val="num" w:pos="1209"/>
      </w:tabs>
      <w:spacing w:before="120" w:after="120"/>
      <w:ind w:left="1209" w:hanging="360"/>
      <w:jc w:val="both"/>
    </w:pPr>
    <w:rPr>
      <w:rFonts w:eastAsia="Calibri"/>
      <w:szCs w:val="22"/>
      <w:lang w:eastAsia="en-US"/>
    </w:rPr>
  </w:style>
  <w:style w:type="paragraph" w:customStyle="1" w:styleId="Point1letter">
    <w:name w:val="Point 1 (letter)"/>
    <w:basedOn w:val="Normal"/>
    <w:pPr>
      <w:widowControl/>
      <w:numPr>
        <w:ilvl w:val="3"/>
        <w:numId w:val="13"/>
      </w:numPr>
      <w:tabs>
        <w:tab w:val="clear" w:pos="1417"/>
        <w:tab w:val="num" w:pos="1209"/>
      </w:tabs>
      <w:spacing w:before="120" w:after="120"/>
      <w:ind w:left="1209" w:hanging="360"/>
      <w:jc w:val="both"/>
    </w:pPr>
    <w:rPr>
      <w:rFonts w:eastAsia="Calibri"/>
      <w:szCs w:val="22"/>
      <w:lang w:eastAsia="en-US"/>
    </w:rPr>
  </w:style>
  <w:style w:type="paragraph" w:customStyle="1" w:styleId="Point2letter">
    <w:name w:val="Point 2 (letter)"/>
    <w:basedOn w:val="Normal"/>
    <w:pPr>
      <w:widowControl/>
      <w:numPr>
        <w:ilvl w:val="5"/>
        <w:numId w:val="13"/>
      </w:numPr>
      <w:tabs>
        <w:tab w:val="clear" w:pos="1984"/>
        <w:tab w:val="num" w:pos="1209"/>
      </w:tabs>
      <w:spacing w:before="120" w:after="120"/>
      <w:ind w:left="1209" w:hanging="360"/>
      <w:jc w:val="both"/>
    </w:pPr>
    <w:rPr>
      <w:rFonts w:eastAsia="Calibri"/>
      <w:szCs w:val="22"/>
      <w:lang w:eastAsia="en-US"/>
    </w:rPr>
  </w:style>
  <w:style w:type="paragraph" w:customStyle="1" w:styleId="Point3letter">
    <w:name w:val="Point 3 (letter)"/>
    <w:basedOn w:val="Normal"/>
    <w:pPr>
      <w:widowControl/>
      <w:numPr>
        <w:ilvl w:val="7"/>
        <w:numId w:val="13"/>
      </w:numPr>
      <w:tabs>
        <w:tab w:val="clear" w:pos="2551"/>
        <w:tab w:val="num" w:pos="1209"/>
      </w:tabs>
      <w:spacing w:before="120" w:after="120"/>
      <w:ind w:left="1209" w:hanging="360"/>
      <w:jc w:val="both"/>
    </w:pPr>
    <w:rPr>
      <w:rFonts w:eastAsia="Calibri"/>
      <w:szCs w:val="22"/>
      <w:lang w:eastAsia="en-US"/>
    </w:rPr>
  </w:style>
  <w:style w:type="paragraph" w:customStyle="1" w:styleId="Point4letter">
    <w:name w:val="Point 4 (letter)"/>
    <w:basedOn w:val="Normal"/>
    <w:pPr>
      <w:widowControl/>
      <w:numPr>
        <w:ilvl w:val="8"/>
        <w:numId w:val="13"/>
      </w:numPr>
      <w:tabs>
        <w:tab w:val="clear" w:pos="3118"/>
        <w:tab w:val="num" w:pos="1209"/>
      </w:tabs>
      <w:spacing w:before="120" w:after="120"/>
      <w:ind w:left="1209" w:hanging="360"/>
      <w:jc w:val="both"/>
    </w:pPr>
    <w:rPr>
      <w:rFonts w:eastAsia="Calibri"/>
      <w:szCs w:val="22"/>
      <w:lang w:eastAsia="en-US"/>
    </w:rPr>
  </w:style>
  <w:style w:type="paragraph" w:customStyle="1" w:styleId="Bullet0">
    <w:name w:val="Bullet 0"/>
    <w:basedOn w:val="Normal"/>
    <w:pPr>
      <w:widowControl/>
      <w:numPr>
        <w:numId w:val="4"/>
      </w:numPr>
      <w:tabs>
        <w:tab w:val="clear" w:pos="850"/>
        <w:tab w:val="num" w:pos="1209"/>
      </w:tabs>
      <w:spacing w:before="120" w:after="120"/>
      <w:ind w:left="1209" w:hanging="360"/>
      <w:jc w:val="both"/>
    </w:pPr>
    <w:rPr>
      <w:rFonts w:eastAsia="Calibri"/>
      <w:szCs w:val="22"/>
      <w:lang w:eastAsia="en-US"/>
    </w:rPr>
  </w:style>
  <w:style w:type="paragraph" w:customStyle="1" w:styleId="Bullet1">
    <w:name w:val="Bullet 1"/>
    <w:basedOn w:val="Normal"/>
    <w:pPr>
      <w:widowControl/>
      <w:numPr>
        <w:numId w:val="14"/>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pPr>
      <w:widowControl/>
      <w:numPr>
        <w:numId w:val="15"/>
      </w:numPr>
      <w:tabs>
        <w:tab w:val="clear" w:pos="1984"/>
        <w:tab w:val="num" w:pos="1492"/>
      </w:tabs>
      <w:spacing w:before="120" w:after="120"/>
      <w:ind w:left="1492" w:hanging="360"/>
      <w:jc w:val="both"/>
    </w:pPr>
    <w:rPr>
      <w:rFonts w:eastAsia="Calibri"/>
      <w:szCs w:val="22"/>
      <w:lang w:eastAsia="en-US"/>
    </w:rPr>
  </w:style>
  <w:style w:type="paragraph" w:customStyle="1" w:styleId="Bullet3">
    <w:name w:val="Bullet 3"/>
    <w:basedOn w:val="Normal"/>
    <w:pPr>
      <w:widowControl/>
      <w:numPr>
        <w:numId w:val="16"/>
      </w:numPr>
      <w:tabs>
        <w:tab w:val="clear" w:pos="2551"/>
        <w:tab w:val="num" w:pos="360"/>
      </w:tabs>
      <w:spacing w:before="120" w:after="120"/>
      <w:ind w:left="360" w:hanging="360"/>
      <w:jc w:val="both"/>
    </w:pPr>
    <w:rPr>
      <w:rFonts w:eastAsia="Calibri"/>
      <w:szCs w:val="22"/>
      <w:lang w:eastAsia="en-US"/>
    </w:rPr>
  </w:style>
  <w:style w:type="paragraph" w:customStyle="1" w:styleId="Bullet4">
    <w:name w:val="Bullet 4"/>
    <w:basedOn w:val="Normal"/>
    <w:pPr>
      <w:widowControl/>
      <w:numPr>
        <w:numId w:val="17"/>
      </w:numPr>
      <w:tabs>
        <w:tab w:val="clear" w:pos="3118"/>
        <w:tab w:val="num" w:pos="643"/>
      </w:tabs>
      <w:spacing w:before="120" w:after="120"/>
      <w:ind w:left="643" w:hanging="360"/>
      <w:jc w:val="both"/>
    </w:pPr>
    <w:rPr>
      <w:rFonts w:eastAsia="Calibri"/>
      <w:szCs w:val="22"/>
      <w:lang w:eastAsia="en-US"/>
    </w:rPr>
  </w:style>
  <w:style w:type="paragraph" w:customStyle="1" w:styleId="Langue">
    <w:name w:val="Langue"/>
    <w:basedOn w:val="Normal"/>
    <w:next w:val="Rfrenceinterne"/>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pPr>
      <w:widowControl/>
    </w:pPr>
    <w:rPr>
      <w:rFonts w:ascii="Arial" w:eastAsia="Calibri" w:hAnsi="Arial" w:cs="Arial"/>
      <w:szCs w:val="22"/>
      <w:lang w:eastAsia="en-US"/>
    </w:rPr>
  </w:style>
  <w:style w:type="paragraph" w:customStyle="1" w:styleId="Emission">
    <w:name w:val="Emission"/>
    <w:basedOn w:val="Normal"/>
    <w:next w:val="Rfrenceinstitutionnelle"/>
    <w:pPr>
      <w:widowControl/>
      <w:ind w:left="5103"/>
    </w:pPr>
    <w:rPr>
      <w:rFonts w:eastAsia="Calibri"/>
      <w:szCs w:val="22"/>
      <w:lang w:eastAsia="en-US"/>
    </w:rPr>
  </w:style>
  <w:style w:type="paragraph" w:customStyle="1" w:styleId="Rfrenceinstitutionnelle">
    <w:name w:val="Référence institutionnelle"/>
    <w:basedOn w:val="Normal"/>
    <w:next w:val="Confidentialit"/>
    <w:pPr>
      <w:widowControl/>
      <w:spacing w:after="240"/>
      <w:ind w:left="5103"/>
    </w:pPr>
    <w:rPr>
      <w:rFonts w:eastAsia="Calibri"/>
      <w:szCs w:val="22"/>
      <w:lang w:eastAsia="en-US"/>
    </w:rPr>
  </w:style>
  <w:style w:type="paragraph" w:customStyle="1" w:styleId="Pagedecouverture">
    <w:name w:val="Page de couverture"/>
    <w:basedOn w:val="Normal"/>
    <w:next w:val="Normal"/>
    <w:pPr>
      <w:widowControl/>
      <w:jc w:val="both"/>
    </w:pPr>
    <w:rPr>
      <w:rFonts w:eastAsia="Calibri"/>
      <w:szCs w:val="22"/>
      <w:lang w:eastAsia="en-US"/>
    </w:rPr>
  </w:style>
  <w:style w:type="paragraph" w:customStyle="1" w:styleId="Declassification">
    <w:name w:val="Declassification"/>
    <w:basedOn w:val="Normal"/>
    <w:next w:val="Normal"/>
    <w:pPr>
      <w:widowControl/>
      <w:jc w:val="both"/>
    </w:pPr>
    <w:rPr>
      <w:rFonts w:eastAsia="Calibri"/>
      <w:szCs w:val="22"/>
      <w:lang w:eastAsia="en-US"/>
    </w:rPr>
  </w:style>
  <w:style w:type="paragraph" w:customStyle="1" w:styleId="Disclaimer">
    <w:name w:val="Disclaimer"/>
    <w:basedOn w:val="Normal"/>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pPr>
      <w:widowControl/>
      <w:spacing w:line="276" w:lineRule="auto"/>
      <w:ind w:left="5103"/>
    </w:pPr>
    <w:rPr>
      <w:rFonts w:eastAsia="Calibri"/>
      <w:sz w:val="28"/>
      <w:szCs w:val="22"/>
      <w:lang w:eastAsia="en-US"/>
    </w:rPr>
  </w:style>
  <w:style w:type="paragraph" w:customStyle="1" w:styleId="DateMarking">
    <w:name w:val="DateMarking"/>
    <w:basedOn w:val="Normal"/>
    <w:pPr>
      <w:widowControl/>
      <w:spacing w:line="276" w:lineRule="auto"/>
      <w:ind w:left="5103"/>
    </w:pPr>
    <w:rPr>
      <w:rFonts w:eastAsia="Calibri"/>
      <w:i/>
      <w:sz w:val="28"/>
      <w:szCs w:val="22"/>
      <w:lang w:eastAsia="en-US"/>
    </w:rPr>
  </w:style>
  <w:style w:type="paragraph" w:customStyle="1" w:styleId="ReleasableTo">
    <w:name w:val="ReleasableTo"/>
    <w:basedOn w:val="Normal"/>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pPr>
      <w:widowControl/>
      <w:spacing w:before="120" w:after="120"/>
      <w:jc w:val="center"/>
    </w:pPr>
    <w:rPr>
      <w:rFonts w:eastAsia="Calibri"/>
      <w:b/>
      <w:szCs w:val="22"/>
      <w:u w:val="single"/>
      <w:lang w:eastAsia="en-US"/>
    </w:rPr>
  </w:style>
  <w:style w:type="paragraph" w:customStyle="1" w:styleId="Annexetitre">
    <w:name w:val="Annexe titre"/>
    <w:basedOn w:val="Normal"/>
    <w:next w:val="Normal"/>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pPr>
      <w:widowControl/>
      <w:spacing w:before="480" w:after="120"/>
      <w:jc w:val="both"/>
    </w:pPr>
    <w:rPr>
      <w:rFonts w:eastAsia="Calibri"/>
      <w:szCs w:val="22"/>
      <w:lang w:eastAsia="en-US"/>
    </w:rPr>
  </w:style>
  <w:style w:type="paragraph" w:customStyle="1" w:styleId="Avertissementtitre">
    <w:name w:val="Avertissement titre"/>
    <w:basedOn w:val="Normal"/>
    <w:next w:val="Normal"/>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pPr>
      <w:widowControl/>
      <w:spacing w:before="240" w:after="240"/>
      <w:ind w:left="5103"/>
    </w:pPr>
    <w:rPr>
      <w:rFonts w:eastAsia="Calibri"/>
      <w:i/>
      <w:sz w:val="32"/>
      <w:szCs w:val="22"/>
      <w:lang w:eastAsia="en-US"/>
    </w:rPr>
  </w:style>
  <w:style w:type="paragraph" w:customStyle="1" w:styleId="Considrant">
    <w:name w:val="Considérant"/>
    <w:basedOn w:val="Normal"/>
    <w:pPr>
      <w:widowControl/>
      <w:numPr>
        <w:numId w:val="18"/>
      </w:numPr>
      <w:tabs>
        <w:tab w:val="clear" w:pos="709"/>
        <w:tab w:val="num" w:pos="926"/>
      </w:tabs>
      <w:spacing w:before="120" w:after="120"/>
      <w:ind w:left="926" w:hanging="360"/>
      <w:jc w:val="both"/>
    </w:pPr>
    <w:rPr>
      <w:rFonts w:eastAsia="Calibri"/>
      <w:szCs w:val="22"/>
      <w:lang w:eastAsia="en-US"/>
    </w:rPr>
  </w:style>
  <w:style w:type="paragraph" w:customStyle="1" w:styleId="Corrigendum">
    <w:name w:val="Corrigendum"/>
    <w:basedOn w:val="Normal"/>
    <w:next w:val="Normal"/>
    <w:pPr>
      <w:widowControl/>
      <w:spacing w:after="240"/>
    </w:pPr>
    <w:rPr>
      <w:rFonts w:eastAsia="Calibri"/>
      <w:szCs w:val="22"/>
      <w:lang w:eastAsia="en-US"/>
    </w:rPr>
  </w:style>
  <w:style w:type="paragraph" w:customStyle="1" w:styleId="Datedadoption">
    <w:name w:val="Date d'adoption"/>
    <w:basedOn w:val="Normal"/>
    <w:next w:val="Titreobjet"/>
    <w:pPr>
      <w:widowControl/>
      <w:spacing w:before="360"/>
      <w:jc w:val="center"/>
    </w:pPr>
    <w:rPr>
      <w:rFonts w:eastAsia="Calibri"/>
      <w:b/>
      <w:szCs w:val="22"/>
      <w:lang w:eastAsia="en-US"/>
    </w:rPr>
  </w:style>
  <w:style w:type="paragraph" w:customStyle="1" w:styleId="Exposdesmotifstitre">
    <w:name w:val="Exposé des motifs titre"/>
    <w:basedOn w:val="Normal"/>
    <w:next w:val="Normal"/>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pPr>
      <w:keepNext/>
      <w:widowControl/>
      <w:spacing w:before="120"/>
      <w:jc w:val="both"/>
    </w:pPr>
    <w:rPr>
      <w:rFonts w:eastAsia="Calibri"/>
      <w:szCs w:val="22"/>
      <w:lang w:eastAsia="en-US"/>
    </w:rPr>
  </w:style>
  <w:style w:type="paragraph" w:customStyle="1" w:styleId="Formuledadoption">
    <w:name w:val="Formule d'adoption"/>
    <w:basedOn w:val="Normal"/>
    <w:next w:val="Titrearticle"/>
    <w:pPr>
      <w:keepNext/>
      <w:widowControl/>
      <w:spacing w:before="120" w:after="120"/>
      <w:jc w:val="both"/>
    </w:pPr>
    <w:rPr>
      <w:rFonts w:eastAsia="Calibri"/>
      <w:szCs w:val="22"/>
      <w:lang w:eastAsia="en-US"/>
    </w:rPr>
  </w:style>
  <w:style w:type="paragraph" w:customStyle="1" w:styleId="Institutionquisigne">
    <w:name w:val="Institution qui signe"/>
    <w:basedOn w:val="Normal"/>
    <w:next w:val="Personnequisigne"/>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pPr>
      <w:widowControl/>
      <w:ind w:left="5103"/>
    </w:pPr>
    <w:rPr>
      <w:rFonts w:eastAsia="Calibri"/>
      <w:szCs w:val="22"/>
      <w:lang w:eastAsia="en-US"/>
    </w:rPr>
  </w:style>
  <w:style w:type="paragraph" w:customStyle="1" w:styleId="Rfrenceinterne">
    <w:name w:val="Référence interne"/>
    <w:basedOn w:val="Normal"/>
    <w:next w:val="Rfrenceinterinstitutionnelle"/>
    <w:pPr>
      <w:widowControl/>
      <w:ind w:left="5103"/>
    </w:pPr>
    <w:rPr>
      <w:rFonts w:eastAsia="Calibri"/>
      <w:szCs w:val="22"/>
      <w:lang w:eastAsia="en-US"/>
    </w:rPr>
  </w:style>
  <w:style w:type="paragraph" w:customStyle="1" w:styleId="Statut">
    <w:name w:val="Statut"/>
    <w:basedOn w:val="Normal"/>
    <w:next w:val="Typedudocument"/>
    <w:pPr>
      <w:widowControl/>
      <w:spacing w:before="360"/>
      <w:jc w:val="center"/>
    </w:pPr>
    <w:rPr>
      <w:rFonts w:eastAsia="Calibri"/>
      <w:szCs w:val="22"/>
      <w:lang w:eastAsia="en-US"/>
    </w:rPr>
  </w:style>
  <w:style w:type="paragraph" w:customStyle="1" w:styleId="Titrearticle">
    <w:name w:val="Titre article"/>
    <w:basedOn w:val="Normal"/>
    <w:next w:val="Normal"/>
    <w:pPr>
      <w:keepNext/>
      <w:widowControl/>
      <w:spacing w:before="360" w:after="120"/>
      <w:jc w:val="center"/>
    </w:pPr>
    <w:rPr>
      <w:rFonts w:eastAsia="Calibri"/>
      <w:i/>
      <w:szCs w:val="22"/>
      <w:lang w:eastAsia="en-US"/>
    </w:rPr>
  </w:style>
  <w:style w:type="paragraph" w:customStyle="1" w:styleId="Titreobjet">
    <w:name w:val="Titre objet"/>
    <w:basedOn w:val="Normal"/>
    <w:next w:val="IntrtEEE"/>
    <w:pPr>
      <w:widowControl/>
      <w:spacing w:before="360" w:after="360"/>
      <w:jc w:val="center"/>
    </w:pPr>
    <w:rPr>
      <w:rFonts w:eastAsia="Calibri"/>
      <w:b/>
      <w:szCs w:val="22"/>
      <w:lang w:eastAsia="en-US"/>
    </w:rPr>
  </w:style>
  <w:style w:type="paragraph" w:customStyle="1" w:styleId="Typedudocument">
    <w:name w:val="Type du document"/>
    <w:basedOn w:val="Normal"/>
    <w:next w:val="Titreobjet"/>
    <w:pPr>
      <w:widowControl/>
      <w:spacing w:before="360"/>
      <w:jc w:val="center"/>
    </w:pPr>
    <w:rPr>
      <w:rFonts w:eastAsia="Calibri"/>
      <w:b/>
      <w:szCs w:val="22"/>
      <w:lang w:eastAsia="en-US"/>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pPr>
      <w:widowControl/>
      <w:spacing w:before="120" w:after="120"/>
      <w:jc w:val="both"/>
    </w:pPr>
    <w:rPr>
      <w:rFonts w:eastAsia="Calibri"/>
      <w:i/>
      <w:caps/>
      <w:szCs w:val="22"/>
      <w:lang w:eastAsia="en-US"/>
    </w:rPr>
  </w:style>
  <w:style w:type="paragraph" w:customStyle="1" w:styleId="Supertitre">
    <w:name w:val="Supertitre"/>
    <w:basedOn w:val="Normal"/>
    <w:next w:val="Normal"/>
    <w:pPr>
      <w:widowControl/>
      <w:spacing w:after="600"/>
      <w:jc w:val="center"/>
    </w:pPr>
    <w:rPr>
      <w:rFonts w:eastAsia="Calibri"/>
      <w:b/>
      <w:szCs w:val="22"/>
      <w:lang w:eastAsia="en-US"/>
    </w:rPr>
  </w:style>
  <w:style w:type="paragraph" w:customStyle="1" w:styleId="Languesfaisantfoi">
    <w:name w:val="Langues faisant foi"/>
    <w:basedOn w:val="Normal"/>
    <w:next w:val="Normal"/>
    <w:pPr>
      <w:widowControl/>
      <w:spacing w:before="360"/>
      <w:jc w:val="center"/>
    </w:pPr>
    <w:rPr>
      <w:rFonts w:eastAsia="Calibri"/>
      <w:szCs w:val="22"/>
      <w:lang w:eastAsia="en-US"/>
    </w:rPr>
  </w:style>
  <w:style w:type="paragraph" w:customStyle="1" w:styleId="Rfrencecroise">
    <w:name w:val="Référence croisée"/>
    <w:basedOn w:val="Normal"/>
    <w:pPr>
      <w:widowControl/>
      <w:jc w:val="center"/>
    </w:pPr>
    <w:rPr>
      <w:rFonts w:eastAsia="Calibri"/>
      <w:szCs w:val="22"/>
      <w:lang w:eastAsia="en-US"/>
    </w:rPr>
  </w:style>
  <w:style w:type="paragraph" w:customStyle="1" w:styleId="Fichefinanciretitre">
    <w:name w:val="Fiche financière titre"/>
    <w:basedOn w:val="Normal"/>
    <w:next w:val="Normal"/>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widowControl/>
      <w:spacing w:after="240"/>
      <w:ind w:left="5103"/>
    </w:pPr>
    <w:rPr>
      <w:rFonts w:eastAsia="Calibri"/>
      <w:szCs w:val="22"/>
      <w:lang w:eastAsia="en-US"/>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pPr>
      <w:widowControl/>
      <w:spacing w:after="240"/>
      <w:jc w:val="center"/>
    </w:pPr>
    <w:rPr>
      <w:rFonts w:eastAsia="Calibri"/>
      <w:b/>
      <w:szCs w:val="22"/>
      <w:lang w:eastAsia="en-US"/>
    </w:rPr>
  </w:style>
  <w:style w:type="paragraph" w:customStyle="1" w:styleId="Objetacteprincipal">
    <w:name w:val="Objet acte principal"/>
    <w:basedOn w:val="Normal"/>
    <w:next w:val="Titrearticle"/>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widowControl/>
      <w:spacing w:before="360"/>
      <w:jc w:val="center"/>
    </w:pPr>
    <w:rPr>
      <w:rFonts w:eastAsia="Calibri"/>
      <w:szCs w:val="22"/>
      <w:lang w:eastAsia="en-US"/>
    </w:rPr>
  </w:style>
  <w:style w:type="paragraph" w:styleId="Title">
    <w:name w:val="Title"/>
    <w:basedOn w:val="Normal"/>
    <w:next w:val="Normal"/>
    <w:link w:val="TitleChar"/>
    <w:uiPriority w:val="10"/>
    <w:qFormat/>
    <w:pPr>
      <w:contextualSpacing/>
    </w:pPr>
    <w:rPr>
      <w:rFonts w:ascii="Cambria" w:hAnsi="Cambria"/>
      <w:spacing w:val="-10"/>
      <w:kern w:val="28"/>
      <w:sz w:val="56"/>
      <w:szCs w:val="56"/>
    </w:rPr>
  </w:style>
  <w:style w:type="character" w:customStyle="1" w:styleId="TitleChar1">
    <w:name w:val="Title Char1"/>
    <w:basedOn w:val="DefaultParagraphFont"/>
    <w:rPr>
      <w:rFonts w:asciiTheme="majorHAnsi" w:eastAsiaTheme="majorEastAsia" w:hAnsiTheme="majorHAnsi" w:cstheme="majorBidi"/>
      <w:spacing w:val="-10"/>
      <w:kern w:val="28"/>
      <w:sz w:val="56"/>
      <w:szCs w:val="56"/>
      <w:lang w:val="sk-SK"/>
    </w:r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D05BD-55A3-4FEC-B4DD-10038C3E3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8462</Words>
  <Characters>51135</Characters>
  <Application>Microsoft Office Word</Application>
  <DocSecurity>0</DocSecurity>
  <Lines>426</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LUKSITE Marija</cp:lastModifiedBy>
  <cp:revision>2</cp:revision>
  <cp:lastPrinted>2004-11-19T15:42:00Z</cp:lastPrinted>
  <dcterms:created xsi:type="dcterms:W3CDTF">2024-12-02T13:37:00Z</dcterms:created>
  <dcterms:modified xsi:type="dcterms:W3CDTF">2024-12-02T13:37:00Z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A9-0156/2024</vt:lpwstr>
  </property>
  <property fmtid="{D5CDD505-2E9C-101B-9397-08002B2CF9AE}" pid="4" name="&lt;Type&gt;">
    <vt:lpwstr>RR</vt:lpwstr>
  </property>
</Properties>
</file>