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P9_TA(2024)0300</w:t>
      </w:r>
      <w:bookmarkEnd w:id="0"/>
    </w:p>
    <w:p>
      <w:pPr>
        <w:pStyle w:val="ATHeading2"/>
      </w:pPr>
      <w:bookmarkStart w:id="1" w:name="title"/>
      <w:r>
        <w:t>Zmena smernice 2014/62/EÚ, pokiaľ ide o určité požiadavky na oznamovanie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A9-0152/2024</w:instrText>
      </w:r>
      <w:bookmarkEnd w:id="2"/>
      <w:r>
        <w:rPr>
          <w:i/>
        </w:rPr>
        <w:instrText xml:space="preserve"> - Spravodajca: Juan Fernando López Aguilar)"\l3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PE758.979</w:t>
      </w:r>
      <w:bookmarkEnd w:id="4"/>
    </w:p>
    <w:p>
      <w:pPr>
        <w:pStyle w:val="ATHeading3"/>
      </w:pPr>
      <w:bookmarkStart w:id="5" w:name="Sujet"/>
      <w:r>
        <w:t>Legislatívne uznesenie Európskeho parlamentu z 23. apríla 2024 o návrhu rozhodnutia Európskeho parlamentu a Rady, ktorým sa mení smernica 2014/62/EÚ, pokiaľ ide o určité požiadavky na oznamovanie</w:t>
      </w:r>
      <w:bookmarkEnd w:id="5"/>
      <w:r>
        <w:t xml:space="preserve"> </w:t>
      </w:r>
      <w:bookmarkStart w:id="6" w:name="References"/>
      <w:r>
        <w:t>(COM(2023)0582 – C9-0382/2023 – 2023/0355(COD))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(COM(2023)0582),</w:t>
      </w:r>
    </w:p>
    <w:p>
      <w:pPr>
        <w:pStyle w:val="NormalHanging12a"/>
      </w:pPr>
      <w:r>
        <w:t>–</w:t>
      </w:r>
      <w:r>
        <w:tab/>
        <w:t>so zreteľom na článok 294 ods. 2 a článok 83 ods. 1 Zmluvy o fungovaní Európskej únie, v súlade s ktorými Komisia predložila návrh Európskemu parlamentu (C9</w:t>
      </w:r>
      <w:r>
        <w:noBreakHyphen/>
        <w:t>0382/2023),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záväzok zástupcu Rady, vyjadrený v liste zo 17. apríla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občianske slobody, spravodlivosť a vnútorné veci (A9-0152/2024),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 xml:space="preserve">poveruje svoju predsedníčku, aby postúpila túto pozíciu Rade, Komisii a národným </w:t>
      </w:r>
      <w:r>
        <w:lastRenderedPageBreak/>
        <w:t>parlamentom.</w:t>
      </w:r>
    </w:p>
    <w:p>
      <w:pPr>
        <w:widowControl/>
      </w:pPr>
      <w:r>
        <w:br w:type="page"/>
      </w:r>
    </w:p>
    <w:p>
      <w:pPr>
        <w:pStyle w:val="AmNumberTabs"/>
        <w:keepNext/>
        <w:spacing w:before="0" w:after="240"/>
      </w:pPr>
      <w:r>
        <w:lastRenderedPageBreak/>
        <w:t>P9_TC1-COD(2023)0355</w:t>
      </w:r>
    </w:p>
    <w:p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>
        <w:rPr>
          <w:b/>
        </w:rPr>
        <w:t xml:space="preserve">Pozícia Európskeho parlamentu prijatá v prvom čítaní 23. apríla 2024 na účely prijatia smernice Európskeho parlamentu a Rady (EÚ) 2024/…, </w:t>
      </w:r>
      <w:r>
        <w:rPr>
          <w:rFonts w:eastAsia="Calibri"/>
          <w:b/>
          <w:szCs w:val="24"/>
          <w:lang w:eastAsia="en-US"/>
        </w:rPr>
        <w:t>ktorou sa mení smernica 2014/62/EÚ, pokiaľ ide o určité požiadavky na oznamovanie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2024/2808</w:t>
      </w:r>
      <w:bookmarkStart w:id="8" w:name="_GoBack"/>
      <w:bookmarkEnd w:id="8"/>
      <w:r>
        <w:rPr>
          <w:i/>
          <w:iCs/>
        </w:rPr>
        <w:t>.)</w:t>
      </w:r>
    </w:p>
    <w:p/>
    <w:p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SK"/>
    <w:docVar w:name="dvnumam" w:val="4"/>
    <w:docVar w:name="dvpe" w:val="758.979"/>
    <w:docVar w:name="dvrapporteur" w:val="Spravodajca: "/>
    <w:docVar w:name="dvstar" w:val="***I"/>
    <w:docVar w:name="dvtitre" w:val="Legislatívne uznesenie Európskeho parlamentu z xx. apríla 2024 o návrhu rozhodnutia Európskeho parlamentu a Rady, ktorým sa mení smernica 2014/62/EÚ, pokiaľ ide o určité požiadavky na oznamovanie(COM(2023)0582 – C9-0382/2023 – 2023/0355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DC80E-9966-4BBF-A855-49FF9462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link w:val="NormalBold"/>
    <w:locked/>
    <w:rPr>
      <w:b/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268C9-125F-4408-A521-14B7CAD7E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2025-01-28T10:21:00Z</dcterms:created>
  <dcterms:modified xsi:type="dcterms:W3CDTF">2025-01-28T10:21:00Z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