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142D" w14:paraId="498DC8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532B2A" w14:textId="77777777" w:rsidR="00751A4A" w:rsidRPr="0033142D" w:rsidRDefault="007051CE" w:rsidP="0010095E">
            <w:pPr>
              <w:pStyle w:val="EPName"/>
            </w:pPr>
            <w:r w:rsidRPr="0033142D">
              <w:t>Parlement européen</w:t>
            </w:r>
          </w:p>
          <w:p w14:paraId="56ABABF8" w14:textId="77777777" w:rsidR="00751A4A" w:rsidRPr="003314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267D">
              <w:t>2019</w:t>
            </w:r>
            <w:r w:rsidRPr="0033142D">
              <w:t>-</w:t>
            </w:r>
            <w:r w:rsidRPr="001B267D">
              <w:t>2024</w:t>
            </w:r>
          </w:p>
        </w:tc>
        <w:tc>
          <w:tcPr>
            <w:tcW w:w="2268" w:type="dxa"/>
            <w:shd w:val="clear" w:color="auto" w:fill="auto"/>
          </w:tcPr>
          <w:p w14:paraId="12F12E66" w14:textId="77777777" w:rsidR="00751A4A" w:rsidRPr="0033142D" w:rsidRDefault="00187494" w:rsidP="0010095E">
            <w:pPr>
              <w:pStyle w:val="EPLogo"/>
            </w:pPr>
            <w:r w:rsidRPr="0033142D">
              <w:rPr>
                <w:noProof/>
                <w:lang w:val="en-GB"/>
              </w:rPr>
              <w:drawing>
                <wp:inline distT="0" distB="0" distL="0" distR="0" wp14:anchorId="6C84F9A4" wp14:editId="4469FA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59B6CC" w14:textId="77777777" w:rsidR="00D058B8" w:rsidRPr="0033142D" w:rsidRDefault="00D058B8" w:rsidP="004C5D52">
      <w:pPr>
        <w:pStyle w:val="LineTop"/>
      </w:pPr>
    </w:p>
    <w:p w14:paraId="0FC6914B" w14:textId="77777777" w:rsidR="00680577" w:rsidRPr="0033142D" w:rsidRDefault="007051CE" w:rsidP="00680577">
      <w:pPr>
        <w:pStyle w:val="EPBodyTA1"/>
      </w:pPr>
      <w:r w:rsidRPr="0033142D">
        <w:t>TEXTES ADOPTÉS</w:t>
      </w:r>
    </w:p>
    <w:p w14:paraId="4FC0B446" w14:textId="77777777" w:rsidR="00D058B8" w:rsidRPr="0033142D" w:rsidRDefault="00D058B8" w:rsidP="00D058B8">
      <w:pPr>
        <w:pStyle w:val="LineBottom"/>
      </w:pPr>
    </w:p>
    <w:p w14:paraId="2ED0CCF4" w14:textId="792DCF7C" w:rsidR="007051CE" w:rsidRPr="0033142D" w:rsidRDefault="007051CE" w:rsidP="007051CE">
      <w:pPr>
        <w:pStyle w:val="ATHeading1"/>
      </w:pPr>
      <w:bookmarkStart w:id="0" w:name="TANumber"/>
      <w:r w:rsidRPr="0033142D">
        <w:t>P</w:t>
      </w:r>
      <w:r w:rsidRPr="001B267D">
        <w:t>9</w:t>
      </w:r>
      <w:r w:rsidRPr="0033142D">
        <w:t>_TA(</w:t>
      </w:r>
      <w:r w:rsidRPr="001B267D">
        <w:t>2024</w:t>
      </w:r>
      <w:r w:rsidRPr="0033142D">
        <w:t>)</w:t>
      </w:r>
      <w:r w:rsidRPr="001B267D">
        <w:t>0</w:t>
      </w:r>
      <w:bookmarkEnd w:id="0"/>
      <w:r w:rsidR="007202F5" w:rsidRPr="001B267D">
        <w:t>301</w:t>
      </w:r>
    </w:p>
    <w:p w14:paraId="1B537938" w14:textId="0C53B90F" w:rsidR="007051CE" w:rsidRPr="0033142D" w:rsidRDefault="00216C03" w:rsidP="007051CE">
      <w:pPr>
        <w:pStyle w:val="ATHeading2"/>
      </w:pPr>
      <w:r w:rsidRPr="0033142D">
        <w:rPr>
          <w:bCs/>
        </w:rPr>
        <w:t xml:space="preserve">Accès des autorités compétentes aux registres centralisés des comptes bancaires par l’intermédiaire du </w:t>
      </w:r>
      <w:r w:rsidR="009B7D9D" w:rsidRPr="0033142D">
        <w:rPr>
          <w:bCs/>
        </w:rPr>
        <w:t>point d'accès unique</w:t>
      </w:r>
    </w:p>
    <w:p w14:paraId="6C5E253E" w14:textId="77777777" w:rsidR="007051CE" w:rsidRPr="0033142D" w:rsidRDefault="007051CE" w:rsidP="007051CE">
      <w:pPr>
        <w:rPr>
          <w:i/>
          <w:vanish/>
        </w:rPr>
      </w:pPr>
      <w:r w:rsidRPr="0033142D">
        <w:rPr>
          <w:i/>
        </w:rPr>
        <w:fldChar w:fldCharType="begin"/>
      </w:r>
      <w:r w:rsidRPr="0033142D">
        <w:rPr>
          <w:i/>
        </w:rPr>
        <w:instrText xml:space="preserve"> TC"(</w:instrText>
      </w:r>
      <w:bookmarkStart w:id="1" w:name="DocNumber"/>
      <w:r w:rsidRPr="0033142D">
        <w:rPr>
          <w:i/>
        </w:rPr>
        <w:instrText>A</w:instrText>
      </w:r>
      <w:r w:rsidRPr="001B267D">
        <w:rPr>
          <w:i/>
        </w:rPr>
        <w:instrText>9</w:instrText>
      </w:r>
      <w:r w:rsidRPr="0033142D">
        <w:rPr>
          <w:i/>
        </w:rPr>
        <w:instrText>-</w:instrText>
      </w:r>
      <w:r w:rsidRPr="001B267D">
        <w:rPr>
          <w:i/>
        </w:rPr>
        <w:instrText>0004</w:instrText>
      </w:r>
      <w:r w:rsidRPr="0033142D">
        <w:rPr>
          <w:i/>
        </w:rPr>
        <w:instrText>/</w:instrText>
      </w:r>
      <w:r w:rsidRPr="001B267D">
        <w:rPr>
          <w:i/>
        </w:rPr>
        <w:instrText>2023</w:instrText>
      </w:r>
      <w:bookmarkEnd w:id="1"/>
      <w:r w:rsidRPr="0033142D">
        <w:rPr>
          <w:i/>
        </w:rPr>
        <w:instrText xml:space="preserve"> - Rapporteur: Emil Radev)"\l</w:instrText>
      </w:r>
      <w:r w:rsidRPr="001B267D">
        <w:rPr>
          <w:i/>
        </w:rPr>
        <w:instrText>3</w:instrText>
      </w:r>
      <w:r w:rsidRPr="0033142D">
        <w:rPr>
          <w:i/>
        </w:rPr>
        <w:instrText xml:space="preserve"> \n&gt; \* MERGEFORMAT </w:instrText>
      </w:r>
      <w:r w:rsidRPr="0033142D">
        <w:rPr>
          <w:i/>
        </w:rPr>
        <w:fldChar w:fldCharType="end"/>
      </w:r>
    </w:p>
    <w:p w14:paraId="72C7BBCC" w14:textId="77777777" w:rsidR="007051CE" w:rsidRPr="0033142D" w:rsidRDefault="007051CE" w:rsidP="007051CE">
      <w:pPr>
        <w:rPr>
          <w:vanish/>
        </w:rPr>
      </w:pPr>
      <w:bookmarkStart w:id="2" w:name="Commission"/>
      <w:r w:rsidRPr="0033142D">
        <w:rPr>
          <w:vanish/>
        </w:rPr>
        <w:t>Commission des libertés civiles, de la justice et des affaires intérieures</w:t>
      </w:r>
      <w:bookmarkEnd w:id="2"/>
    </w:p>
    <w:p w14:paraId="737C801C" w14:textId="77777777" w:rsidR="007051CE" w:rsidRPr="0033142D" w:rsidRDefault="007051CE" w:rsidP="007051CE">
      <w:pPr>
        <w:rPr>
          <w:vanish/>
        </w:rPr>
      </w:pPr>
      <w:bookmarkStart w:id="3" w:name="PE"/>
      <w:r w:rsidRPr="0033142D">
        <w:rPr>
          <w:vanish/>
        </w:rPr>
        <w:t>PE</w:t>
      </w:r>
      <w:r w:rsidRPr="001B267D">
        <w:rPr>
          <w:vanish/>
        </w:rPr>
        <w:t>734</w:t>
      </w:r>
      <w:r w:rsidRPr="0033142D">
        <w:rPr>
          <w:vanish/>
        </w:rPr>
        <w:t>.</w:t>
      </w:r>
      <w:r w:rsidRPr="001B267D">
        <w:rPr>
          <w:vanish/>
        </w:rPr>
        <w:t>352</w:t>
      </w:r>
      <w:bookmarkEnd w:id="3"/>
    </w:p>
    <w:p w14:paraId="0A4BADE2" w14:textId="47B1BACB" w:rsidR="007051CE" w:rsidRPr="0033142D" w:rsidRDefault="007051CE" w:rsidP="007051CE">
      <w:pPr>
        <w:pStyle w:val="ATHeading3"/>
      </w:pPr>
      <w:bookmarkStart w:id="4" w:name="Sujet"/>
      <w:r w:rsidRPr="0033142D">
        <w:t xml:space="preserve">Résolution législative du Parlement européen du </w:t>
      </w:r>
      <w:r w:rsidR="00162307" w:rsidRPr="001B267D">
        <w:t>23</w:t>
      </w:r>
      <w:r w:rsidR="009745DB" w:rsidRPr="0033142D">
        <w:t xml:space="preserve"> avril</w:t>
      </w:r>
      <w:r w:rsidRPr="0033142D">
        <w:t xml:space="preserve"> </w:t>
      </w:r>
      <w:r w:rsidRPr="001B267D">
        <w:t>2024</w:t>
      </w:r>
      <w:r w:rsidRPr="0033142D">
        <w:t xml:space="preserve"> sur la proposition de directive du Parlement européen et du Conseil modifiant la directive (UE) </w:t>
      </w:r>
      <w:r w:rsidRPr="001B267D">
        <w:t>2019</w:t>
      </w:r>
      <w:r w:rsidRPr="0033142D">
        <w:t>/</w:t>
      </w:r>
      <w:r w:rsidRPr="001B267D">
        <w:t>1153</w:t>
      </w:r>
      <w:r w:rsidRPr="0033142D">
        <w:t xml:space="preserve"> du Parlement européen et du Conseil en ce qui concerne l’accès des autorités compétentes aux registres centralisés des comptes bancaires par l’intermédiaire du point d’accès unique</w:t>
      </w:r>
      <w:bookmarkEnd w:id="4"/>
      <w:r w:rsidRPr="0033142D">
        <w:t xml:space="preserve"> </w:t>
      </w:r>
      <w:bookmarkStart w:id="5" w:name="References"/>
      <w:r w:rsidRPr="0033142D">
        <w:t>(COM(</w:t>
      </w:r>
      <w:r w:rsidRPr="001B267D">
        <w:t>2021</w:t>
      </w:r>
      <w:r w:rsidRPr="0033142D">
        <w:t>)</w:t>
      </w:r>
      <w:r w:rsidRPr="001B267D">
        <w:t>0429</w:t>
      </w:r>
      <w:r w:rsidRPr="0033142D">
        <w:t xml:space="preserve"> – C</w:t>
      </w:r>
      <w:r w:rsidRPr="001B267D">
        <w:t>9</w:t>
      </w:r>
      <w:r w:rsidRPr="0033142D">
        <w:t>-</w:t>
      </w:r>
      <w:r w:rsidRPr="001B267D">
        <w:t>0338</w:t>
      </w:r>
      <w:r w:rsidRPr="0033142D">
        <w:t>/</w:t>
      </w:r>
      <w:r w:rsidR="008C2A69" w:rsidRPr="001B267D">
        <w:t>2021</w:t>
      </w:r>
      <w:r w:rsidRPr="0033142D">
        <w:t xml:space="preserve"> – </w:t>
      </w:r>
      <w:r w:rsidRPr="001B267D">
        <w:t>2021</w:t>
      </w:r>
      <w:r w:rsidRPr="0033142D">
        <w:t>/</w:t>
      </w:r>
      <w:r w:rsidRPr="001B267D">
        <w:t>0244</w:t>
      </w:r>
      <w:r w:rsidRPr="0033142D">
        <w:t>(COD))</w:t>
      </w:r>
      <w:bookmarkEnd w:id="5"/>
    </w:p>
    <w:p w14:paraId="145A6662" w14:textId="77777777" w:rsidR="001C2878" w:rsidRPr="0033142D" w:rsidRDefault="001C2878" w:rsidP="001C2878">
      <w:pPr>
        <w:pStyle w:val="NormalBold"/>
      </w:pPr>
      <w:bookmarkStart w:id="6" w:name="TextBodyBegin"/>
      <w:bookmarkEnd w:id="6"/>
      <w:r w:rsidRPr="0033142D">
        <w:t>(Procédure législative ordinaire: première lecture)</w:t>
      </w:r>
    </w:p>
    <w:p w14:paraId="6B1688AD" w14:textId="77777777" w:rsidR="001C2878" w:rsidRPr="0033142D" w:rsidRDefault="001C2878" w:rsidP="001C2878">
      <w:pPr>
        <w:pStyle w:val="EPComma"/>
      </w:pPr>
      <w:r w:rsidRPr="0033142D">
        <w:rPr>
          <w:i/>
        </w:rPr>
        <w:t>Le Parlement européen</w:t>
      </w:r>
      <w:r w:rsidRPr="0033142D">
        <w:t>,</w:t>
      </w:r>
    </w:p>
    <w:p w14:paraId="5A865533" w14:textId="77777777" w:rsidR="001C2878" w:rsidRPr="0033142D" w:rsidRDefault="001C2878" w:rsidP="001C2878">
      <w:pPr>
        <w:pStyle w:val="NormalHanging12a"/>
      </w:pPr>
      <w:r w:rsidRPr="0033142D">
        <w:t>–</w:t>
      </w:r>
      <w:r w:rsidRPr="0033142D">
        <w:tab/>
        <w:t>vu la proposition de la Commission au Parlement européen et au Conseil (COM(</w:t>
      </w:r>
      <w:r w:rsidRPr="001B267D">
        <w:t>2021</w:t>
      </w:r>
      <w:r w:rsidRPr="0033142D">
        <w:t>)</w:t>
      </w:r>
      <w:r w:rsidRPr="001B267D">
        <w:t>0429</w:t>
      </w:r>
      <w:r w:rsidRPr="0033142D">
        <w:t>),</w:t>
      </w:r>
    </w:p>
    <w:p w14:paraId="6E7F6535" w14:textId="77777777" w:rsidR="001C2878" w:rsidRPr="0033142D" w:rsidRDefault="001C2878" w:rsidP="001C2878">
      <w:pPr>
        <w:pStyle w:val="NormalHanging12a"/>
      </w:pPr>
      <w:r w:rsidRPr="0033142D">
        <w:t>–</w:t>
      </w:r>
      <w:r w:rsidRPr="0033142D">
        <w:tab/>
        <w:t>vu l’article </w:t>
      </w:r>
      <w:r w:rsidRPr="001B267D">
        <w:t>294</w:t>
      </w:r>
      <w:r w:rsidRPr="0033142D">
        <w:t>, paragraphe </w:t>
      </w:r>
      <w:r w:rsidRPr="001B267D">
        <w:t>2</w:t>
      </w:r>
      <w:r w:rsidRPr="0033142D">
        <w:t>, et l’article </w:t>
      </w:r>
      <w:r w:rsidRPr="001B267D">
        <w:t>87</w:t>
      </w:r>
      <w:r w:rsidRPr="0033142D">
        <w:t>, paragraphe </w:t>
      </w:r>
      <w:r w:rsidRPr="001B267D">
        <w:t>2</w:t>
      </w:r>
      <w:r w:rsidRPr="0033142D">
        <w:t>, du traité sur le fonctionnement de l’Union européenne, conformément auxquels la proposition lui a été présentée par la Commission (C</w:t>
      </w:r>
      <w:r w:rsidRPr="001B267D">
        <w:t>9</w:t>
      </w:r>
      <w:r w:rsidRPr="0033142D">
        <w:t>-</w:t>
      </w:r>
      <w:r w:rsidRPr="001B267D">
        <w:t>0338</w:t>
      </w:r>
      <w:r w:rsidRPr="0033142D">
        <w:t>/</w:t>
      </w:r>
      <w:r w:rsidRPr="001B267D">
        <w:t>2021</w:t>
      </w:r>
      <w:r w:rsidRPr="0033142D">
        <w:t>),</w:t>
      </w:r>
    </w:p>
    <w:p w14:paraId="285AA0BC" w14:textId="77777777" w:rsidR="001C2878" w:rsidRPr="0033142D" w:rsidRDefault="001C2878" w:rsidP="001C2878">
      <w:pPr>
        <w:pStyle w:val="NormalHanging12a"/>
      </w:pPr>
      <w:r w:rsidRPr="0033142D">
        <w:t>–</w:t>
      </w:r>
      <w:r w:rsidRPr="0033142D">
        <w:tab/>
        <w:t>vu l’article </w:t>
      </w:r>
      <w:r w:rsidRPr="001B267D">
        <w:t>294</w:t>
      </w:r>
      <w:r w:rsidRPr="0033142D">
        <w:t>, paragraphe </w:t>
      </w:r>
      <w:r w:rsidRPr="001B267D">
        <w:t>3</w:t>
      </w:r>
      <w:r w:rsidRPr="0033142D">
        <w:t>, du traité sur le fonctionnement de l’Union européenne,</w:t>
      </w:r>
    </w:p>
    <w:p w14:paraId="37D51727" w14:textId="77777777" w:rsidR="00162307" w:rsidRPr="0033142D" w:rsidRDefault="00162307" w:rsidP="007E7C0A">
      <w:pPr>
        <w:pStyle w:val="NormalHanging12a"/>
      </w:pPr>
      <w:r w:rsidRPr="0033142D">
        <w:t>–</w:t>
      </w:r>
      <w:r w:rsidRPr="0033142D">
        <w:tab/>
        <w:t>vu l’accord provisoire approuvé en vertu de l’article </w:t>
      </w:r>
      <w:r w:rsidRPr="001B267D">
        <w:t>74</w:t>
      </w:r>
      <w:r w:rsidRPr="0033142D">
        <w:t>, paragraphe </w:t>
      </w:r>
      <w:r w:rsidRPr="001B267D">
        <w:t>4</w:t>
      </w:r>
      <w:r w:rsidRPr="0033142D">
        <w:t xml:space="preserve">, de son règlement intérieur par la commission compétente et l’engagement pris par le représentant du Conseil, par lettre du </w:t>
      </w:r>
      <w:r w:rsidRPr="001B267D">
        <w:t>14</w:t>
      </w:r>
      <w:r w:rsidRPr="0033142D">
        <w:t> février </w:t>
      </w:r>
      <w:r w:rsidRPr="001B267D">
        <w:t>2024</w:t>
      </w:r>
      <w:r w:rsidRPr="0033142D">
        <w:t>, d’approuver la position du Parlement européen, conformément à l’article </w:t>
      </w:r>
      <w:r w:rsidRPr="001B267D">
        <w:t>294</w:t>
      </w:r>
      <w:r w:rsidRPr="0033142D">
        <w:t>, paragraphe </w:t>
      </w:r>
      <w:r w:rsidRPr="001B267D">
        <w:t>4</w:t>
      </w:r>
      <w:r w:rsidRPr="0033142D">
        <w:t>, du traité sur le fonctionnement de l’Union européenne,</w:t>
      </w:r>
    </w:p>
    <w:p w14:paraId="04E5F841" w14:textId="77777777" w:rsidR="001C2878" w:rsidRPr="0033142D" w:rsidRDefault="001C2878" w:rsidP="001C2878">
      <w:pPr>
        <w:pStyle w:val="NormalHanging12a"/>
      </w:pPr>
      <w:r w:rsidRPr="0033142D">
        <w:t>–</w:t>
      </w:r>
      <w:r w:rsidRPr="0033142D">
        <w:tab/>
        <w:t>vu l’article </w:t>
      </w:r>
      <w:r w:rsidRPr="001B267D">
        <w:t>59</w:t>
      </w:r>
      <w:r w:rsidRPr="0033142D">
        <w:t xml:space="preserve"> de son règlement intérieur,</w:t>
      </w:r>
    </w:p>
    <w:p w14:paraId="05719B3A" w14:textId="77777777" w:rsidR="001C2878" w:rsidRPr="0033142D" w:rsidRDefault="001C2878" w:rsidP="001C2878">
      <w:pPr>
        <w:pStyle w:val="NormalHanging12a"/>
      </w:pPr>
      <w:r w:rsidRPr="0033142D">
        <w:t>–</w:t>
      </w:r>
      <w:r w:rsidRPr="0033142D">
        <w:tab/>
        <w:t>vu l’avis de la commission des affaires économiques et monétaires,</w:t>
      </w:r>
    </w:p>
    <w:p w14:paraId="725CA9BA" w14:textId="77777777" w:rsidR="001C2878" w:rsidRPr="0033142D" w:rsidRDefault="001C2878" w:rsidP="001C2878">
      <w:pPr>
        <w:pStyle w:val="NormalHanging12a"/>
      </w:pPr>
      <w:r w:rsidRPr="0033142D">
        <w:t>–</w:t>
      </w:r>
      <w:r w:rsidRPr="0033142D">
        <w:tab/>
        <w:t>vu le rapport de la commission des libertés civiles, de la justice et des affaires intérieures (A</w:t>
      </w:r>
      <w:r w:rsidRPr="001B267D">
        <w:t>9</w:t>
      </w:r>
      <w:r w:rsidRPr="0033142D">
        <w:t>-</w:t>
      </w:r>
      <w:r w:rsidRPr="001B267D">
        <w:t>0004</w:t>
      </w:r>
      <w:r w:rsidRPr="0033142D">
        <w:t>/</w:t>
      </w:r>
      <w:r w:rsidRPr="001B267D">
        <w:t>2023</w:t>
      </w:r>
      <w:r w:rsidRPr="0033142D">
        <w:t>),</w:t>
      </w:r>
    </w:p>
    <w:p w14:paraId="67E84479" w14:textId="77777777" w:rsidR="001C2878" w:rsidRPr="0033142D" w:rsidRDefault="001C2878" w:rsidP="001C2878">
      <w:pPr>
        <w:pStyle w:val="NormalHanging12a"/>
      </w:pPr>
      <w:r w:rsidRPr="001B267D">
        <w:t>1</w:t>
      </w:r>
      <w:r w:rsidRPr="0033142D">
        <w:t>.</w:t>
      </w:r>
      <w:r w:rsidRPr="0033142D">
        <w:tab/>
        <w:t>arrête la position en première lecture figurant ci-après;</w:t>
      </w:r>
    </w:p>
    <w:p w14:paraId="5497B231" w14:textId="77777777" w:rsidR="001C2878" w:rsidRPr="0033142D" w:rsidRDefault="001C2878" w:rsidP="001C2878">
      <w:pPr>
        <w:pStyle w:val="NormalHanging12a"/>
      </w:pPr>
      <w:r w:rsidRPr="001B267D">
        <w:lastRenderedPageBreak/>
        <w:t>2</w:t>
      </w:r>
      <w:r w:rsidRPr="0033142D">
        <w:t>.</w:t>
      </w:r>
      <w:r w:rsidRPr="0033142D">
        <w:tab/>
        <w:t>demande à la Commission de le saisir à nouveau, si elle remplace, modifie de manière substantielle ou entend modifier de manière substantielle sa proposition;</w:t>
      </w:r>
    </w:p>
    <w:p w14:paraId="5A9BF2A4" w14:textId="77777777" w:rsidR="001C2878" w:rsidRPr="0033142D" w:rsidRDefault="001C2878" w:rsidP="001C2878">
      <w:pPr>
        <w:pStyle w:val="NormalHanging12a"/>
      </w:pPr>
      <w:r w:rsidRPr="001B267D">
        <w:t>3</w:t>
      </w:r>
      <w:r w:rsidRPr="0033142D">
        <w:t>.</w:t>
      </w:r>
      <w:r w:rsidRPr="0033142D">
        <w:tab/>
        <w:t>charge sa Présidente de transmettre la position du Parlement au Conseil et à la Commission ainsi qu’aux parlements nationaux.</w:t>
      </w:r>
    </w:p>
    <w:p w14:paraId="14D396BF" w14:textId="77777777" w:rsidR="00212CB5" w:rsidRDefault="00212CB5" w:rsidP="001C2878">
      <w:pPr>
        <w:pStyle w:val="NormalHanging12a"/>
        <w:sectPr w:rsidR="00212CB5" w:rsidSect="00D133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C7BD0C3" w14:textId="77777777" w:rsidR="009853B0" w:rsidRDefault="00212CB5" w:rsidP="009853B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1B267D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1B267D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1B267D"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1B267D">
        <w:rPr>
          <w:rFonts w:eastAsia="Calibri"/>
          <w:b/>
          <w:bCs/>
          <w:color w:val="000000"/>
          <w:szCs w:val="24"/>
        </w:rPr>
        <w:t>0244</w:t>
      </w:r>
    </w:p>
    <w:p w14:paraId="52425E55" w14:textId="723926F4" w:rsidR="009853B0" w:rsidRDefault="009853B0" w:rsidP="009853B0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 xml:space="preserve">Position du Parlement européen arrêtée en première lecture le </w:t>
      </w:r>
      <w:r w:rsidRPr="001B267D">
        <w:rPr>
          <w:rFonts w:eastAsia="Calibri"/>
          <w:b/>
          <w:szCs w:val="22"/>
          <w:lang w:eastAsia="en-US"/>
        </w:rPr>
        <w:t>23</w:t>
      </w:r>
      <w:r>
        <w:rPr>
          <w:rFonts w:eastAsia="Calibri"/>
          <w:b/>
          <w:szCs w:val="22"/>
          <w:lang w:eastAsia="en-US"/>
        </w:rPr>
        <w:t xml:space="preserve"> avril </w:t>
      </w:r>
      <w:r w:rsidRPr="001B267D">
        <w:rPr>
          <w:rFonts w:eastAsia="Calibri"/>
          <w:b/>
          <w:szCs w:val="22"/>
          <w:lang w:eastAsia="en-US"/>
        </w:rPr>
        <w:t>2024</w:t>
      </w:r>
      <w:r>
        <w:rPr>
          <w:rFonts w:eastAsia="Calibri"/>
          <w:b/>
          <w:szCs w:val="22"/>
          <w:lang w:eastAsia="en-US"/>
        </w:rPr>
        <w:t xml:space="preserve"> en vue de l’adoption de la directive</w:t>
      </w:r>
      <w:r w:rsidRPr="009853B0">
        <w:rPr>
          <w:rFonts w:eastAsia="Calibri"/>
          <w:b/>
          <w:szCs w:val="22"/>
          <w:lang w:eastAsia="en-US"/>
        </w:rPr>
        <w:t xml:space="preserve"> (UE) </w:t>
      </w:r>
      <w:r w:rsidRPr="001B267D">
        <w:rPr>
          <w:rFonts w:eastAsia="Calibri"/>
          <w:b/>
          <w:szCs w:val="22"/>
          <w:lang w:eastAsia="en-US"/>
        </w:rPr>
        <w:t>2024</w:t>
      </w:r>
      <w:r w:rsidRPr="009853B0">
        <w:rPr>
          <w:rFonts w:eastAsia="Calibri"/>
          <w:b/>
          <w:szCs w:val="22"/>
          <w:lang w:eastAsia="en-US"/>
        </w:rPr>
        <w:t xml:space="preserve">/... </w:t>
      </w:r>
      <w:r>
        <w:rPr>
          <w:rFonts w:eastAsia="Calibri"/>
          <w:b/>
          <w:szCs w:val="22"/>
          <w:lang w:eastAsia="en-US"/>
        </w:rPr>
        <w:t>du Parlement européen et du Conseil</w:t>
      </w:r>
      <w:bookmarkStart w:id="7" w:name="_Hlk150443673"/>
      <w:r>
        <w:rPr>
          <w:rFonts w:eastAsia="Calibri"/>
          <w:b/>
          <w:szCs w:val="22"/>
          <w:lang w:eastAsia="en-US"/>
        </w:rPr>
        <w:t xml:space="preserve"> </w:t>
      </w:r>
      <w:r w:rsidRPr="009853B0">
        <w:rPr>
          <w:rFonts w:eastAsia="Calibri"/>
          <w:b/>
          <w:szCs w:val="22"/>
          <w:lang w:eastAsia="en-US"/>
        </w:rPr>
        <w:t>modifiant la directive (UE) </w:t>
      </w:r>
      <w:r w:rsidRPr="001B267D">
        <w:rPr>
          <w:rFonts w:eastAsia="Calibri"/>
          <w:b/>
          <w:szCs w:val="22"/>
          <w:lang w:eastAsia="en-US"/>
        </w:rPr>
        <w:t>2019</w:t>
      </w:r>
      <w:r w:rsidRPr="009853B0">
        <w:rPr>
          <w:rFonts w:eastAsia="Calibri"/>
          <w:b/>
          <w:szCs w:val="22"/>
          <w:lang w:eastAsia="en-US"/>
        </w:rPr>
        <w:t>/</w:t>
      </w:r>
      <w:r w:rsidRPr="001B267D">
        <w:rPr>
          <w:rFonts w:eastAsia="Calibri"/>
          <w:b/>
          <w:szCs w:val="22"/>
          <w:lang w:eastAsia="en-US"/>
        </w:rPr>
        <w:t>1153</w:t>
      </w:r>
      <w:r w:rsidRPr="009853B0">
        <w:rPr>
          <w:rFonts w:eastAsia="Calibri"/>
          <w:b/>
          <w:szCs w:val="22"/>
          <w:lang w:eastAsia="en-US"/>
        </w:rPr>
        <w:t xml:space="preserve"> en ce qui concerne l’accès des autorités compétentes aux registres centralisés des comptes bancaires par l’intermédiaire du système d'interconnexion </w:t>
      </w:r>
      <w:r w:rsidRPr="00E27204">
        <w:rPr>
          <w:rFonts w:eastAsia="Calibri"/>
          <w:b/>
          <w:szCs w:val="22"/>
          <w:lang w:eastAsia="en-US"/>
        </w:rPr>
        <w:t>et les mesures techniques visant à faciliter l’utilisation des relevés de transactions</w:t>
      </w:r>
    </w:p>
    <w:p w14:paraId="06C6D632" w14:textId="6B1EBEA0" w:rsidR="00E27204" w:rsidRDefault="00E27204" w:rsidP="00E27204">
      <w:pPr>
        <w:pStyle w:val="NormalWeb"/>
        <w:spacing w:before="360" w:beforeAutospacing="0" w:after="240" w:afterAutospacing="0"/>
        <w:rPr>
          <w:lang w:val="fr-FR"/>
        </w:rPr>
      </w:pPr>
      <w:r>
        <w:rPr>
          <w:i/>
          <w:iCs/>
          <w:lang w:val="fr-FR"/>
        </w:rPr>
        <w:t>(Étant donné l'accord intervenu entre le Parlement et le Conseil, la position du Parlement correspond à l'acte législat</w:t>
      </w:r>
      <w:r>
        <w:rPr>
          <w:i/>
          <w:iCs/>
          <w:lang w:val="fr-FR"/>
        </w:rPr>
        <w:t>if final, la directive (UE) 2024/1654</w:t>
      </w:r>
      <w:r>
        <w:rPr>
          <w:i/>
          <w:iCs/>
          <w:lang w:val="fr-FR"/>
        </w:rPr>
        <w:t>.)</w:t>
      </w:r>
      <w:bookmarkStart w:id="8" w:name="_GoBack"/>
      <w:bookmarkEnd w:id="8"/>
    </w:p>
    <w:bookmarkEnd w:id="7"/>
    <w:sectPr w:rsidR="00E27204" w:rsidSect="00D1336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456AF" w14:textId="77777777" w:rsidR="007051CE" w:rsidRPr="00D13366" w:rsidRDefault="007051CE">
      <w:r w:rsidRPr="00D13366">
        <w:separator/>
      </w:r>
    </w:p>
  </w:endnote>
  <w:endnote w:type="continuationSeparator" w:id="0">
    <w:p w14:paraId="0147B76E" w14:textId="77777777" w:rsidR="007051CE" w:rsidRPr="00D13366" w:rsidRDefault="007051CE">
      <w:r w:rsidRPr="00D133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0515B" w14:textId="77777777" w:rsidR="00064002" w:rsidRPr="00D133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1A05A" w14:textId="77777777" w:rsidR="00064002" w:rsidRPr="00D133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15138" w14:textId="77777777" w:rsidR="00064002" w:rsidRPr="00D133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2D8CC" w14:textId="77777777" w:rsidR="007051CE" w:rsidRPr="00D13366" w:rsidRDefault="007051CE">
      <w:r w:rsidRPr="00D13366">
        <w:separator/>
      </w:r>
    </w:p>
  </w:footnote>
  <w:footnote w:type="continuationSeparator" w:id="0">
    <w:p w14:paraId="4E3AD1FD" w14:textId="77777777" w:rsidR="007051CE" w:rsidRPr="00D13366" w:rsidRDefault="007051CE">
      <w:r w:rsidRPr="00D133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7BFCC" w14:textId="77777777" w:rsidR="00064002" w:rsidRPr="00D133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60471" w14:textId="77777777" w:rsidR="00064002" w:rsidRPr="00D133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58C57" w14:textId="77777777" w:rsidR="00064002" w:rsidRPr="00D133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FR"/>
    <w:docVar w:name="dvnumam" w:val="10"/>
    <w:docVar w:name="dvpe" w:val="734.352"/>
    <w:docVar w:name="dvrapporteur" w:val="Rapporteur: "/>
    <w:docVar w:name="dvstar" w:val="***I"/>
    <w:docVar w:name="dvtitre" w:val="Résolution législative du Parlement européen du ... 2024 sur la proposition de directive du Parlement européen et du Conseil modifiant la directive (UE) 2019/1153 du Parlement européen et du Conseil en ce qui concerne l’accès des autorités compétentes aux registres centralisés des comptes bancaires par l’intermédiaire du point d’accès unique(COM(2021)0429 – C9-0338/2022 – 2021/0244(COD))"/>
  </w:docVars>
  <w:rsids>
    <w:rsidRoot w:val="007051CE"/>
    <w:rsid w:val="00002272"/>
    <w:rsid w:val="00064002"/>
    <w:rsid w:val="000677B9"/>
    <w:rsid w:val="000831BA"/>
    <w:rsid w:val="000A42CC"/>
    <w:rsid w:val="000E7DD9"/>
    <w:rsid w:val="000F7998"/>
    <w:rsid w:val="0010095E"/>
    <w:rsid w:val="00125B37"/>
    <w:rsid w:val="00162307"/>
    <w:rsid w:val="00173A6F"/>
    <w:rsid w:val="00187494"/>
    <w:rsid w:val="001B267D"/>
    <w:rsid w:val="001C2878"/>
    <w:rsid w:val="001F32AE"/>
    <w:rsid w:val="00212CB5"/>
    <w:rsid w:val="00216C03"/>
    <w:rsid w:val="002767FF"/>
    <w:rsid w:val="002B18FE"/>
    <w:rsid w:val="002B5493"/>
    <w:rsid w:val="002F4810"/>
    <w:rsid w:val="0033142D"/>
    <w:rsid w:val="00343214"/>
    <w:rsid w:val="00361C00"/>
    <w:rsid w:val="00395FA1"/>
    <w:rsid w:val="003E15D4"/>
    <w:rsid w:val="003E3E9A"/>
    <w:rsid w:val="00411CCE"/>
    <w:rsid w:val="0041666E"/>
    <w:rsid w:val="00421060"/>
    <w:rsid w:val="00471C19"/>
    <w:rsid w:val="004867E3"/>
    <w:rsid w:val="00490CC4"/>
    <w:rsid w:val="00494A28"/>
    <w:rsid w:val="004C0004"/>
    <w:rsid w:val="004C5D52"/>
    <w:rsid w:val="0050519A"/>
    <w:rsid w:val="005072A1"/>
    <w:rsid w:val="00514517"/>
    <w:rsid w:val="00545827"/>
    <w:rsid w:val="00560270"/>
    <w:rsid w:val="005778F6"/>
    <w:rsid w:val="005C2568"/>
    <w:rsid w:val="006037C0"/>
    <w:rsid w:val="006631B6"/>
    <w:rsid w:val="00680577"/>
    <w:rsid w:val="006F74FA"/>
    <w:rsid w:val="007051CE"/>
    <w:rsid w:val="007202F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C0A"/>
    <w:rsid w:val="00817416"/>
    <w:rsid w:val="00842779"/>
    <w:rsid w:val="00865F67"/>
    <w:rsid w:val="00881A7B"/>
    <w:rsid w:val="008840E5"/>
    <w:rsid w:val="00887B3E"/>
    <w:rsid w:val="008B0B8C"/>
    <w:rsid w:val="008C2A69"/>
    <w:rsid w:val="008C2AC6"/>
    <w:rsid w:val="00930C23"/>
    <w:rsid w:val="0093193B"/>
    <w:rsid w:val="009509D8"/>
    <w:rsid w:val="00950B64"/>
    <w:rsid w:val="009745DB"/>
    <w:rsid w:val="00981893"/>
    <w:rsid w:val="009853B0"/>
    <w:rsid w:val="009B7D9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366"/>
    <w:rsid w:val="00D4534E"/>
    <w:rsid w:val="00D56C11"/>
    <w:rsid w:val="00D834A0"/>
    <w:rsid w:val="00D872DF"/>
    <w:rsid w:val="00D91E21"/>
    <w:rsid w:val="00DA7FCD"/>
    <w:rsid w:val="00E27204"/>
    <w:rsid w:val="00E365E1"/>
    <w:rsid w:val="00E820A4"/>
    <w:rsid w:val="00EB006A"/>
    <w:rsid w:val="00EB4772"/>
    <w:rsid w:val="00ED169E"/>
    <w:rsid w:val="00ED4235"/>
    <w:rsid w:val="00EF53F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A15363"/>
  <w15:chartTrackingRefBased/>
  <w15:docId w15:val="{6575669F-C0FA-43BE-B0F7-15D81E59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C287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1C2878"/>
    <w:pPr>
      <w:spacing w:after="120"/>
    </w:pPr>
  </w:style>
  <w:style w:type="paragraph" w:customStyle="1" w:styleId="PageHeading">
    <w:name w:val="PageHeading"/>
    <w:basedOn w:val="Normal"/>
    <w:rsid w:val="001C287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C2878"/>
    <w:rPr>
      <w:b/>
    </w:rPr>
  </w:style>
  <w:style w:type="paragraph" w:customStyle="1" w:styleId="AmJustText">
    <w:name w:val="AmJustText"/>
    <w:basedOn w:val="Normal"/>
    <w:rsid w:val="001C287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C2878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1C2878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1C28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C2878"/>
    <w:rPr>
      <w:sz w:val="24"/>
      <w:lang w:val="fr-FR"/>
    </w:rPr>
  </w:style>
  <w:style w:type="paragraph" w:customStyle="1" w:styleId="AmColumnHeading">
    <w:name w:val="AmColumnHeading"/>
    <w:basedOn w:val="Normal"/>
    <w:rsid w:val="001C287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C28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C2878"/>
    <w:pPr>
      <w:spacing w:before="240"/>
    </w:pPr>
    <w:rPr>
      <w:b/>
    </w:rPr>
  </w:style>
  <w:style w:type="paragraph" w:customStyle="1" w:styleId="EPFooter">
    <w:name w:val="EPFooter"/>
    <w:basedOn w:val="Normal"/>
    <w:rsid w:val="001C287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C2878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1C2878"/>
    <w:rPr>
      <w:b/>
      <w:sz w:val="24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1C2878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1C2878"/>
    <w:pPr>
      <w:spacing w:after="120"/>
    </w:pPr>
  </w:style>
  <w:style w:type="paragraph" w:customStyle="1" w:styleId="ColumnHeading">
    <w:name w:val="ColumnHeading"/>
    <w:basedOn w:val="Normal"/>
    <w:rsid w:val="001C2878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1C2878"/>
    <w:rPr>
      <w:b/>
      <w:sz w:val="24"/>
      <w:lang w:val="fr-FR"/>
    </w:rPr>
  </w:style>
  <w:style w:type="paragraph" w:customStyle="1" w:styleId="Normal12a">
    <w:name w:val="Normal12a"/>
    <w:basedOn w:val="Normal"/>
    <w:rsid w:val="001C2878"/>
    <w:pPr>
      <w:spacing w:after="240"/>
    </w:pPr>
  </w:style>
  <w:style w:type="paragraph" w:customStyle="1" w:styleId="AmHeadingPA">
    <w:name w:val="AmHeadingPA"/>
    <w:basedOn w:val="Normal"/>
    <w:next w:val="Normal"/>
    <w:rsid w:val="001C287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1C287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C2878"/>
    <w:rPr>
      <w:sz w:val="24"/>
      <w:lang w:val="fr-FR"/>
    </w:rPr>
  </w:style>
  <w:style w:type="character" w:styleId="CommentReference">
    <w:name w:val="annotation reference"/>
    <w:basedOn w:val="DefaultParagraphFont"/>
    <w:rsid w:val="007E7C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7C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7C0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E7C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7C0A"/>
    <w:rPr>
      <w:b/>
      <w:bCs/>
      <w:lang w:val="fr-FR"/>
    </w:rPr>
  </w:style>
  <w:style w:type="paragraph" w:styleId="Revision">
    <w:name w:val="Revision"/>
    <w:hidden/>
    <w:uiPriority w:val="99"/>
    <w:semiHidden/>
    <w:rsid w:val="007E7C0A"/>
    <w:rPr>
      <w:sz w:val="24"/>
      <w:lang w:val="fr-FR"/>
    </w:rPr>
  </w:style>
  <w:style w:type="paragraph" w:styleId="BalloonText">
    <w:name w:val="Balloon Text"/>
    <w:basedOn w:val="Normal"/>
    <w:link w:val="BalloonTextChar"/>
    <w:rsid w:val="007E7C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7C0A"/>
    <w:rPr>
      <w:rFonts w:ascii="Segoe UI" w:hAnsi="Segoe UI" w:cs="Segoe UI"/>
      <w:sz w:val="18"/>
      <w:szCs w:val="18"/>
      <w:lang w:val="fr-FR"/>
    </w:rPr>
  </w:style>
  <w:style w:type="paragraph" w:styleId="NormalWeb">
    <w:name w:val="Normal (Web)"/>
    <w:basedOn w:val="Normal"/>
    <w:uiPriority w:val="99"/>
    <w:unhideWhenUsed/>
    <w:rsid w:val="00E27204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8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DB2BF-85EF-469E-85D8-E94734E20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368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2</cp:revision>
  <cp:lastPrinted>2004-11-19T15:42:00Z</cp:lastPrinted>
  <dcterms:created xsi:type="dcterms:W3CDTF">2024-09-09T14:07:00Z</dcterms:created>
  <dcterms:modified xsi:type="dcterms:W3CDTF">2024-09-09T14:07:00Z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