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D1B" w14:paraId="71EB7083" w14:textId="77777777" w:rsidTr="0010095E">
        <w:trPr>
          <w:trHeight w:hRule="exact" w:val="1418"/>
        </w:trPr>
        <w:tc>
          <w:tcPr>
            <w:tcW w:w="6804" w:type="dxa"/>
            <w:shd w:val="clear" w:color="auto" w:fill="auto"/>
            <w:vAlign w:val="center"/>
          </w:tcPr>
          <w:p w14:paraId="0F9A4D7C" w14:textId="77777777" w:rsidR="00751A4A" w:rsidRPr="00563D1B" w:rsidRDefault="0091293E" w:rsidP="0010095E">
            <w:pPr>
              <w:pStyle w:val="EPName"/>
            </w:pPr>
            <w:r w:rsidRPr="00563D1B">
              <w:t>Europa-Parlamentet</w:t>
            </w:r>
          </w:p>
          <w:p w14:paraId="2D9B53BB" w14:textId="77777777" w:rsidR="00751A4A" w:rsidRPr="00563D1B" w:rsidRDefault="00817416" w:rsidP="00756632">
            <w:pPr>
              <w:pStyle w:val="EPTerm"/>
              <w:rPr>
                <w:rStyle w:val="HideTWBExt"/>
                <w:noProof w:val="0"/>
                <w:vanish w:val="0"/>
                <w:color w:val="auto"/>
              </w:rPr>
            </w:pPr>
            <w:r w:rsidRPr="009D4164">
              <w:t>2019</w:t>
            </w:r>
            <w:r w:rsidRPr="00563D1B">
              <w:t>-</w:t>
            </w:r>
            <w:r w:rsidRPr="009D4164">
              <w:t>2024</w:t>
            </w:r>
          </w:p>
        </w:tc>
        <w:tc>
          <w:tcPr>
            <w:tcW w:w="2268" w:type="dxa"/>
            <w:shd w:val="clear" w:color="auto" w:fill="auto"/>
          </w:tcPr>
          <w:p w14:paraId="3AE803ED" w14:textId="77777777" w:rsidR="00751A4A" w:rsidRPr="00563D1B" w:rsidRDefault="00187494" w:rsidP="0010095E">
            <w:pPr>
              <w:pStyle w:val="EPLogo"/>
            </w:pPr>
            <w:r w:rsidRPr="00563D1B">
              <w:rPr>
                <w:noProof/>
                <w:lang w:eastAsia="da-DK"/>
              </w:rPr>
              <w:drawing>
                <wp:inline distT="0" distB="0" distL="0" distR="0" wp14:anchorId="36F3C3E7" wp14:editId="40AF5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48547D" w14:textId="77777777" w:rsidR="00D058B8" w:rsidRPr="00563D1B" w:rsidRDefault="00D058B8" w:rsidP="004C5D52">
      <w:pPr>
        <w:pStyle w:val="LineTop"/>
      </w:pPr>
    </w:p>
    <w:p w14:paraId="21DE25D7" w14:textId="77777777" w:rsidR="00680577" w:rsidRPr="00563D1B" w:rsidRDefault="0091293E" w:rsidP="00680577">
      <w:pPr>
        <w:pStyle w:val="EPBodyTA1"/>
      </w:pPr>
      <w:r w:rsidRPr="00563D1B">
        <w:t>VEDTAGNE TEKSTER</w:t>
      </w:r>
    </w:p>
    <w:p w14:paraId="625E6845" w14:textId="77777777" w:rsidR="00D058B8" w:rsidRPr="00563D1B" w:rsidRDefault="00D058B8" w:rsidP="00D058B8">
      <w:pPr>
        <w:pStyle w:val="LineBottom"/>
      </w:pPr>
    </w:p>
    <w:p w14:paraId="5AD2FDA0" w14:textId="06194447" w:rsidR="0091293E" w:rsidRPr="00563D1B" w:rsidRDefault="0091293E" w:rsidP="0091293E">
      <w:pPr>
        <w:pStyle w:val="ATHeading1"/>
      </w:pPr>
      <w:bookmarkStart w:id="0" w:name="TANumber"/>
      <w:r w:rsidRPr="00563D1B">
        <w:t>P</w:t>
      </w:r>
      <w:r w:rsidRPr="009D4164">
        <w:t>9</w:t>
      </w:r>
      <w:r w:rsidRPr="00563D1B">
        <w:t>_TA(</w:t>
      </w:r>
      <w:r w:rsidRPr="009D4164">
        <w:t>2024</w:t>
      </w:r>
      <w:r w:rsidRPr="00563D1B">
        <w:t>)</w:t>
      </w:r>
      <w:r w:rsidRPr="009D4164">
        <w:t>0</w:t>
      </w:r>
      <w:bookmarkEnd w:id="0"/>
      <w:r w:rsidR="00D9318D" w:rsidRPr="009D4164">
        <w:t>304</w:t>
      </w:r>
    </w:p>
    <w:p w14:paraId="6B58C5CE" w14:textId="77777777" w:rsidR="0091293E" w:rsidRPr="00563D1B" w:rsidRDefault="00852D04" w:rsidP="0091293E">
      <w:pPr>
        <w:pStyle w:val="ATHeading2"/>
      </w:pPr>
      <w:r>
        <w:t>M</w:t>
      </w:r>
      <w:r w:rsidRPr="00563D1B">
        <w:t xml:space="preserve">idlertidige handelsliberaliserende foranstaltninger som supplement til de handelsmæssige indrømmelser for ukrainske varer i henhold til associeringsaftalen mellem </w:t>
      </w:r>
      <w:r>
        <w:t>EU/Euratom/</w:t>
      </w:r>
      <w:r w:rsidRPr="00563D1B">
        <w:t>Ukraine</w:t>
      </w:r>
    </w:p>
    <w:p w14:paraId="47A95224" w14:textId="77777777" w:rsidR="0091293E" w:rsidRPr="00563D1B" w:rsidRDefault="0091293E" w:rsidP="0091293E">
      <w:pPr>
        <w:rPr>
          <w:i/>
          <w:vanish/>
        </w:rPr>
      </w:pPr>
      <w:r w:rsidRPr="00563D1B">
        <w:rPr>
          <w:i/>
        </w:rPr>
        <w:fldChar w:fldCharType="begin"/>
      </w:r>
      <w:r w:rsidRPr="00563D1B">
        <w:rPr>
          <w:i/>
        </w:rPr>
        <w:instrText xml:space="preserve"> TC"(</w:instrText>
      </w:r>
      <w:bookmarkStart w:id="1" w:name="DocNumber"/>
      <w:r w:rsidRPr="00563D1B">
        <w:rPr>
          <w:i/>
        </w:rPr>
        <w:instrText>A</w:instrText>
      </w:r>
      <w:r w:rsidRPr="009D4164">
        <w:rPr>
          <w:i/>
        </w:rPr>
        <w:instrText>9</w:instrText>
      </w:r>
      <w:r w:rsidRPr="00563D1B">
        <w:rPr>
          <w:i/>
        </w:rPr>
        <w:instrText>-</w:instrText>
      </w:r>
      <w:r w:rsidRPr="009D4164">
        <w:rPr>
          <w:i/>
        </w:rPr>
        <w:instrText>0077</w:instrText>
      </w:r>
      <w:r w:rsidRPr="00563D1B">
        <w:rPr>
          <w:i/>
        </w:rPr>
        <w:instrText>/</w:instrText>
      </w:r>
      <w:r w:rsidRPr="009D4164">
        <w:rPr>
          <w:i/>
        </w:rPr>
        <w:instrText>2024</w:instrText>
      </w:r>
      <w:bookmarkEnd w:id="1"/>
      <w:r w:rsidRPr="00563D1B">
        <w:rPr>
          <w:i/>
        </w:rPr>
        <w:instrText xml:space="preserve"> - Ordfører: Sandra Kalniete)"\l</w:instrText>
      </w:r>
      <w:r w:rsidRPr="009D4164">
        <w:rPr>
          <w:i/>
        </w:rPr>
        <w:instrText>3</w:instrText>
      </w:r>
      <w:r w:rsidRPr="00563D1B">
        <w:rPr>
          <w:i/>
        </w:rPr>
        <w:instrText xml:space="preserve"> \n&gt; \* MERGEFORMAT </w:instrText>
      </w:r>
      <w:r w:rsidRPr="00563D1B">
        <w:rPr>
          <w:i/>
        </w:rPr>
        <w:fldChar w:fldCharType="end"/>
      </w:r>
    </w:p>
    <w:p w14:paraId="45C114E8" w14:textId="77777777" w:rsidR="0091293E" w:rsidRPr="00563D1B" w:rsidRDefault="0091293E" w:rsidP="0091293E">
      <w:pPr>
        <w:rPr>
          <w:vanish/>
        </w:rPr>
      </w:pPr>
      <w:bookmarkStart w:id="2" w:name="Commission"/>
      <w:r w:rsidRPr="00563D1B">
        <w:rPr>
          <w:vanish/>
        </w:rPr>
        <w:t>Udvalget om International Handel</w:t>
      </w:r>
      <w:bookmarkEnd w:id="2"/>
    </w:p>
    <w:p w14:paraId="1B4BDC5A" w14:textId="77777777" w:rsidR="0091293E" w:rsidRPr="00563D1B" w:rsidRDefault="0091293E" w:rsidP="0091293E">
      <w:pPr>
        <w:rPr>
          <w:vanish/>
        </w:rPr>
      </w:pPr>
      <w:bookmarkStart w:id="3" w:name="PE"/>
      <w:r w:rsidRPr="00563D1B">
        <w:rPr>
          <w:vanish/>
        </w:rPr>
        <w:t>PE</w:t>
      </w:r>
      <w:r w:rsidRPr="009D4164">
        <w:rPr>
          <w:vanish/>
        </w:rPr>
        <w:t>758</w:t>
      </w:r>
      <w:r w:rsidRPr="00563D1B">
        <w:rPr>
          <w:vanish/>
        </w:rPr>
        <w:t>.</w:t>
      </w:r>
      <w:r w:rsidRPr="009D4164">
        <w:rPr>
          <w:vanish/>
        </w:rPr>
        <w:t>861</w:t>
      </w:r>
      <w:bookmarkEnd w:id="3"/>
    </w:p>
    <w:p w14:paraId="48513AE4" w14:textId="15BA10EC" w:rsidR="0091293E" w:rsidRPr="00563D1B" w:rsidRDefault="0091293E" w:rsidP="0091293E">
      <w:pPr>
        <w:pStyle w:val="ATHeading3"/>
      </w:pPr>
      <w:bookmarkStart w:id="4" w:name="Sujet"/>
      <w:r w:rsidRPr="00563D1B">
        <w:t xml:space="preserve">Europa-Parlamentets lovgivningsmæssige beslutning af </w:t>
      </w:r>
      <w:r w:rsidR="00647256" w:rsidRPr="009D4164">
        <w:t>23</w:t>
      </w:r>
      <w:r w:rsidRPr="00563D1B">
        <w:t>.</w:t>
      </w:r>
      <w:r w:rsidR="003162FB">
        <w:t xml:space="preserve"> april</w:t>
      </w:r>
      <w:r w:rsidRPr="00563D1B">
        <w:t xml:space="preserve"> </w:t>
      </w:r>
      <w:r w:rsidRPr="009D4164">
        <w:t>2024</w:t>
      </w:r>
      <w:r w:rsidRPr="00563D1B">
        <w:t xml:space="preserve"> om forslag til Europa-Parlamentets og Rådets forordning om midlertidige handelsliberaliserende foranstaltninger som supplement til de handelsmæssige indrømmelser for ukrainske varer i henhold til associeringsaftalen mellem Den Europæiske Union og Det Europæiske Atomenergifællesskab og deres medlemsstater på den ene side og Ukraine på den anden side</w:t>
      </w:r>
      <w:bookmarkEnd w:id="4"/>
      <w:r w:rsidRPr="00563D1B">
        <w:t xml:space="preserve"> </w:t>
      </w:r>
      <w:bookmarkStart w:id="5" w:name="References"/>
      <w:r w:rsidRPr="00563D1B">
        <w:t>(COM(</w:t>
      </w:r>
      <w:r w:rsidRPr="009D4164">
        <w:t>2024</w:t>
      </w:r>
      <w:r w:rsidRPr="00563D1B">
        <w:t>)</w:t>
      </w:r>
      <w:r w:rsidRPr="009D4164">
        <w:t>0050</w:t>
      </w:r>
      <w:r w:rsidRPr="00563D1B">
        <w:t xml:space="preserve"> – C</w:t>
      </w:r>
      <w:r w:rsidRPr="009D4164">
        <w:t>9</w:t>
      </w:r>
      <w:r w:rsidRPr="00563D1B">
        <w:t>-</w:t>
      </w:r>
      <w:r w:rsidRPr="009D4164">
        <w:t>0021</w:t>
      </w:r>
      <w:r w:rsidRPr="00563D1B">
        <w:t>/</w:t>
      </w:r>
      <w:r w:rsidRPr="009D4164">
        <w:t>2024</w:t>
      </w:r>
      <w:r w:rsidRPr="00563D1B">
        <w:t xml:space="preserve"> – </w:t>
      </w:r>
      <w:r w:rsidRPr="009D4164">
        <w:t>2024</w:t>
      </w:r>
      <w:r w:rsidRPr="00563D1B">
        <w:t>/</w:t>
      </w:r>
      <w:r w:rsidRPr="009D4164">
        <w:t>0028</w:t>
      </w:r>
      <w:r w:rsidRPr="00563D1B">
        <w:t>(COD))</w:t>
      </w:r>
      <w:bookmarkEnd w:id="5"/>
    </w:p>
    <w:p w14:paraId="7CE9BE97" w14:textId="77777777" w:rsidR="00E634F3" w:rsidRPr="00563D1B" w:rsidRDefault="00E634F3" w:rsidP="00E634F3">
      <w:pPr>
        <w:pStyle w:val="NormalBold"/>
      </w:pPr>
      <w:bookmarkStart w:id="6" w:name="TextBodyBegin"/>
      <w:bookmarkEnd w:id="6"/>
      <w:r w:rsidRPr="00563D1B">
        <w:t>(Almindelig lovgivningsprocedure: førstebehandling)</w:t>
      </w:r>
    </w:p>
    <w:p w14:paraId="2E419BAC" w14:textId="77777777" w:rsidR="00E634F3" w:rsidRPr="00563D1B" w:rsidRDefault="00E634F3" w:rsidP="00E634F3">
      <w:pPr>
        <w:pStyle w:val="EPComma"/>
      </w:pPr>
      <w:r w:rsidRPr="00563D1B">
        <w:rPr>
          <w:i/>
        </w:rPr>
        <w:t>Europa-Parlamentet</w:t>
      </w:r>
      <w:r w:rsidRPr="00563D1B">
        <w:t>,</w:t>
      </w:r>
    </w:p>
    <w:p w14:paraId="25FDCFDB" w14:textId="77777777" w:rsidR="00E634F3" w:rsidRPr="00563D1B" w:rsidRDefault="00E634F3" w:rsidP="00E634F3">
      <w:pPr>
        <w:pStyle w:val="NormalHanging12a"/>
      </w:pPr>
      <w:r w:rsidRPr="00563D1B">
        <w:t>–</w:t>
      </w:r>
      <w:r w:rsidRPr="00563D1B">
        <w:tab/>
        <w:t>der henviser til Kommissionens forslag til Europa-Parlamentet og Rådet (COM(</w:t>
      </w:r>
      <w:r w:rsidRPr="009D4164">
        <w:t>2024</w:t>
      </w:r>
      <w:r w:rsidRPr="00563D1B">
        <w:t>)</w:t>
      </w:r>
      <w:r w:rsidRPr="009D4164">
        <w:t>0050</w:t>
      </w:r>
      <w:r w:rsidRPr="00563D1B">
        <w:t>),</w:t>
      </w:r>
    </w:p>
    <w:p w14:paraId="151BCB25" w14:textId="77777777" w:rsidR="00E634F3" w:rsidRPr="00563D1B" w:rsidRDefault="00E634F3" w:rsidP="00E634F3">
      <w:pPr>
        <w:pStyle w:val="NormalHanging12a"/>
      </w:pPr>
      <w:r w:rsidRPr="00563D1B">
        <w:t>–</w:t>
      </w:r>
      <w:r w:rsidRPr="00563D1B">
        <w:tab/>
        <w:t>der henviser til artikel </w:t>
      </w:r>
      <w:r w:rsidRPr="009D4164">
        <w:t>294</w:t>
      </w:r>
      <w:r w:rsidRPr="00563D1B">
        <w:t>, stk. </w:t>
      </w:r>
      <w:r w:rsidRPr="009D4164">
        <w:t>2</w:t>
      </w:r>
      <w:r w:rsidRPr="00563D1B">
        <w:t>, og artikel </w:t>
      </w:r>
      <w:r w:rsidRPr="009D4164">
        <w:t>207</w:t>
      </w:r>
      <w:r w:rsidRPr="00563D1B">
        <w:t>, stk. </w:t>
      </w:r>
      <w:r w:rsidRPr="009D4164">
        <w:t>2</w:t>
      </w:r>
      <w:r w:rsidRPr="00563D1B">
        <w:t>, i traktaten om Den Europæiske Unions funktionsmåde, på grundlag af hvilke Kommissionen har forelagt forslaget for Parlamentet (C</w:t>
      </w:r>
      <w:r w:rsidRPr="009D4164">
        <w:t>9</w:t>
      </w:r>
      <w:r w:rsidRPr="00563D1B">
        <w:noBreakHyphen/>
      </w:r>
      <w:r w:rsidRPr="009D4164">
        <w:t>0021</w:t>
      </w:r>
      <w:r w:rsidRPr="00563D1B">
        <w:t>/</w:t>
      </w:r>
      <w:r w:rsidRPr="009D4164">
        <w:t>2024</w:t>
      </w:r>
      <w:r w:rsidRPr="00563D1B">
        <w:t>),</w:t>
      </w:r>
    </w:p>
    <w:p w14:paraId="664D01F6" w14:textId="77777777" w:rsidR="00E634F3" w:rsidRPr="00563D1B" w:rsidRDefault="00E634F3" w:rsidP="00E634F3">
      <w:pPr>
        <w:pStyle w:val="NormalHanging12a"/>
      </w:pPr>
      <w:r w:rsidRPr="00563D1B">
        <w:t>–</w:t>
      </w:r>
      <w:r w:rsidRPr="00563D1B">
        <w:tab/>
        <w:t>der henviser til artikel </w:t>
      </w:r>
      <w:r w:rsidRPr="009D4164">
        <w:t>294</w:t>
      </w:r>
      <w:r w:rsidRPr="00563D1B">
        <w:t>, stk. </w:t>
      </w:r>
      <w:r w:rsidRPr="009D4164">
        <w:t>3</w:t>
      </w:r>
      <w:r w:rsidRPr="00563D1B">
        <w:t>, i traktaten om Den Europæiske Unions funktionsmåde,</w:t>
      </w:r>
    </w:p>
    <w:p w14:paraId="33512B0F" w14:textId="77777777" w:rsidR="00D86B4F" w:rsidRDefault="00D86B4F" w:rsidP="00D86B4F">
      <w:pPr>
        <w:pStyle w:val="NormalHanging12a"/>
      </w:pPr>
      <w:r>
        <w:t>–</w:t>
      </w:r>
      <w:r>
        <w:tab/>
      </w:r>
      <w:r>
        <w:rPr>
          <w:noProof/>
          <w:szCs w:val="24"/>
        </w:rPr>
        <w:t xml:space="preserve">der henviser til, at det kompetente udvalg har godkendt den foreløbige aftale i henhold til forretningsordenens artikel </w:t>
      </w:r>
      <w:r w:rsidRPr="009D4164">
        <w:rPr>
          <w:noProof/>
          <w:szCs w:val="24"/>
        </w:rPr>
        <w:t>74</w:t>
      </w:r>
      <w:r>
        <w:rPr>
          <w:noProof/>
          <w:szCs w:val="24"/>
        </w:rPr>
        <w:t xml:space="preserve">, stk. </w:t>
      </w:r>
      <w:r w:rsidRPr="009D4164">
        <w:rPr>
          <w:noProof/>
          <w:szCs w:val="24"/>
        </w:rPr>
        <w:t>4</w:t>
      </w:r>
      <w:r>
        <w:rPr>
          <w:noProof/>
          <w:szCs w:val="24"/>
        </w:rPr>
        <w:t xml:space="preserve">, og at Rådets repræsentant ved skrivelse af </w:t>
      </w:r>
      <w:r w:rsidRPr="009D4164">
        <w:rPr>
          <w:noProof/>
          <w:szCs w:val="24"/>
        </w:rPr>
        <w:t>8</w:t>
      </w:r>
      <w:r>
        <w:rPr>
          <w:noProof/>
          <w:szCs w:val="24"/>
        </w:rPr>
        <w:t xml:space="preserve">. april </w:t>
      </w:r>
      <w:r w:rsidRPr="009D4164">
        <w:rPr>
          <w:noProof/>
          <w:szCs w:val="24"/>
        </w:rPr>
        <w:t>2024</w:t>
      </w:r>
      <w:r>
        <w:rPr>
          <w:noProof/>
          <w:szCs w:val="24"/>
        </w:rPr>
        <w:t xml:space="preserve"> forpligtede sig til at godkende Europa-Parlamentets holdning, jf. artikel </w:t>
      </w:r>
      <w:r w:rsidRPr="009D4164">
        <w:rPr>
          <w:noProof/>
          <w:szCs w:val="24"/>
        </w:rPr>
        <w:t>294</w:t>
      </w:r>
      <w:r>
        <w:rPr>
          <w:noProof/>
          <w:szCs w:val="24"/>
        </w:rPr>
        <w:t xml:space="preserve">, stk. </w:t>
      </w:r>
      <w:r w:rsidRPr="009D4164">
        <w:rPr>
          <w:noProof/>
          <w:szCs w:val="24"/>
        </w:rPr>
        <w:t>4</w:t>
      </w:r>
      <w:r>
        <w:rPr>
          <w:noProof/>
          <w:szCs w:val="24"/>
        </w:rPr>
        <w:t>, i traktaten om Den Europæiske Unions funktionsmåde</w:t>
      </w:r>
      <w:r>
        <w:t xml:space="preserve">, </w:t>
      </w:r>
    </w:p>
    <w:p w14:paraId="4BEDBF7B" w14:textId="77777777" w:rsidR="00E634F3" w:rsidRPr="00563D1B" w:rsidRDefault="00E634F3" w:rsidP="00E634F3">
      <w:pPr>
        <w:pStyle w:val="NormalHanging12a"/>
      </w:pPr>
      <w:r w:rsidRPr="00563D1B">
        <w:t>–</w:t>
      </w:r>
      <w:r w:rsidRPr="00563D1B">
        <w:tab/>
        <w:t>der henviser til forretningsordenens artikel </w:t>
      </w:r>
      <w:r w:rsidRPr="009D4164">
        <w:t>59</w:t>
      </w:r>
      <w:r w:rsidRPr="00563D1B">
        <w:t>,</w:t>
      </w:r>
    </w:p>
    <w:p w14:paraId="7AD7B423" w14:textId="77777777" w:rsidR="00E634F3" w:rsidRPr="00563D1B" w:rsidRDefault="00E634F3" w:rsidP="00E634F3">
      <w:pPr>
        <w:pStyle w:val="NormalHanging12a"/>
      </w:pPr>
      <w:r w:rsidRPr="00563D1B">
        <w:t>–</w:t>
      </w:r>
      <w:r w:rsidRPr="00563D1B">
        <w:tab/>
        <w:t>der henviser til udtalelse fra Udvalget om Landbrug og Udvikling af Landdistrikter,</w:t>
      </w:r>
    </w:p>
    <w:p w14:paraId="4026967B" w14:textId="77777777" w:rsidR="00E634F3" w:rsidRPr="00563D1B" w:rsidRDefault="00E634F3" w:rsidP="00E634F3">
      <w:pPr>
        <w:pStyle w:val="NormalHanging12a"/>
      </w:pPr>
      <w:r w:rsidRPr="00563D1B">
        <w:t>–</w:t>
      </w:r>
      <w:r w:rsidRPr="00563D1B">
        <w:tab/>
        <w:t>der henviser til betænkning fra Udvalget om International Handel (A</w:t>
      </w:r>
      <w:r w:rsidRPr="009D4164">
        <w:t>9</w:t>
      </w:r>
      <w:r w:rsidRPr="00563D1B">
        <w:t>-</w:t>
      </w:r>
      <w:r w:rsidRPr="009D4164">
        <w:t>0077</w:t>
      </w:r>
      <w:r w:rsidRPr="00563D1B">
        <w:t>/</w:t>
      </w:r>
      <w:r w:rsidRPr="009D4164">
        <w:t>2024</w:t>
      </w:r>
      <w:r w:rsidRPr="00563D1B">
        <w:t>),</w:t>
      </w:r>
    </w:p>
    <w:p w14:paraId="2367B897" w14:textId="3EFF179D" w:rsidR="00D86B4F" w:rsidRDefault="00E634F3" w:rsidP="00E634F3">
      <w:pPr>
        <w:pStyle w:val="NormalHanging12a"/>
      </w:pPr>
      <w:r w:rsidRPr="009D4164">
        <w:t>1</w:t>
      </w:r>
      <w:r w:rsidRPr="00563D1B">
        <w:t>.</w:t>
      </w:r>
      <w:r w:rsidRPr="00563D1B">
        <w:tab/>
        <w:t xml:space="preserve">vedtager </w:t>
      </w:r>
      <w:r w:rsidR="00D86B4F">
        <w:t>nedenstående</w:t>
      </w:r>
      <w:r w:rsidR="00D86B4F" w:rsidRPr="00563D1B">
        <w:t xml:space="preserve"> </w:t>
      </w:r>
      <w:r w:rsidRPr="00563D1B">
        <w:t>holdning ved førstebehandling;</w:t>
      </w:r>
    </w:p>
    <w:p w14:paraId="5D212C68" w14:textId="77777777" w:rsidR="00E634F3" w:rsidRPr="00563D1B" w:rsidRDefault="00D86B4F" w:rsidP="00E634F3">
      <w:pPr>
        <w:pStyle w:val="NormalHanging12a"/>
      </w:pPr>
      <w:r w:rsidRPr="009D4164">
        <w:t>2</w:t>
      </w:r>
      <w:r>
        <w:t>.</w:t>
      </w:r>
      <w:r>
        <w:tab/>
      </w:r>
      <w:r w:rsidRPr="00A2570C">
        <w:t xml:space="preserve">noterer sig </w:t>
      </w:r>
      <w:r w:rsidRPr="00A2570C">
        <w:rPr>
          <w:rFonts w:eastAsiaTheme="minorEastAsia"/>
          <w:szCs w:val="22"/>
        </w:rPr>
        <w:t xml:space="preserve">Kommissionens </w:t>
      </w:r>
      <w:r w:rsidRPr="00A2570C">
        <w:t>erklæring</w:t>
      </w:r>
      <w:r>
        <w:t>er</w:t>
      </w:r>
      <w:r w:rsidRPr="00A2570C">
        <w:t xml:space="preserve">, der er vedføjet som bilag til denne beslutning, </w:t>
      </w:r>
      <w:r w:rsidRPr="00A2570C">
        <w:rPr>
          <w:rFonts w:eastAsiaTheme="minorEastAsia"/>
          <w:szCs w:val="22"/>
        </w:rPr>
        <w:t xml:space="preserve">og som vil blive offentliggjort i C-udgaven af </w:t>
      </w:r>
      <w:r w:rsidRPr="00A2570C">
        <w:rPr>
          <w:rFonts w:eastAsiaTheme="minorEastAsia"/>
          <w:i/>
          <w:szCs w:val="22"/>
        </w:rPr>
        <w:t>Den Europæiske Unions Tidende</w:t>
      </w:r>
      <w:r w:rsidRPr="00A2570C">
        <w:rPr>
          <w:rFonts w:eastAsiaTheme="minorEastAsia"/>
          <w:szCs w:val="22"/>
        </w:rPr>
        <w:t>;</w:t>
      </w:r>
    </w:p>
    <w:p w14:paraId="5CB16A6C" w14:textId="5B39B9B4" w:rsidR="00E634F3" w:rsidRPr="00563D1B" w:rsidRDefault="00D86B4F" w:rsidP="00E634F3">
      <w:pPr>
        <w:pStyle w:val="NormalHanging12a"/>
      </w:pPr>
      <w:r w:rsidRPr="009D4164">
        <w:lastRenderedPageBreak/>
        <w:t>3</w:t>
      </w:r>
      <w:r w:rsidR="00E634F3" w:rsidRPr="00563D1B">
        <w:t>.</w:t>
      </w:r>
      <w:r w:rsidR="00E634F3" w:rsidRPr="00563D1B">
        <w:tab/>
        <w:t>anmoder om fornyet forelæggelse, hvis Kommissionen erstatter, i væsentlig grad ændrer eller agter i væsentlig grad at ændre sit forslag;</w:t>
      </w:r>
    </w:p>
    <w:p w14:paraId="1D4C8681" w14:textId="5096042F" w:rsidR="00E634F3" w:rsidRDefault="00D86B4F" w:rsidP="00E634F3">
      <w:pPr>
        <w:pStyle w:val="NormalHanging12a"/>
      </w:pPr>
      <w:r w:rsidRPr="009D4164">
        <w:t>4</w:t>
      </w:r>
      <w:r w:rsidR="00E634F3" w:rsidRPr="00563D1B">
        <w:t>.</w:t>
      </w:r>
      <w:r w:rsidR="00E634F3" w:rsidRPr="00563D1B">
        <w:tab/>
        <w:t>pålægger sin formand at sende Europa-Parlamentets holdning til Rådet og Kommissionen samt til de nationale parlamenter.</w:t>
      </w:r>
    </w:p>
    <w:p w14:paraId="1BD0D177" w14:textId="77777777" w:rsidR="00647256" w:rsidRDefault="00647256" w:rsidP="00E634F3">
      <w:pPr>
        <w:pStyle w:val="NormalHanging12a"/>
        <w:sectPr w:rsidR="00647256" w:rsidSect="00563D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008A76" w14:textId="77777777" w:rsidR="00647256" w:rsidRDefault="00647256" w:rsidP="00647256">
      <w:pPr>
        <w:pStyle w:val="ATHeading3"/>
      </w:pPr>
      <w:r>
        <w:lastRenderedPageBreak/>
        <w:t>P</w:t>
      </w:r>
      <w:r w:rsidRPr="009D4164">
        <w:t>9</w:t>
      </w:r>
      <w:r>
        <w:t>_TC</w:t>
      </w:r>
      <w:r w:rsidRPr="009D4164">
        <w:t>1</w:t>
      </w:r>
      <w:r>
        <w:t>-COD(</w:t>
      </w:r>
      <w:r w:rsidRPr="009D4164">
        <w:t>2024</w:t>
      </w:r>
      <w:r>
        <w:t>)</w:t>
      </w:r>
      <w:r w:rsidRPr="009D4164">
        <w:t>0028</w:t>
      </w:r>
    </w:p>
    <w:p w14:paraId="70CCAE9A" w14:textId="77777777" w:rsidR="00647256" w:rsidRDefault="00647256" w:rsidP="00647256">
      <w:pPr>
        <w:pStyle w:val="Typedudocument"/>
        <w:spacing w:before="240" w:after="240"/>
        <w:jc w:val="left"/>
        <w:rPr>
          <w:noProof/>
        </w:rPr>
      </w:pPr>
      <w:r>
        <w:t xml:space="preserve">Europa-Parlamentets holdning fastlagt ved førstebehandlingen den </w:t>
      </w:r>
      <w:r w:rsidRPr="009D4164">
        <w:t>23</w:t>
      </w:r>
      <w:r>
        <w:t xml:space="preserve">. april </w:t>
      </w:r>
      <w:r w:rsidRPr="009D4164">
        <w:t>2024</w:t>
      </w:r>
      <w:r>
        <w:t xml:space="preserve"> med henblik på vedtagelse af Europa-Parlamentets og Rådets forordning (EU) </w:t>
      </w:r>
      <w:r w:rsidRPr="009D4164">
        <w:rPr>
          <w:rFonts w:eastAsia="Calibri"/>
        </w:rPr>
        <w:t>2024</w:t>
      </w:r>
      <w:r>
        <w:rPr>
          <w:rFonts w:eastAsia="Calibri"/>
        </w:rPr>
        <w:t xml:space="preserve">/... om </w:t>
      </w:r>
      <w:r w:rsidRPr="00647256">
        <w:rPr>
          <w:color w:val="000000"/>
        </w:rPr>
        <w:t>midlertidige handelsliberaliserende foranstaltninger som supplement til de handelsmæssige indrømmelser for ukrainske varer i henhold til associeringsaftalen mellem Den Europæiske Union og Det Europæiske Atomenergifællesskab og deres medlemsstater på den ene side og Ukraine på den anden side</w:t>
      </w:r>
    </w:p>
    <w:p w14:paraId="77286082" w14:textId="280E5EE3" w:rsidR="00647256" w:rsidRPr="00647256" w:rsidRDefault="00647256" w:rsidP="00647256">
      <w:pPr>
        <w:widowControl/>
        <w:rPr>
          <w:rFonts w:eastAsia="Calibri"/>
          <w:color w:val="000000"/>
          <w:szCs w:val="24"/>
          <w:lang w:eastAsia="en-US"/>
        </w:rPr>
      </w:pPr>
    </w:p>
    <w:p w14:paraId="3387EE4F" w14:textId="573AE601" w:rsidR="005358E7" w:rsidRPr="00A851C6" w:rsidRDefault="005358E7" w:rsidP="00591088">
      <w:pPr>
        <w:rPr>
          <w:i/>
        </w:rPr>
      </w:pPr>
      <w:r w:rsidRPr="00A851C6">
        <w:rPr>
          <w:i/>
        </w:rPr>
        <w:t xml:space="preserve">(Eftersom der var indgået en aftale mellem Parlamentet og Rådet, svarer Parlamentets holdning til den endelige retsakt, </w:t>
      </w:r>
      <w:r>
        <w:rPr>
          <w:i/>
        </w:rPr>
        <w:t>forordning (EU) 2024/1392.)</w:t>
      </w:r>
    </w:p>
    <w:p w14:paraId="452703A3" w14:textId="6E462F3E" w:rsidR="00647256" w:rsidRDefault="00647256" w:rsidP="00E634F3">
      <w:pPr>
        <w:pStyle w:val="NormalHanging12a"/>
        <w:sectPr w:rsidR="00647256" w:rsidSect="00563D1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C35FC8" w14:textId="77777777" w:rsidR="00647256" w:rsidRDefault="00647256" w:rsidP="00D9318D">
      <w:pPr>
        <w:pStyle w:val="NormalHanging12a"/>
        <w:jc w:val="right"/>
      </w:pPr>
      <w:r w:rsidRPr="00F02317">
        <w:lastRenderedPageBreak/>
        <w:t>BILAG TIL DEN LOVGIVNINGSMÆSSIGE BESLUTNING</w:t>
      </w:r>
    </w:p>
    <w:p w14:paraId="2A6F3F5A" w14:textId="02E1F8D9" w:rsidR="00647256" w:rsidRPr="00D9318D" w:rsidRDefault="00647256" w:rsidP="00647256">
      <w:pPr>
        <w:widowControl/>
        <w:spacing w:before="360" w:after="120" w:line="360" w:lineRule="auto"/>
        <w:jc w:val="center"/>
        <w:rPr>
          <w:b/>
          <w:bCs/>
          <w:szCs w:val="24"/>
          <w:lang w:eastAsia="en-US"/>
        </w:rPr>
      </w:pPr>
      <w:r w:rsidRPr="00D9318D">
        <w:rPr>
          <w:rFonts w:eastAsia="Calibri"/>
          <w:b/>
          <w:szCs w:val="24"/>
          <w:lang w:eastAsia="en-US"/>
        </w:rPr>
        <w:t xml:space="preserve">Erklæring fra Kommissionen om overvågning af import af korn fra Ukraine i forbindelse med vedtagelsen af forordning (EU) </w:t>
      </w:r>
      <w:r w:rsidRPr="009D4164">
        <w:rPr>
          <w:rFonts w:eastAsia="Calibri"/>
          <w:b/>
          <w:szCs w:val="24"/>
          <w:lang w:eastAsia="en-US"/>
        </w:rPr>
        <w:t>2024</w:t>
      </w:r>
      <w:r w:rsidRPr="00D9318D">
        <w:rPr>
          <w:rFonts w:eastAsia="Calibri"/>
          <w:b/>
          <w:szCs w:val="24"/>
          <w:lang w:eastAsia="en-US"/>
        </w:rPr>
        <w:t>/</w:t>
      </w:r>
      <w:r w:rsidR="005358E7">
        <w:rPr>
          <w:rFonts w:eastAsia="Calibri"/>
          <w:b/>
          <w:szCs w:val="24"/>
          <w:lang w:eastAsia="en-US"/>
        </w:rPr>
        <w:t>1392</w:t>
      </w:r>
    </w:p>
    <w:p w14:paraId="08DE368A" w14:textId="77777777" w:rsidR="00647256" w:rsidRPr="00647256" w:rsidRDefault="00647256" w:rsidP="00D9318D">
      <w:pPr>
        <w:widowControl/>
        <w:spacing w:before="120" w:after="120" w:line="360" w:lineRule="auto"/>
        <w:rPr>
          <w:szCs w:val="24"/>
          <w:lang w:eastAsia="en-US"/>
        </w:rPr>
      </w:pPr>
      <w:r w:rsidRPr="00647256">
        <w:rPr>
          <w:rFonts w:eastAsia="Calibri"/>
          <w:szCs w:val="22"/>
          <w:lang w:eastAsia="en-US"/>
        </w:rPr>
        <w:t>Ruslands angrebskrig mod Ukraine har medført forstyrrelser af de hidtidige forsyningskæder. EU yder støtte til Ukraine for at genoprette den sædvanlige strøm af korn og andre varer, navnlig via solidaritetsbanerne, og for at sikre, at eksporten af korn når frem til bestemmelsesstedet, hvilket navnlig omfatter tredjemarkeder, for at støtte den globale fødevaresikkerhed.</w:t>
      </w:r>
    </w:p>
    <w:p w14:paraId="4FDF139D" w14:textId="77777777" w:rsidR="00647256" w:rsidRPr="00647256" w:rsidRDefault="00647256" w:rsidP="00D9318D">
      <w:pPr>
        <w:widowControl/>
        <w:spacing w:before="120" w:after="120" w:line="360" w:lineRule="auto"/>
        <w:rPr>
          <w:szCs w:val="24"/>
          <w:lang w:eastAsia="en-US"/>
        </w:rPr>
      </w:pPr>
      <w:r w:rsidRPr="00647256">
        <w:rPr>
          <w:rFonts w:eastAsia="Calibri"/>
          <w:szCs w:val="22"/>
          <w:lang w:eastAsia="en-US"/>
        </w:rPr>
        <w:t>Kommissionen er fast besluttet på at støtte Ukraine og samtidig beskytte EU's kornproducenters interesser samt sikre et velfungerende kornmarked i EU.</w:t>
      </w:r>
    </w:p>
    <w:p w14:paraId="3C0052D0" w14:textId="77777777" w:rsidR="00647256" w:rsidRPr="00647256" w:rsidRDefault="00647256" w:rsidP="00D9318D">
      <w:pPr>
        <w:widowControl/>
        <w:spacing w:before="120" w:after="120" w:line="360" w:lineRule="auto"/>
        <w:rPr>
          <w:szCs w:val="24"/>
          <w:lang w:eastAsia="en-US"/>
        </w:rPr>
      </w:pPr>
      <w:r w:rsidRPr="00647256">
        <w:rPr>
          <w:rFonts w:eastAsia="Calibri"/>
          <w:szCs w:val="22"/>
          <w:lang w:eastAsia="en-US"/>
        </w:rPr>
        <w:t xml:space="preserve">I lyset af betydningen af kornproduktion og kornmarkeder vil Kommissionen lægge særlig vægt på overvågning af kornimporten, navnlig hvede, og især koncentrationen af denne import i de medlemsstater, der grænser op til Ukraine. Kommissionen vil i sin regelmæssige dialog med Ukraine drøfte de problemer, som overvågningen måtte afdække. Kommissionen minder om, at import fra Ukraine kan underlægges tilsyn, jf. kapitel IV i Europa-Parlamentets og Rådets forordning (EU) </w:t>
      </w:r>
      <w:r w:rsidRPr="009D4164">
        <w:rPr>
          <w:rFonts w:eastAsia="Calibri"/>
          <w:szCs w:val="22"/>
          <w:lang w:eastAsia="en-US"/>
        </w:rPr>
        <w:t>2015</w:t>
      </w:r>
      <w:r w:rsidRPr="00647256">
        <w:rPr>
          <w:rFonts w:eastAsia="Calibri"/>
          <w:szCs w:val="22"/>
          <w:lang w:eastAsia="en-US"/>
        </w:rPr>
        <w:t>/</w:t>
      </w:r>
      <w:r w:rsidRPr="009D4164">
        <w:rPr>
          <w:rFonts w:eastAsia="Calibri"/>
          <w:szCs w:val="22"/>
          <w:lang w:eastAsia="en-US"/>
        </w:rPr>
        <w:t>478</w:t>
      </w:r>
      <w:r w:rsidRPr="00647256">
        <w:rPr>
          <w:rFonts w:eastAsia="Calibri"/>
          <w:szCs w:val="22"/>
          <w:lang w:eastAsia="en-US"/>
        </w:rPr>
        <w:t xml:space="preserve"> af </w:t>
      </w:r>
      <w:r w:rsidRPr="009D4164">
        <w:rPr>
          <w:rFonts w:eastAsia="Calibri"/>
          <w:szCs w:val="22"/>
          <w:lang w:eastAsia="en-US"/>
        </w:rPr>
        <w:t>11</w:t>
      </w:r>
      <w:r w:rsidRPr="00647256">
        <w:rPr>
          <w:rFonts w:eastAsia="Calibri"/>
          <w:szCs w:val="22"/>
          <w:lang w:eastAsia="en-US"/>
        </w:rPr>
        <w:t xml:space="preserve">. marts </w:t>
      </w:r>
      <w:r w:rsidRPr="009D4164">
        <w:rPr>
          <w:rFonts w:eastAsia="Calibri"/>
          <w:szCs w:val="22"/>
          <w:lang w:eastAsia="en-US"/>
        </w:rPr>
        <w:t>2015</w:t>
      </w:r>
      <w:r w:rsidRPr="00647256">
        <w:rPr>
          <w:rFonts w:eastAsia="Calibri"/>
          <w:szCs w:val="22"/>
          <w:lang w:eastAsia="en-US"/>
        </w:rPr>
        <w:t xml:space="preserve"> om fælles ordninger for indførsel, f.eks. i form af en importlicens, hvis udviklingen i importen truer med at forvolde skade for EU-producenter, og hvis Unionens interesser kræver det. Kommissionen vil i denne forbindelse benytte de redskaber, den har til rådighed, efter behov. Den vil fortsætte sin jævnlige rapportering til medlemsstaterne om resultaterne af den regelmæssige dialog med Ukraine.</w:t>
      </w:r>
    </w:p>
    <w:p w14:paraId="7375DB2A" w14:textId="77777777" w:rsidR="00647256" w:rsidRPr="00647256" w:rsidRDefault="00647256" w:rsidP="00D9318D">
      <w:pPr>
        <w:widowControl/>
        <w:spacing w:before="120" w:after="120" w:line="360" w:lineRule="auto"/>
        <w:rPr>
          <w:szCs w:val="24"/>
          <w:lang w:eastAsia="en-US"/>
        </w:rPr>
      </w:pPr>
      <w:r w:rsidRPr="00647256">
        <w:rPr>
          <w:rFonts w:eastAsia="Calibri"/>
          <w:szCs w:val="22"/>
          <w:lang w:eastAsia="en-US"/>
        </w:rPr>
        <w:t xml:space="preserve">For så vidt angår de produkter, der er omfattet af autonome handelsforanstaltninger, minder Kommissionen om, at den nævnte forordning desuden indeholder styrkede beskyttelsesmekanismer. Kommissionen har for første gang indført muligheden for og er parat til at aktivere denne mekanisme i tilfælde af skadelige virkninger for markedet i én eller flere medlemsstater og ikke kun for hele EU-markedet. I denne henseende vil Kommissionen udnytte sine beføjelser fuldt ud til på eget initiativ at iværksætte de styrkede beskyttelsesmekanismer for import af hvede fra Ukraine. </w:t>
      </w:r>
    </w:p>
    <w:p w14:paraId="6D37D050" w14:textId="0032E621" w:rsidR="00647256" w:rsidRDefault="00647256" w:rsidP="00F9298F">
      <w:pPr>
        <w:widowControl/>
        <w:spacing w:before="120" w:after="120" w:line="360" w:lineRule="auto"/>
        <w:rPr>
          <w:rFonts w:eastAsia="Calibri"/>
          <w:b/>
          <w:sz w:val="28"/>
          <w:szCs w:val="22"/>
          <w:lang w:eastAsia="en-US"/>
        </w:rPr>
      </w:pPr>
      <w:r w:rsidRPr="00647256">
        <w:rPr>
          <w:rFonts w:eastAsia="Calibri"/>
          <w:szCs w:val="22"/>
          <w:lang w:eastAsia="en-US"/>
        </w:rPr>
        <w:t xml:space="preserve">Kommissionen minder om, at den i </w:t>
      </w:r>
      <w:r w:rsidRPr="009D4164">
        <w:rPr>
          <w:rFonts w:eastAsia="Calibri"/>
          <w:szCs w:val="22"/>
          <w:lang w:eastAsia="en-US"/>
        </w:rPr>
        <w:t>2022</w:t>
      </w:r>
      <w:r w:rsidRPr="00647256">
        <w:rPr>
          <w:rFonts w:eastAsia="Calibri"/>
          <w:szCs w:val="22"/>
          <w:lang w:eastAsia="en-US"/>
        </w:rPr>
        <w:t xml:space="preserve"> og </w:t>
      </w:r>
      <w:r w:rsidRPr="009D4164">
        <w:rPr>
          <w:rFonts w:eastAsia="Calibri"/>
          <w:szCs w:val="22"/>
          <w:lang w:eastAsia="en-US"/>
        </w:rPr>
        <w:t>2023</w:t>
      </w:r>
      <w:r w:rsidRPr="00647256">
        <w:rPr>
          <w:rFonts w:eastAsia="Calibri"/>
          <w:szCs w:val="22"/>
          <w:lang w:eastAsia="en-US"/>
        </w:rPr>
        <w:t xml:space="preserve"> vedtog foranstaltninger til at støtte europæiske landbrugere i alle medlemsstaterne, navnlig dem, der grænser op til Ukraine.</w:t>
      </w:r>
      <w:r>
        <w:rPr>
          <w:rFonts w:eastAsia="Calibri"/>
          <w:b/>
          <w:sz w:val="28"/>
          <w:szCs w:val="22"/>
          <w:lang w:eastAsia="en-US"/>
        </w:rPr>
        <w:br w:type="page"/>
      </w:r>
    </w:p>
    <w:p w14:paraId="113F919D" w14:textId="4F65635E" w:rsidR="00647256" w:rsidRPr="00D9318D" w:rsidRDefault="00647256" w:rsidP="00647256">
      <w:pPr>
        <w:widowControl/>
        <w:spacing w:before="360" w:after="120" w:line="360" w:lineRule="auto"/>
        <w:jc w:val="center"/>
        <w:rPr>
          <w:b/>
          <w:bCs/>
          <w:szCs w:val="24"/>
          <w:lang w:eastAsia="en-US"/>
        </w:rPr>
      </w:pPr>
      <w:r w:rsidRPr="00D9318D">
        <w:rPr>
          <w:rFonts w:eastAsia="Calibri"/>
          <w:b/>
          <w:szCs w:val="24"/>
          <w:lang w:eastAsia="en-US"/>
        </w:rPr>
        <w:lastRenderedPageBreak/>
        <w:t xml:space="preserve">Erklæring fra Kommissionen om revideringsprocessen i associeringsaftalens artikel </w:t>
      </w:r>
      <w:r w:rsidRPr="009D4164">
        <w:rPr>
          <w:rFonts w:eastAsia="Calibri"/>
          <w:b/>
          <w:szCs w:val="24"/>
          <w:lang w:eastAsia="en-US"/>
        </w:rPr>
        <w:t>29</w:t>
      </w:r>
      <w:r w:rsidRPr="00D9318D">
        <w:rPr>
          <w:rFonts w:eastAsia="Calibri"/>
          <w:b/>
          <w:szCs w:val="24"/>
          <w:lang w:eastAsia="en-US"/>
        </w:rPr>
        <w:t xml:space="preserve"> i forbindelse med vedtagelsen af forordning (EU) </w:t>
      </w:r>
      <w:r w:rsidRPr="009D4164">
        <w:rPr>
          <w:rFonts w:eastAsia="Calibri"/>
          <w:b/>
          <w:szCs w:val="24"/>
          <w:lang w:eastAsia="en-US"/>
        </w:rPr>
        <w:t>2024</w:t>
      </w:r>
      <w:r w:rsidRPr="00D9318D">
        <w:rPr>
          <w:rFonts w:eastAsia="Calibri"/>
          <w:b/>
          <w:szCs w:val="24"/>
          <w:lang w:eastAsia="en-US"/>
        </w:rPr>
        <w:t>/</w:t>
      </w:r>
      <w:r w:rsidR="005358E7">
        <w:rPr>
          <w:rFonts w:eastAsia="Calibri"/>
          <w:b/>
          <w:szCs w:val="24"/>
          <w:lang w:eastAsia="en-US"/>
        </w:rPr>
        <w:t>1392</w:t>
      </w:r>
    </w:p>
    <w:p w14:paraId="4EC1F3F3" w14:textId="77777777" w:rsidR="00647256" w:rsidRPr="00647256" w:rsidRDefault="00647256" w:rsidP="00D9318D">
      <w:pPr>
        <w:widowControl/>
        <w:spacing w:before="360" w:after="120" w:line="360" w:lineRule="auto"/>
        <w:rPr>
          <w:szCs w:val="24"/>
          <w:lang w:eastAsia="en-US"/>
        </w:rPr>
      </w:pPr>
      <w:r w:rsidRPr="00647256">
        <w:rPr>
          <w:rFonts w:eastAsia="Calibri"/>
          <w:szCs w:val="22"/>
          <w:lang w:eastAsia="en-US"/>
        </w:rPr>
        <w:t xml:space="preserve">Kommissionen bekræfter, at den, så snart de to lovgivere har vedtaget de nye autonome handelsforanstaltninger, vil træffe de nødvendige foranstaltninger i henhold til </w:t>
      </w:r>
      <w:bookmarkStart w:id="7" w:name="_GoBack"/>
      <w:bookmarkEnd w:id="7"/>
      <w:r w:rsidRPr="00647256">
        <w:rPr>
          <w:rFonts w:eastAsia="Calibri"/>
          <w:szCs w:val="22"/>
          <w:lang w:eastAsia="en-US"/>
        </w:rPr>
        <w:t xml:space="preserve">associeringsaftalens artikel </w:t>
      </w:r>
      <w:r w:rsidRPr="009D4164">
        <w:rPr>
          <w:rFonts w:eastAsia="Calibri"/>
          <w:szCs w:val="22"/>
          <w:lang w:eastAsia="en-US"/>
        </w:rPr>
        <w:t>29</w:t>
      </w:r>
      <w:r w:rsidRPr="00647256">
        <w:rPr>
          <w:rFonts w:eastAsia="Calibri"/>
          <w:szCs w:val="22"/>
          <w:lang w:eastAsia="en-US"/>
        </w:rPr>
        <w:t xml:space="preserve"> for gennem konsultationer med Ukraine at forfølge processen med gensidig toldliberalisering.</w:t>
      </w:r>
    </w:p>
    <w:p w14:paraId="01B888CC" w14:textId="77777777" w:rsidR="00647256" w:rsidRPr="00647256" w:rsidRDefault="00647256" w:rsidP="00D9318D">
      <w:pPr>
        <w:widowControl/>
        <w:spacing w:before="360" w:after="120" w:line="360" w:lineRule="auto"/>
        <w:rPr>
          <w:szCs w:val="24"/>
          <w:lang w:eastAsia="en-US"/>
        </w:rPr>
      </w:pPr>
      <w:r w:rsidRPr="00647256">
        <w:rPr>
          <w:rFonts w:eastAsia="Calibri"/>
          <w:szCs w:val="22"/>
          <w:lang w:eastAsia="en-US"/>
        </w:rPr>
        <w:t>Kommissionen vil sørge for tæt involvering af Europa-Parlamentet og vil informere det om udviklingen i disse konsultationer med Ukraine. I denne forbindelse vil Kommissionen tage størst muligt hensyn til eventuelle bemærkninger fra Europa-Parlamentet.</w:t>
      </w:r>
    </w:p>
    <w:p w14:paraId="1F64B395" w14:textId="77777777" w:rsidR="00647256" w:rsidRPr="00647256" w:rsidRDefault="00647256" w:rsidP="00D9318D">
      <w:pPr>
        <w:widowControl/>
        <w:spacing w:before="360" w:after="120" w:line="360" w:lineRule="auto"/>
        <w:rPr>
          <w:szCs w:val="24"/>
          <w:lang w:eastAsia="en-US"/>
        </w:rPr>
      </w:pPr>
      <w:r w:rsidRPr="00647256">
        <w:rPr>
          <w:rFonts w:eastAsia="Calibri"/>
          <w:szCs w:val="22"/>
          <w:lang w:eastAsia="en-US"/>
        </w:rPr>
        <w:t xml:space="preserve">Kommissionen minder om, at disse arbejdsmetoder ikke danner præcedens for revisionsklausuler i andre aftaler og ikke afviger fra bestemmelserne i artikel </w:t>
      </w:r>
      <w:r w:rsidRPr="009D4164">
        <w:rPr>
          <w:rFonts w:eastAsia="Calibri"/>
          <w:szCs w:val="22"/>
          <w:lang w:eastAsia="en-US"/>
        </w:rPr>
        <w:t>218</w:t>
      </w:r>
      <w:r w:rsidRPr="00647256">
        <w:rPr>
          <w:rFonts w:eastAsia="Calibri"/>
          <w:szCs w:val="22"/>
          <w:lang w:eastAsia="en-US"/>
        </w:rPr>
        <w:t xml:space="preserve"> i TEUF.</w:t>
      </w:r>
    </w:p>
    <w:p w14:paraId="754A1AD1" w14:textId="77777777" w:rsidR="00647256" w:rsidRPr="00563D1B" w:rsidRDefault="00647256" w:rsidP="00D9318D">
      <w:pPr>
        <w:widowControl/>
        <w:spacing w:before="360" w:after="120" w:line="360" w:lineRule="auto"/>
      </w:pPr>
      <w:bookmarkStart w:id="8" w:name="_Hlk162345814"/>
      <w:r w:rsidRPr="00647256">
        <w:rPr>
          <w:rFonts w:eastAsia="Calibri"/>
          <w:szCs w:val="22"/>
          <w:lang w:eastAsia="en-US"/>
        </w:rPr>
        <w:t>Resultatet af denne proces vil bidrage til økonomisk sikkerhed og stabil handel for både Ukraine og EU samt for landbrugere og virksomheder. Det vil desuden være et vigtigt skridt i genopbygningen af Ukraine og yderligere integration i EU's indre marked som led i landets fremtidige tiltrædelse af Unionen.</w:t>
      </w:r>
      <w:bookmarkEnd w:id="8"/>
    </w:p>
    <w:sectPr w:rsidR="00647256" w:rsidRPr="00563D1B" w:rsidSect="00563D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8045A" w14:textId="77777777" w:rsidR="0091293E" w:rsidRPr="00563D1B" w:rsidRDefault="0091293E">
      <w:r w:rsidRPr="00563D1B">
        <w:separator/>
      </w:r>
    </w:p>
  </w:endnote>
  <w:endnote w:type="continuationSeparator" w:id="0">
    <w:p w14:paraId="70F3DEBA" w14:textId="77777777" w:rsidR="0091293E" w:rsidRPr="00563D1B" w:rsidRDefault="0091293E">
      <w:r w:rsidRPr="00563D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0DDF1" w14:textId="77777777" w:rsidR="00064002" w:rsidRPr="00563D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A344" w14:textId="77777777" w:rsidR="00064002" w:rsidRPr="00563D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00305" w14:textId="77777777" w:rsidR="00064002" w:rsidRPr="00563D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2BF01" w14:textId="77777777" w:rsidR="0091293E" w:rsidRPr="00563D1B" w:rsidRDefault="0091293E">
      <w:r w:rsidRPr="00563D1B">
        <w:separator/>
      </w:r>
    </w:p>
  </w:footnote>
  <w:footnote w:type="continuationSeparator" w:id="0">
    <w:p w14:paraId="103743CA" w14:textId="77777777" w:rsidR="0091293E" w:rsidRPr="00563D1B" w:rsidRDefault="0091293E">
      <w:r w:rsidRPr="00563D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BC55D" w14:textId="77777777" w:rsidR="00064002" w:rsidRPr="00563D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580F4" w14:textId="77777777" w:rsidR="00064002" w:rsidRPr="00563D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7E42" w14:textId="77777777" w:rsidR="00064002" w:rsidRPr="00563D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DA"/>
    <w:docVar w:name="dvnumam" w:val="26"/>
    <w:docVar w:name="dvpe" w:val="758.861"/>
    <w:docVar w:name="dvrapporteur" w:val="Ordfører: "/>
    <w:docVar w:name="dvstar" w:val="***I"/>
    <w:docVar w:name="dvtitre" w:val="Europa-Parlamentets lovgivningsmæssige beslutning af xx.xx 2024 om forslag til Europa-Parlamentets og Rådets forordning om midlertidige handelsliberaliserende foranstaltninger som supplement til de handelsmæssige indrømmelser for ukrainske varer i henhold til associeringsaftalen mellem Den Europæiske Union og Det Europæiske Atomenergifællesskab og deres medlemsstater på den ene side og Ukraine på den anden side(COM(2024)0050 – C9-0021/2024 – 2024/0028(COD))"/>
  </w:docVars>
  <w:rsids>
    <w:rsidRoot w:val="0091293E"/>
    <w:rsid w:val="00002272"/>
    <w:rsid w:val="00064002"/>
    <w:rsid w:val="000677B9"/>
    <w:rsid w:val="000831BA"/>
    <w:rsid w:val="000A42CC"/>
    <w:rsid w:val="000E7DD9"/>
    <w:rsid w:val="0010095E"/>
    <w:rsid w:val="00125B37"/>
    <w:rsid w:val="00187494"/>
    <w:rsid w:val="001F32AE"/>
    <w:rsid w:val="002767FF"/>
    <w:rsid w:val="002B18FE"/>
    <w:rsid w:val="002B5493"/>
    <w:rsid w:val="003162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E7"/>
    <w:rsid w:val="00545827"/>
    <w:rsid w:val="00560270"/>
    <w:rsid w:val="00563D1B"/>
    <w:rsid w:val="005C2568"/>
    <w:rsid w:val="006037C0"/>
    <w:rsid w:val="00647256"/>
    <w:rsid w:val="006631B6"/>
    <w:rsid w:val="00680577"/>
    <w:rsid w:val="006D3E3F"/>
    <w:rsid w:val="006F74FA"/>
    <w:rsid w:val="00731ADD"/>
    <w:rsid w:val="00734777"/>
    <w:rsid w:val="00747932"/>
    <w:rsid w:val="00751A4A"/>
    <w:rsid w:val="00756632"/>
    <w:rsid w:val="00762C74"/>
    <w:rsid w:val="00786EC0"/>
    <w:rsid w:val="007D1690"/>
    <w:rsid w:val="007E22AD"/>
    <w:rsid w:val="00817416"/>
    <w:rsid w:val="00842779"/>
    <w:rsid w:val="00852D04"/>
    <w:rsid w:val="00865F67"/>
    <w:rsid w:val="00881A7B"/>
    <w:rsid w:val="008840E5"/>
    <w:rsid w:val="00887B3E"/>
    <w:rsid w:val="008C2AC6"/>
    <w:rsid w:val="0091293E"/>
    <w:rsid w:val="00930C23"/>
    <w:rsid w:val="0093193B"/>
    <w:rsid w:val="009509D8"/>
    <w:rsid w:val="00950B64"/>
    <w:rsid w:val="00981893"/>
    <w:rsid w:val="009D41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6B4F"/>
    <w:rsid w:val="00D872DF"/>
    <w:rsid w:val="00D91E21"/>
    <w:rsid w:val="00D9318D"/>
    <w:rsid w:val="00DA7FCD"/>
    <w:rsid w:val="00E365E1"/>
    <w:rsid w:val="00E634F3"/>
    <w:rsid w:val="00E820A4"/>
    <w:rsid w:val="00EB006A"/>
    <w:rsid w:val="00EB4772"/>
    <w:rsid w:val="00ED169E"/>
    <w:rsid w:val="00ED4235"/>
    <w:rsid w:val="00F04346"/>
    <w:rsid w:val="00F075DC"/>
    <w:rsid w:val="00F149E9"/>
    <w:rsid w:val="00F5134D"/>
    <w:rsid w:val="00F74202"/>
    <w:rsid w:val="00F87713"/>
    <w:rsid w:val="00F9298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796C7"/>
  <w15:chartTrackingRefBased/>
  <w15:docId w15:val="{E64D5111-06B4-40AF-80AE-88ABE5D9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34F3"/>
    <w:pPr>
      <w:spacing w:before="480" w:after="240"/>
    </w:pPr>
  </w:style>
  <w:style w:type="paragraph" w:customStyle="1" w:styleId="NormalBold">
    <w:name w:val="NormalBold"/>
    <w:basedOn w:val="Normal"/>
    <w:link w:val="NormalBoldChar"/>
    <w:rsid w:val="00E634F3"/>
    <w:rPr>
      <w:b/>
    </w:rPr>
  </w:style>
  <w:style w:type="paragraph" w:customStyle="1" w:styleId="NormalHanging12a">
    <w:name w:val="NormalHanging12a"/>
    <w:basedOn w:val="Normal"/>
    <w:rsid w:val="00E634F3"/>
    <w:pPr>
      <w:spacing w:after="240"/>
      <w:ind w:left="567" w:hanging="567"/>
    </w:pPr>
  </w:style>
  <w:style w:type="character" w:customStyle="1" w:styleId="NormalBoldChar">
    <w:name w:val="NormalBold Char"/>
    <w:basedOn w:val="DefaultParagraphFont"/>
    <w:link w:val="NormalBold"/>
    <w:locked/>
    <w:rsid w:val="00E634F3"/>
    <w:rPr>
      <w:b/>
      <w:sz w:val="24"/>
      <w:lang w:val="da-DK"/>
    </w:rPr>
  </w:style>
  <w:style w:type="paragraph" w:customStyle="1" w:styleId="Typedudocument">
    <w:name w:val="Type du document"/>
    <w:basedOn w:val="Normal"/>
    <w:next w:val="Normal"/>
    <w:rsid w:val="00647256"/>
    <w:pPr>
      <w:widowControl/>
      <w:spacing w:before="360"/>
      <w:jc w:val="center"/>
    </w:pPr>
    <w:rPr>
      <w:rFonts w:eastAsiaTheme="minorHAnsi"/>
      <w:b/>
      <w:szCs w:val="22"/>
      <w:lang w:eastAsia="en-US"/>
    </w:rPr>
  </w:style>
  <w:style w:type="paragraph" w:styleId="BalloonText">
    <w:name w:val="Balloon Text"/>
    <w:basedOn w:val="Normal"/>
    <w:link w:val="BalloonTextChar"/>
    <w:rsid w:val="00647256"/>
    <w:rPr>
      <w:rFonts w:ascii="Segoe UI" w:hAnsi="Segoe UI" w:cs="Segoe UI"/>
      <w:sz w:val="18"/>
      <w:szCs w:val="18"/>
    </w:rPr>
  </w:style>
  <w:style w:type="character" w:customStyle="1" w:styleId="BalloonTextChar">
    <w:name w:val="Balloon Text Char"/>
    <w:basedOn w:val="DefaultParagraphFont"/>
    <w:link w:val="BalloonText"/>
    <w:rsid w:val="00647256"/>
    <w:rPr>
      <w:rFonts w:ascii="Segoe UI" w:hAnsi="Segoe UI" w:cs="Segoe UI"/>
      <w:sz w:val="18"/>
      <w:szCs w:val="18"/>
      <w:lang w:val="da-DK"/>
    </w:rPr>
  </w:style>
  <w:style w:type="character" w:styleId="CommentReference">
    <w:name w:val="annotation reference"/>
    <w:basedOn w:val="DefaultParagraphFont"/>
    <w:rsid w:val="006D3E3F"/>
    <w:rPr>
      <w:sz w:val="16"/>
      <w:szCs w:val="16"/>
    </w:rPr>
  </w:style>
  <w:style w:type="paragraph" w:styleId="CommentText">
    <w:name w:val="annotation text"/>
    <w:basedOn w:val="Normal"/>
    <w:link w:val="CommentTextChar"/>
    <w:rsid w:val="006D3E3F"/>
    <w:rPr>
      <w:sz w:val="20"/>
    </w:rPr>
  </w:style>
  <w:style w:type="character" w:customStyle="1" w:styleId="CommentTextChar">
    <w:name w:val="Comment Text Char"/>
    <w:basedOn w:val="DefaultParagraphFont"/>
    <w:link w:val="CommentText"/>
    <w:rsid w:val="006D3E3F"/>
    <w:rPr>
      <w:lang w:val="da-DK"/>
    </w:rPr>
  </w:style>
  <w:style w:type="paragraph" w:styleId="CommentSubject">
    <w:name w:val="annotation subject"/>
    <w:basedOn w:val="CommentText"/>
    <w:next w:val="CommentText"/>
    <w:link w:val="CommentSubjectChar"/>
    <w:rsid w:val="006D3E3F"/>
    <w:rPr>
      <w:b/>
      <w:bCs/>
    </w:rPr>
  </w:style>
  <w:style w:type="character" w:customStyle="1" w:styleId="CommentSubjectChar">
    <w:name w:val="Comment Subject Char"/>
    <w:basedOn w:val="CommentTextChar"/>
    <w:link w:val="CommentSubject"/>
    <w:rsid w:val="006D3E3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841875">
      <w:bodyDiv w:val="1"/>
      <w:marLeft w:val="0"/>
      <w:marRight w:val="0"/>
      <w:marTop w:val="0"/>
      <w:marBottom w:val="0"/>
      <w:divBdr>
        <w:top w:val="none" w:sz="0" w:space="0" w:color="auto"/>
        <w:left w:val="none" w:sz="0" w:space="0" w:color="auto"/>
        <w:bottom w:val="none" w:sz="0" w:space="0" w:color="auto"/>
        <w:right w:val="none" w:sz="0" w:space="0" w:color="auto"/>
      </w:divBdr>
    </w:div>
    <w:div w:id="19947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E3BD5-E791-457E-A927-521CACDFE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5606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2024-09-05T14:01:00Z</dcterms:created>
  <dcterms:modified xsi:type="dcterms:W3CDTF">2024-09-05T14:01:00Z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P9_TA(2024)0304_</vt:lpwstr>
  </property>
  <property fmtid="{D5CDD505-2E9C-101B-9397-08002B2CF9AE}" pid="4" name="&lt;Type&gt;">
    <vt:lpwstr>RR</vt:lpwstr>
  </property>
</Properties>
</file>