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4323" w:rsidTr="0010095E">
        <w:trPr>
          <w:trHeight w:hRule="exact" w:val="1418"/>
        </w:trPr>
        <w:tc>
          <w:tcPr>
            <w:tcW w:w="6804" w:type="dxa"/>
            <w:shd w:val="clear" w:color="auto" w:fill="auto"/>
            <w:vAlign w:val="center"/>
          </w:tcPr>
          <w:p w:rsidR="00751A4A" w:rsidRPr="00E14323" w:rsidRDefault="00635709" w:rsidP="0010095E">
            <w:pPr>
              <w:pStyle w:val="EPName"/>
            </w:pPr>
            <w:r w:rsidRPr="00E14323">
              <w:t>Parlement européen</w:t>
            </w:r>
          </w:p>
          <w:p w:rsidR="00751A4A" w:rsidRPr="00E14323" w:rsidRDefault="00817416" w:rsidP="00756632">
            <w:pPr>
              <w:pStyle w:val="EPTerm"/>
              <w:rPr>
                <w:rStyle w:val="HideTWBExt"/>
                <w:noProof w:val="0"/>
                <w:vanish w:val="0"/>
                <w:color w:val="auto"/>
              </w:rPr>
            </w:pPr>
            <w:r w:rsidRPr="000355EA">
              <w:t>2019</w:t>
            </w:r>
            <w:r w:rsidRPr="00E14323">
              <w:t>-</w:t>
            </w:r>
            <w:r w:rsidRPr="000355EA">
              <w:t>2024</w:t>
            </w:r>
          </w:p>
        </w:tc>
        <w:tc>
          <w:tcPr>
            <w:tcW w:w="2268" w:type="dxa"/>
            <w:shd w:val="clear" w:color="auto" w:fill="auto"/>
          </w:tcPr>
          <w:p w:rsidR="00751A4A" w:rsidRPr="00E14323" w:rsidRDefault="00187494" w:rsidP="0010095E">
            <w:pPr>
              <w:pStyle w:val="EPLogo"/>
            </w:pPr>
            <w:r w:rsidRPr="00E1432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4323" w:rsidRDefault="00D058B8" w:rsidP="004C5D52">
      <w:pPr>
        <w:pStyle w:val="LineTop"/>
      </w:pPr>
    </w:p>
    <w:p w:rsidR="00680577" w:rsidRPr="00E14323" w:rsidRDefault="00635709" w:rsidP="00680577">
      <w:pPr>
        <w:pStyle w:val="EPBodyTA1"/>
      </w:pPr>
      <w:r w:rsidRPr="00E14323">
        <w:t>TEXTES ADOPTÉS</w:t>
      </w:r>
    </w:p>
    <w:p w:rsidR="00D058B8" w:rsidRPr="00E14323" w:rsidRDefault="00D058B8" w:rsidP="00D058B8">
      <w:pPr>
        <w:pStyle w:val="LineBottom"/>
      </w:pPr>
    </w:p>
    <w:p w:rsidR="00635709" w:rsidRPr="00E14323" w:rsidRDefault="00635709" w:rsidP="00635709">
      <w:pPr>
        <w:pStyle w:val="ATHeading1"/>
      </w:pPr>
      <w:bookmarkStart w:id="0" w:name="TANumber"/>
      <w:r w:rsidRPr="00E14323">
        <w:t>P</w:t>
      </w:r>
      <w:r w:rsidRPr="000355EA">
        <w:t>9</w:t>
      </w:r>
      <w:r w:rsidRPr="00E14323">
        <w:t>_</w:t>
      </w:r>
      <w:proofErr w:type="gramStart"/>
      <w:r w:rsidRPr="00E14323">
        <w:t>TA(</w:t>
      </w:r>
      <w:proofErr w:type="gramEnd"/>
      <w:r w:rsidRPr="000355EA">
        <w:t>2024</w:t>
      </w:r>
      <w:r w:rsidRPr="00E14323">
        <w:t>)</w:t>
      </w:r>
      <w:r w:rsidRPr="000355EA">
        <w:t>0</w:t>
      </w:r>
      <w:bookmarkEnd w:id="0"/>
      <w:r w:rsidR="00DE14DD" w:rsidRPr="000355EA">
        <w:t>304</w:t>
      </w:r>
    </w:p>
    <w:p w:rsidR="00635709" w:rsidRPr="00E14323" w:rsidRDefault="00635709" w:rsidP="00635709">
      <w:pPr>
        <w:pStyle w:val="ATHeading2"/>
      </w:pPr>
      <w:bookmarkStart w:id="1" w:name="title"/>
      <w:r w:rsidRPr="00E14323">
        <w:t>M</w:t>
      </w:r>
      <w:r w:rsidR="00A62E1F" w:rsidRPr="00A62E1F">
        <w:t>esures de libéralisation temporaire des échanges en complément des concessions commerciales applicables aux produits ukrainiens</w:t>
      </w:r>
      <w:bookmarkEnd w:id="1"/>
    </w:p>
    <w:p w:rsidR="00635709" w:rsidRPr="00E14323" w:rsidRDefault="00635709" w:rsidP="00635709">
      <w:pPr>
        <w:rPr>
          <w:i/>
          <w:vanish/>
        </w:rPr>
      </w:pPr>
      <w:r w:rsidRPr="00E14323">
        <w:rPr>
          <w:i/>
        </w:rPr>
        <w:fldChar w:fldCharType="begin"/>
      </w:r>
      <w:r w:rsidRPr="00E14323">
        <w:rPr>
          <w:i/>
        </w:rPr>
        <w:instrText xml:space="preserve"> TC"(</w:instrText>
      </w:r>
      <w:bookmarkStart w:id="2" w:name="DocNumber"/>
      <w:r w:rsidRPr="00E14323">
        <w:rPr>
          <w:i/>
        </w:rPr>
        <w:instrText>A</w:instrText>
      </w:r>
      <w:r w:rsidRPr="000355EA">
        <w:rPr>
          <w:i/>
        </w:rPr>
        <w:instrText>9</w:instrText>
      </w:r>
      <w:r w:rsidRPr="00E14323">
        <w:rPr>
          <w:i/>
        </w:rPr>
        <w:instrText>-</w:instrText>
      </w:r>
      <w:r w:rsidRPr="000355EA">
        <w:rPr>
          <w:i/>
        </w:rPr>
        <w:instrText>0077</w:instrText>
      </w:r>
      <w:r w:rsidRPr="00E14323">
        <w:rPr>
          <w:i/>
        </w:rPr>
        <w:instrText>/</w:instrText>
      </w:r>
      <w:r w:rsidRPr="000355EA">
        <w:rPr>
          <w:i/>
        </w:rPr>
        <w:instrText>2024</w:instrText>
      </w:r>
      <w:bookmarkEnd w:id="2"/>
      <w:r w:rsidRPr="00E14323">
        <w:rPr>
          <w:i/>
        </w:rPr>
        <w:instrText xml:space="preserve"> - </w:instrText>
      </w:r>
      <w:proofErr w:type="spellStart"/>
      <w:r w:rsidRPr="00E14323">
        <w:rPr>
          <w:i/>
        </w:rPr>
        <w:instrText>Rapporteure</w:instrText>
      </w:r>
      <w:proofErr w:type="spellEnd"/>
      <w:r w:rsidRPr="00E14323">
        <w:rPr>
          <w:i/>
        </w:rPr>
        <w:instrText xml:space="preserve">: Sandra </w:instrText>
      </w:r>
      <w:proofErr w:type="spellStart"/>
      <w:r w:rsidRPr="00E14323">
        <w:rPr>
          <w:i/>
        </w:rPr>
        <w:instrText>Kalniete</w:instrText>
      </w:r>
      <w:proofErr w:type="spellEnd"/>
      <w:r w:rsidRPr="00E14323">
        <w:rPr>
          <w:i/>
        </w:rPr>
        <w:instrText>)"\l</w:instrText>
      </w:r>
      <w:r w:rsidRPr="000355EA">
        <w:rPr>
          <w:i/>
        </w:rPr>
        <w:instrText>3</w:instrText>
      </w:r>
      <w:r w:rsidRPr="00E14323">
        <w:rPr>
          <w:i/>
        </w:rPr>
        <w:instrText xml:space="preserve"> \n&gt; \* MERGEFORMAT </w:instrText>
      </w:r>
      <w:r w:rsidRPr="00E14323">
        <w:rPr>
          <w:i/>
        </w:rPr>
        <w:fldChar w:fldCharType="end"/>
      </w:r>
    </w:p>
    <w:p w:rsidR="00635709" w:rsidRPr="00E14323" w:rsidRDefault="00635709" w:rsidP="00635709">
      <w:pPr>
        <w:rPr>
          <w:vanish/>
        </w:rPr>
      </w:pPr>
      <w:bookmarkStart w:id="3" w:name="Commission"/>
      <w:r w:rsidRPr="00E14323">
        <w:rPr>
          <w:vanish/>
        </w:rPr>
        <w:t>Commission du commerce international</w:t>
      </w:r>
      <w:bookmarkEnd w:id="3"/>
    </w:p>
    <w:p w:rsidR="00635709" w:rsidRPr="00E14323" w:rsidRDefault="00635709" w:rsidP="00635709">
      <w:pPr>
        <w:rPr>
          <w:vanish/>
        </w:rPr>
      </w:pPr>
      <w:bookmarkStart w:id="4" w:name="PE"/>
      <w:r w:rsidRPr="00E14323">
        <w:rPr>
          <w:vanish/>
        </w:rPr>
        <w:t>PE</w:t>
      </w:r>
      <w:r w:rsidRPr="000355EA">
        <w:rPr>
          <w:vanish/>
        </w:rPr>
        <w:t>758</w:t>
      </w:r>
      <w:r w:rsidRPr="00E14323">
        <w:rPr>
          <w:vanish/>
        </w:rPr>
        <w:t>.</w:t>
      </w:r>
      <w:r w:rsidRPr="000355EA">
        <w:rPr>
          <w:vanish/>
        </w:rPr>
        <w:t>861</w:t>
      </w:r>
      <w:bookmarkEnd w:id="4"/>
    </w:p>
    <w:p w:rsidR="00635709" w:rsidRPr="00E14323" w:rsidRDefault="00635709" w:rsidP="00635709">
      <w:pPr>
        <w:pStyle w:val="ATHeading3"/>
      </w:pPr>
      <w:bookmarkStart w:id="5" w:name="Sujet"/>
      <w:r w:rsidRPr="00E14323">
        <w:t xml:space="preserve">Résolution législative du Parlement européen du </w:t>
      </w:r>
      <w:r w:rsidR="00484EFE" w:rsidRPr="000355EA">
        <w:t>23</w:t>
      </w:r>
      <w:r w:rsidR="00A62E1F">
        <w:t xml:space="preserve"> avril</w:t>
      </w:r>
      <w:r w:rsidRPr="00E14323">
        <w:t xml:space="preserve"> </w:t>
      </w:r>
      <w:r w:rsidRPr="000355EA">
        <w:t>2024</w:t>
      </w:r>
      <w:r w:rsidRPr="00E14323">
        <w:t xml:space="preserve"> sur la proposition de règlement du Parlement européen et du Conseil 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bookmarkEnd w:id="5"/>
      <w:r w:rsidRPr="00E14323">
        <w:t xml:space="preserve"> </w:t>
      </w:r>
      <w:bookmarkStart w:id="6" w:name="References"/>
      <w:r w:rsidRPr="00E14323">
        <w:t>(</w:t>
      </w:r>
      <w:proofErr w:type="gramStart"/>
      <w:r w:rsidRPr="00E14323">
        <w:t>COM(</w:t>
      </w:r>
      <w:proofErr w:type="gramEnd"/>
      <w:r w:rsidRPr="000355EA">
        <w:t>2024</w:t>
      </w:r>
      <w:r w:rsidRPr="00E14323">
        <w:t>)</w:t>
      </w:r>
      <w:r w:rsidRPr="000355EA">
        <w:t>0050</w:t>
      </w:r>
      <w:r w:rsidRPr="00E14323">
        <w:t xml:space="preserve"> – C</w:t>
      </w:r>
      <w:r w:rsidRPr="000355EA">
        <w:t>9</w:t>
      </w:r>
      <w:r w:rsidRPr="00E14323">
        <w:t>-</w:t>
      </w:r>
      <w:r w:rsidRPr="000355EA">
        <w:t>0021</w:t>
      </w:r>
      <w:r w:rsidRPr="00E14323">
        <w:t>/</w:t>
      </w:r>
      <w:r w:rsidRPr="000355EA">
        <w:t>2024</w:t>
      </w:r>
      <w:r w:rsidRPr="00E14323">
        <w:t xml:space="preserve"> – </w:t>
      </w:r>
      <w:r w:rsidRPr="000355EA">
        <w:t>2024</w:t>
      </w:r>
      <w:r w:rsidRPr="00E14323">
        <w:t>/</w:t>
      </w:r>
      <w:r w:rsidRPr="000355EA">
        <w:t>0028</w:t>
      </w:r>
      <w:r w:rsidRPr="00E14323">
        <w:t>(COD))</w:t>
      </w:r>
      <w:bookmarkEnd w:id="6"/>
    </w:p>
    <w:p w:rsidR="00BE470C" w:rsidRPr="00E14323" w:rsidRDefault="00BE470C" w:rsidP="00BE470C">
      <w:pPr>
        <w:pStyle w:val="NormalBold"/>
      </w:pPr>
      <w:bookmarkStart w:id="7" w:name="TextBodyBegin"/>
      <w:bookmarkEnd w:id="7"/>
      <w:r w:rsidRPr="00E14323">
        <w:t>(Procédure législative ordinaire: première lecture)</w:t>
      </w:r>
    </w:p>
    <w:p w:rsidR="00BE470C" w:rsidRPr="00E14323" w:rsidRDefault="00BE470C" w:rsidP="00BE470C">
      <w:pPr>
        <w:pStyle w:val="EPComma"/>
      </w:pPr>
      <w:r w:rsidRPr="00E14323">
        <w:rPr>
          <w:i/>
          <w:iCs/>
        </w:rPr>
        <w:t>Le Parlement européen</w:t>
      </w:r>
      <w:r w:rsidRPr="00E14323">
        <w:t>,</w:t>
      </w:r>
    </w:p>
    <w:p w:rsidR="00BE470C" w:rsidRPr="00E14323" w:rsidRDefault="00BE470C" w:rsidP="00BE470C">
      <w:pPr>
        <w:pStyle w:val="NormalHanging12a"/>
      </w:pPr>
      <w:r w:rsidRPr="00E14323">
        <w:t>–</w:t>
      </w:r>
      <w:r w:rsidRPr="00E14323">
        <w:tab/>
        <w:t>vu la proposition de la Commission au Parlement européen et au Conseil (</w:t>
      </w:r>
      <w:proofErr w:type="gramStart"/>
      <w:r w:rsidRPr="00E14323">
        <w:t>COM(</w:t>
      </w:r>
      <w:proofErr w:type="gramEnd"/>
      <w:r w:rsidRPr="000355EA">
        <w:t>2024</w:t>
      </w:r>
      <w:r w:rsidRPr="00E14323">
        <w:t>)</w:t>
      </w:r>
      <w:r w:rsidRPr="000355EA">
        <w:t>0050</w:t>
      </w:r>
      <w:r w:rsidRPr="00E14323">
        <w:t>),</w:t>
      </w:r>
    </w:p>
    <w:p w:rsidR="00BE470C" w:rsidRPr="00E14323" w:rsidRDefault="00BE470C" w:rsidP="00BE470C">
      <w:pPr>
        <w:pStyle w:val="NormalHanging12a"/>
      </w:pPr>
      <w:r w:rsidRPr="00E14323">
        <w:t>–</w:t>
      </w:r>
      <w:r w:rsidRPr="00E14323">
        <w:tab/>
        <w:t>vu l’article </w:t>
      </w:r>
      <w:r w:rsidRPr="000355EA">
        <w:t>294</w:t>
      </w:r>
      <w:r w:rsidRPr="00E14323">
        <w:t>, paragraphe </w:t>
      </w:r>
      <w:r w:rsidRPr="000355EA">
        <w:t>2</w:t>
      </w:r>
      <w:r w:rsidRPr="00E14323">
        <w:t>, et l’article </w:t>
      </w:r>
      <w:r w:rsidRPr="000355EA">
        <w:t>207</w:t>
      </w:r>
      <w:r w:rsidRPr="00E14323">
        <w:t>, paragraphe </w:t>
      </w:r>
      <w:r w:rsidRPr="000355EA">
        <w:t>2</w:t>
      </w:r>
      <w:r w:rsidRPr="00E14323">
        <w:t>, du traité sur le fonctionnement de l’Union européenne, conformément auxquels la proposition lui a été présentée par la Commission (C</w:t>
      </w:r>
      <w:r w:rsidRPr="000355EA">
        <w:t>9</w:t>
      </w:r>
      <w:r w:rsidRPr="00E14323">
        <w:noBreakHyphen/>
      </w:r>
      <w:r w:rsidRPr="000355EA">
        <w:t>0021</w:t>
      </w:r>
      <w:r w:rsidRPr="00E14323">
        <w:t>/</w:t>
      </w:r>
      <w:r w:rsidRPr="000355EA">
        <w:t>2024</w:t>
      </w:r>
      <w:r w:rsidRPr="00E14323">
        <w:t>),</w:t>
      </w:r>
    </w:p>
    <w:p w:rsidR="00BE470C" w:rsidRDefault="00BE470C" w:rsidP="00BE470C">
      <w:pPr>
        <w:pStyle w:val="NormalHanging12a"/>
      </w:pPr>
      <w:r w:rsidRPr="00E14323">
        <w:t>–</w:t>
      </w:r>
      <w:r w:rsidRPr="00E14323">
        <w:tab/>
        <w:t>vu l’article </w:t>
      </w:r>
      <w:r w:rsidRPr="000355EA">
        <w:t>294</w:t>
      </w:r>
      <w:r w:rsidRPr="00E14323">
        <w:t>, paragraphe </w:t>
      </w:r>
      <w:r w:rsidRPr="000355EA">
        <w:t>3</w:t>
      </w:r>
      <w:r w:rsidRPr="00E14323">
        <w:t>, du traité sur le fonctionnement de l’Union européenne,</w:t>
      </w:r>
    </w:p>
    <w:p w:rsidR="00484EFE" w:rsidRDefault="00484EFE" w:rsidP="00C93109">
      <w:pPr>
        <w:ind w:left="567" w:hanging="567"/>
      </w:pPr>
      <w:r w:rsidRPr="00DB1C0F">
        <w:t>–</w:t>
      </w:r>
      <w:r w:rsidRPr="00DB1C0F">
        <w:tab/>
      </w:r>
      <w:r>
        <w:t xml:space="preserve">vu l’accord provisoire </w:t>
      </w:r>
      <w:r w:rsidRPr="00484EFE">
        <w:t>approuvé en vertu de l’article </w:t>
      </w:r>
      <w:r w:rsidRPr="000355EA">
        <w:t>74</w:t>
      </w:r>
      <w:r w:rsidRPr="00484EFE">
        <w:t>, paragraphe </w:t>
      </w:r>
      <w:r w:rsidRPr="000355EA">
        <w:t>4</w:t>
      </w:r>
      <w:r w:rsidRPr="00484EFE">
        <w:t xml:space="preserve">, de son règlement intérieur par </w:t>
      </w:r>
      <w:r w:rsidRPr="00C93109">
        <w:t>la commission compétente</w:t>
      </w:r>
      <w:r w:rsidRPr="00484EFE">
        <w:t xml:space="preserve"> et l’engagement pris par le représentant du Conseil, par lettre du </w:t>
      </w:r>
      <w:r w:rsidRPr="000355EA">
        <w:t>8</w:t>
      </w:r>
      <w:r w:rsidRPr="00484EFE">
        <w:t xml:space="preserve"> avril </w:t>
      </w:r>
      <w:r w:rsidRPr="000355EA">
        <w:t>2024</w:t>
      </w:r>
      <w:r w:rsidRPr="00484EFE">
        <w:t xml:space="preserve"> d’approuver la </w:t>
      </w:r>
      <w:r w:rsidRPr="00C93109">
        <w:t>position du Parlement européen</w:t>
      </w:r>
      <w:r w:rsidRPr="00484EFE">
        <w:t>, conformément à l’article </w:t>
      </w:r>
      <w:r w:rsidRPr="000355EA">
        <w:t>294</w:t>
      </w:r>
      <w:r w:rsidRPr="00484EFE">
        <w:t>, paragraphe </w:t>
      </w:r>
      <w:r w:rsidRPr="000355EA">
        <w:t>4</w:t>
      </w:r>
      <w:r w:rsidRPr="00484EFE">
        <w:t>, du traité sur le fonctionnement</w:t>
      </w:r>
      <w:r>
        <w:t xml:space="preserve"> de l’Union européenne,</w:t>
      </w:r>
    </w:p>
    <w:p w:rsidR="00BE470C" w:rsidRPr="00E14323" w:rsidRDefault="00BE470C" w:rsidP="00484EFE">
      <w:pPr>
        <w:pStyle w:val="NormalHanging12a"/>
        <w:spacing w:before="120"/>
      </w:pPr>
      <w:r w:rsidRPr="00E14323">
        <w:t>–</w:t>
      </w:r>
      <w:r w:rsidRPr="00E14323">
        <w:tab/>
        <w:t>vu l’article </w:t>
      </w:r>
      <w:r w:rsidRPr="000355EA">
        <w:t>59</w:t>
      </w:r>
      <w:r w:rsidRPr="00E14323">
        <w:t xml:space="preserve"> de son règlement intérieur,</w:t>
      </w:r>
    </w:p>
    <w:p w:rsidR="00BE470C" w:rsidRPr="00E14323" w:rsidRDefault="00BE470C" w:rsidP="00BE470C">
      <w:pPr>
        <w:pStyle w:val="NormalHanging12a"/>
      </w:pPr>
      <w:r w:rsidRPr="00E14323">
        <w:t>–</w:t>
      </w:r>
      <w:r w:rsidRPr="00E14323">
        <w:tab/>
        <w:t>vu l’avis de la commission de l’agriculture et du développement rural,</w:t>
      </w:r>
    </w:p>
    <w:p w:rsidR="00BE470C" w:rsidRPr="00E14323" w:rsidRDefault="00BE470C" w:rsidP="00BE470C">
      <w:pPr>
        <w:pStyle w:val="NormalHanging12a"/>
      </w:pPr>
      <w:r w:rsidRPr="00E14323">
        <w:t>–</w:t>
      </w:r>
      <w:r w:rsidRPr="00E14323">
        <w:tab/>
        <w:t>vu le rapport de la commission du commerce international (A</w:t>
      </w:r>
      <w:r w:rsidRPr="000355EA">
        <w:t>9</w:t>
      </w:r>
      <w:r w:rsidRPr="00E14323">
        <w:t>-</w:t>
      </w:r>
      <w:r w:rsidRPr="000355EA">
        <w:t>0077</w:t>
      </w:r>
      <w:r w:rsidRPr="00E14323">
        <w:t>/</w:t>
      </w:r>
      <w:r w:rsidRPr="000355EA">
        <w:t>2024</w:t>
      </w:r>
      <w:r w:rsidRPr="00E14323">
        <w:t>),</w:t>
      </w:r>
    </w:p>
    <w:p w:rsidR="004F30CD" w:rsidRDefault="00BE470C" w:rsidP="00BE470C">
      <w:pPr>
        <w:pStyle w:val="NormalHanging12a"/>
      </w:pPr>
      <w:r w:rsidRPr="000355EA">
        <w:t>1</w:t>
      </w:r>
      <w:r w:rsidRPr="00E14323">
        <w:t>.</w:t>
      </w:r>
      <w:r w:rsidRPr="00E14323">
        <w:tab/>
        <w:t xml:space="preserve">arrête </w:t>
      </w:r>
      <w:r w:rsidR="00484EFE">
        <w:t>l</w:t>
      </w:r>
      <w:r w:rsidRPr="00E14323">
        <w:t xml:space="preserve">a position en première lecture </w:t>
      </w:r>
      <w:r w:rsidR="00484EFE" w:rsidRPr="00C2503D">
        <w:t>figurant ci-après;</w:t>
      </w:r>
    </w:p>
    <w:p w:rsidR="00484EFE" w:rsidRDefault="00484EFE" w:rsidP="00BE470C">
      <w:pPr>
        <w:pStyle w:val="NormalHanging12a"/>
      </w:pPr>
      <w:r w:rsidRPr="000355EA">
        <w:t>2</w:t>
      </w:r>
      <w:r>
        <w:t>.</w:t>
      </w:r>
      <w:r>
        <w:tab/>
      </w:r>
      <w:r w:rsidRPr="00484EFE">
        <w:t xml:space="preserve">prend note des déclarations de la Commission annexées à la présente résolution, qui </w:t>
      </w:r>
      <w:r w:rsidRPr="00484EFE">
        <w:lastRenderedPageBreak/>
        <w:t xml:space="preserve">seront publiées dans la série C du </w:t>
      </w:r>
      <w:r w:rsidRPr="00C93109">
        <w:rPr>
          <w:i/>
        </w:rPr>
        <w:t>Journal officiel de l’Union européenne</w:t>
      </w:r>
      <w:r w:rsidRPr="00484EFE">
        <w:t>;</w:t>
      </w:r>
    </w:p>
    <w:p w:rsidR="00BE470C" w:rsidRPr="00E14323" w:rsidRDefault="00484EFE" w:rsidP="00BE470C">
      <w:pPr>
        <w:pStyle w:val="NormalHanging12a"/>
      </w:pPr>
      <w:r w:rsidRPr="000355EA">
        <w:t>3</w:t>
      </w:r>
      <w:r w:rsidR="00BE470C" w:rsidRPr="00E14323">
        <w:t>.</w:t>
      </w:r>
      <w:r w:rsidR="00BE470C" w:rsidRPr="00E14323">
        <w:tab/>
        <w:t>demande à la Commission de le saisir à nouveau si elle remplace, modifie de manière substantielle ou entend modifier de manière substantielle sa proposition;</w:t>
      </w:r>
    </w:p>
    <w:p w:rsidR="000355EA" w:rsidRDefault="00484EFE" w:rsidP="00A62E1F">
      <w:pPr>
        <w:pStyle w:val="NormalHanging12a"/>
        <w:sectPr w:rsidR="000355EA" w:rsidSect="00E143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355EA">
        <w:t>4</w:t>
      </w:r>
      <w:r w:rsidR="00BE470C" w:rsidRPr="00E14323">
        <w:t>.</w:t>
      </w:r>
      <w:r w:rsidR="00BE470C" w:rsidRPr="00E14323">
        <w:tab/>
        <w:t>charge sa Présidente de transmettre la position du Parlement au Conseil et à la Commission ainsi qu’aux parlements nationaux.</w:t>
      </w:r>
      <w:bookmarkStart w:id="8" w:name="TextBodyEnd"/>
      <w:bookmarkEnd w:id="8"/>
    </w:p>
    <w:p w:rsidR="00484EFE" w:rsidRPr="00C84BAF" w:rsidRDefault="00484EFE" w:rsidP="00484EFE">
      <w:pPr>
        <w:autoSpaceDE w:val="0"/>
        <w:autoSpaceDN w:val="0"/>
        <w:adjustRightInd w:val="0"/>
        <w:spacing w:after="240"/>
        <w:rPr>
          <w:b/>
          <w:bCs/>
          <w:color w:val="000000"/>
        </w:rPr>
      </w:pPr>
      <w:r w:rsidRPr="00FD072E">
        <w:rPr>
          <w:b/>
          <w:bCs/>
          <w:color w:val="000000"/>
        </w:rPr>
        <w:lastRenderedPageBreak/>
        <w:t>P</w:t>
      </w:r>
      <w:r w:rsidRPr="000355EA">
        <w:rPr>
          <w:b/>
          <w:bCs/>
          <w:color w:val="000000"/>
        </w:rPr>
        <w:t>9</w:t>
      </w:r>
      <w:r w:rsidRPr="00FD072E">
        <w:rPr>
          <w:b/>
          <w:bCs/>
          <w:color w:val="000000"/>
        </w:rPr>
        <w:t>_TC</w:t>
      </w:r>
      <w:r w:rsidRPr="000355EA">
        <w:rPr>
          <w:b/>
          <w:bCs/>
          <w:color w:val="000000"/>
        </w:rPr>
        <w:t>1</w:t>
      </w:r>
      <w:r w:rsidRPr="00FD072E">
        <w:rPr>
          <w:b/>
          <w:bCs/>
          <w:color w:val="000000"/>
        </w:rPr>
        <w:t>-</w:t>
      </w:r>
      <w:proofErr w:type="gramStart"/>
      <w:r w:rsidRPr="00C84BAF">
        <w:rPr>
          <w:b/>
          <w:bCs/>
          <w:color w:val="000000"/>
        </w:rPr>
        <w:t>COD(</w:t>
      </w:r>
      <w:proofErr w:type="gramEnd"/>
      <w:r w:rsidRPr="000355EA">
        <w:rPr>
          <w:b/>
          <w:bCs/>
          <w:color w:val="000000"/>
        </w:rPr>
        <w:t>2024</w:t>
      </w:r>
      <w:r w:rsidRPr="00C84BAF">
        <w:rPr>
          <w:b/>
          <w:bCs/>
          <w:color w:val="000000"/>
        </w:rPr>
        <w:t>)</w:t>
      </w:r>
      <w:r w:rsidRPr="000355EA">
        <w:rPr>
          <w:b/>
          <w:bCs/>
          <w:color w:val="000000"/>
        </w:rPr>
        <w:t>0028</w:t>
      </w:r>
    </w:p>
    <w:p w:rsidR="00484EFE" w:rsidRPr="00484EFE" w:rsidRDefault="00484EFE" w:rsidP="00484EFE">
      <w:pPr>
        <w:spacing w:after="240"/>
        <w:rPr>
          <w:rFonts w:eastAsia="Calibri"/>
          <w:b/>
          <w:noProof/>
          <w:szCs w:val="22"/>
          <w:lang w:eastAsia="en-US"/>
        </w:rPr>
      </w:pPr>
      <w:r w:rsidRPr="00C92B87">
        <w:rPr>
          <w:b/>
        </w:rPr>
        <w:t xml:space="preserve">Position du Parlement européen </w:t>
      </w:r>
      <w:r w:rsidRPr="007C3D18">
        <w:rPr>
          <w:b/>
        </w:rPr>
        <w:t xml:space="preserve">arrêtée en première lecture </w:t>
      </w:r>
      <w:r w:rsidRPr="00484EFE">
        <w:rPr>
          <w:b/>
        </w:rPr>
        <w:t xml:space="preserve">le </w:t>
      </w:r>
      <w:r w:rsidRPr="000355EA">
        <w:rPr>
          <w:b/>
        </w:rPr>
        <w:t>23</w:t>
      </w:r>
      <w:r w:rsidRPr="00484EFE">
        <w:rPr>
          <w:b/>
        </w:rPr>
        <w:t xml:space="preserve"> avril </w:t>
      </w:r>
      <w:r w:rsidRPr="000355EA">
        <w:rPr>
          <w:b/>
        </w:rPr>
        <w:t>2024</w:t>
      </w:r>
      <w:r w:rsidRPr="00484EFE">
        <w:rPr>
          <w:b/>
        </w:rPr>
        <w:t xml:space="preserve"> en vue de l’adoption du règlement (UE) </w:t>
      </w:r>
      <w:r w:rsidRPr="000355EA">
        <w:rPr>
          <w:b/>
        </w:rPr>
        <w:t>2024</w:t>
      </w:r>
      <w:r w:rsidRPr="00484EFE">
        <w:rPr>
          <w:b/>
        </w:rPr>
        <w:t>/... du Parlement européen et du Conseil</w:t>
      </w:r>
      <w:bookmarkStart w:id="9" w:name="_Hlk157685712"/>
      <w:bookmarkStart w:id="10" w:name="_Hlk101503899"/>
      <w:r w:rsidRPr="00484EFE">
        <w:rPr>
          <w:b/>
        </w:rPr>
        <w:t xml:space="preserve"> </w:t>
      </w:r>
      <w:r w:rsidRPr="00484EFE">
        <w:rPr>
          <w:rFonts w:eastAsia="Calibri"/>
          <w:b/>
          <w:noProof/>
          <w:szCs w:val="22"/>
          <w:lang w:eastAsia="en-US"/>
        </w:rPr>
        <w:t>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p>
    <w:bookmarkEnd w:id="9"/>
    <w:bookmarkEnd w:id="10"/>
    <w:p w:rsidR="00F6650D" w:rsidRDefault="00F6650D" w:rsidP="00F6650D">
      <w:pPr>
        <w:pStyle w:val="NormalWeb"/>
        <w:spacing w:before="360" w:beforeAutospacing="0" w:after="240" w:afterAutospacing="0"/>
        <w:rPr>
          <w:lang w:val="fr-FR"/>
        </w:rPr>
      </w:pPr>
      <w:r>
        <w:rPr>
          <w:i/>
          <w:iCs/>
          <w:lang w:val="fr-FR"/>
        </w:rPr>
        <w:t>(Étant donné l'accord intervenu entre le Parlement et le Conseil, la position du Parlement correspond à l'acte législatif final, le règlement (UE) 2024/1392.)</w:t>
      </w:r>
    </w:p>
    <w:p w:rsidR="00F6650D" w:rsidRDefault="00F6650D">
      <w:pPr>
        <w:widowControl/>
      </w:pPr>
      <w:r>
        <w:br w:type="page"/>
      </w:r>
    </w:p>
    <w:p w:rsidR="00484EFE" w:rsidRPr="000355EA" w:rsidRDefault="00484EFE" w:rsidP="00C93109">
      <w:pPr>
        <w:spacing w:before="360"/>
        <w:jc w:val="right"/>
      </w:pPr>
      <w:r w:rsidRPr="000355EA">
        <w:lastRenderedPageBreak/>
        <w:t xml:space="preserve">ANNEXE </w:t>
      </w:r>
      <w:r w:rsidRPr="000355EA">
        <w:rPr>
          <w:rFonts w:ascii="Times New Roman Bold" w:hAnsi="Times New Roman Bold"/>
          <w:caps/>
        </w:rPr>
        <w:t>à</w:t>
      </w:r>
      <w:r w:rsidRPr="000355EA">
        <w:t xml:space="preserve"> LA R</w:t>
      </w:r>
      <w:r w:rsidRPr="000355EA">
        <w:rPr>
          <w:rFonts w:ascii="Times New Roman Bold" w:hAnsi="Times New Roman Bold"/>
          <w:caps/>
        </w:rPr>
        <w:t>é</w:t>
      </w:r>
      <w:r w:rsidRPr="000355EA">
        <w:t>SOLUTION L</w:t>
      </w:r>
      <w:r w:rsidRPr="000355EA">
        <w:rPr>
          <w:rFonts w:ascii="Times New Roman Bold" w:hAnsi="Times New Roman Bold"/>
          <w:caps/>
        </w:rPr>
        <w:t>é</w:t>
      </w:r>
      <w:r w:rsidRPr="000355EA">
        <w:t>GISLATIVE</w:t>
      </w:r>
    </w:p>
    <w:p w:rsidR="00484EFE" w:rsidRPr="00700880" w:rsidRDefault="00484EFE" w:rsidP="00C93109">
      <w:pPr>
        <w:spacing w:before="360"/>
        <w:jc w:val="center"/>
        <w:rPr>
          <w:b/>
        </w:rPr>
      </w:pPr>
      <w:r w:rsidRPr="00700880">
        <w:rPr>
          <w:b/>
        </w:rPr>
        <w:t xml:space="preserve">Déclaration de la Commission sur le suivi des importations de céréales en provenance d’Ukraine à l’occasion de l’adoption du règlement </w:t>
      </w:r>
      <w:r w:rsidR="00F6650D">
        <w:rPr>
          <w:b/>
        </w:rPr>
        <w:t xml:space="preserve">(UE) </w:t>
      </w:r>
      <w:r w:rsidRPr="000355EA">
        <w:rPr>
          <w:b/>
        </w:rPr>
        <w:t>2024</w:t>
      </w:r>
      <w:r w:rsidRPr="00700880">
        <w:rPr>
          <w:b/>
        </w:rPr>
        <w:t>/</w:t>
      </w:r>
      <w:r w:rsidR="00F6650D">
        <w:rPr>
          <w:b/>
        </w:rPr>
        <w:t>1392</w:t>
      </w:r>
    </w:p>
    <w:p w:rsidR="00484EFE" w:rsidRDefault="00484EFE" w:rsidP="00484EFE"/>
    <w:p w:rsidR="00484EFE" w:rsidRDefault="00484EFE" w:rsidP="00484EFE">
      <w:r w:rsidRPr="00700880">
        <w:t>La guerre d’agression menée par la Russie contre l’Ukraine a perturbé les chaînes d’approvisionnement qui existaient jusqu’alors. Afin de préserver la sécurité alimentaire mondiale, l’Union européenne aide l’Ukraine, par la mise en place notamment de corridors de solidarité, à assurer la reprise d’une circulation normale des céréales et d’autre biens et à faire en sorte que les exportations de céréales atteignent leurs destinations, en particulier lorsqu’elles sont situées dans des marchés tiers.</w:t>
      </w:r>
    </w:p>
    <w:p w:rsidR="00484EFE" w:rsidRPr="00700880" w:rsidRDefault="00484EFE" w:rsidP="00484EFE"/>
    <w:p w:rsidR="00484EFE" w:rsidRDefault="00484EFE" w:rsidP="00484EFE">
      <w:r w:rsidRPr="00700880">
        <w:t>La Commission est déterminée à soutenir l’Ukraine, tout en préservant les intérêts des producteurs européens de céréales et en garantissant le bon fonctionnement du marché des céréales de l’Union.</w:t>
      </w:r>
    </w:p>
    <w:p w:rsidR="00484EFE" w:rsidRPr="00700880" w:rsidRDefault="00484EFE" w:rsidP="00484EFE"/>
    <w:p w:rsidR="00484EFE" w:rsidRPr="00700880" w:rsidRDefault="00484EFE" w:rsidP="00484EFE">
      <w:r w:rsidRPr="00700880">
        <w:t xml:space="preserve">Compte tenu de l’importance de la production de céréales et des marchés céréaliers, la Commission accordera une attention particulière au suivi des importations de céréales, en particulier de blé, et notamment à la concentration de ces importations dans les États membres voisins de l’Ukraine. Dans le cadre de son dialogue régulier avec l’Ukraine, la Commission abordera toute question soulevée par le suivi. La Commission rappelle que les importations en provenance d’Ukraine peuvent faire l’objet d’une surveillance en vertu du chapitre IV du règlement (UE) </w:t>
      </w:r>
      <w:r w:rsidRPr="000355EA">
        <w:t>2015</w:t>
      </w:r>
      <w:r w:rsidRPr="00700880">
        <w:t>/</w:t>
      </w:r>
      <w:r w:rsidRPr="000355EA">
        <w:t>478</w:t>
      </w:r>
      <w:r w:rsidRPr="00700880">
        <w:t xml:space="preserve"> du Parlement européen et du Conseil du </w:t>
      </w:r>
      <w:r w:rsidRPr="000355EA">
        <w:t>11</w:t>
      </w:r>
      <w:r w:rsidRPr="00700880">
        <w:t xml:space="preserve"> mars </w:t>
      </w:r>
      <w:r w:rsidRPr="000355EA">
        <w:t>2015</w:t>
      </w:r>
      <w:r w:rsidRPr="00700880">
        <w:t xml:space="preserve"> relatif au régime commun applicable aux importations, qui peut prendre la forme de licences</w:t>
      </w:r>
      <w:r w:rsidR="003614CD">
        <w:t xml:space="preserve"> d’importation </w:t>
      </w:r>
      <w:r w:rsidRPr="00700880">
        <w:t>si l’évolution des importations menace de causer un dommage aux producteurs de l’Union et si les intérêts de l’Union l’exigent. À cet effet, la Commission utilisera les outils à sa disposition en tant que de besoin. Elle continuera par ailleurs à faire régulièrement rapport aux États membres sur les résultats de son dialogue régulier avec l’Ukraine.</w:t>
      </w:r>
    </w:p>
    <w:p w:rsidR="00484EFE" w:rsidRDefault="00484EFE" w:rsidP="00484EFE"/>
    <w:p w:rsidR="00484EFE" w:rsidRDefault="00484EFE" w:rsidP="00484EFE">
      <w:r w:rsidRPr="00700880">
        <w:t xml:space="preserve">Pour les produits bénéficiant de mesures commerciales autonomes, la Commission rappelle que le règlement prévoit aussi un mécanisme de sauvegarde renforcé. C’est la première fois que la Commission instaure un tel mécanisme, et elle est prête à l’activer en cas d’effets préjudiciables sur le marché d’un ou de plusieurs États membres et pas seulement sur le marché de l’Union dans son ensemble. À cet égard, la Commission utilisera toute l’étendue de ses pouvoirs pour enclencher d’office le mécanisme de sauvegarde renforcé pour les importations de blé en provenance d’Ukraine. </w:t>
      </w:r>
    </w:p>
    <w:p w:rsidR="00484EFE" w:rsidRPr="00700880" w:rsidRDefault="00484EFE" w:rsidP="00484EFE"/>
    <w:p w:rsidR="00484EFE" w:rsidRPr="00700880" w:rsidRDefault="00484EFE" w:rsidP="00484EFE">
      <w:r w:rsidRPr="00700880">
        <w:t xml:space="preserve">La Commission rappelle qu’en </w:t>
      </w:r>
      <w:r w:rsidRPr="000355EA">
        <w:t>2022</w:t>
      </w:r>
      <w:r w:rsidRPr="00700880">
        <w:t xml:space="preserve"> et </w:t>
      </w:r>
      <w:r w:rsidRPr="000355EA">
        <w:t>2023</w:t>
      </w:r>
      <w:r w:rsidRPr="00700880">
        <w:t>, elle a adopté des mesures destinées à soutenir les agriculteurs européens dans tous les États membres, notamment dans les États membres voisins de l’Ukraine.</w:t>
      </w:r>
    </w:p>
    <w:p w:rsidR="00484EFE" w:rsidRPr="00700880" w:rsidRDefault="00484EFE" w:rsidP="00484EFE">
      <w:r w:rsidRPr="00700880">
        <w:br w:type="page"/>
      </w:r>
    </w:p>
    <w:p w:rsidR="00484EFE" w:rsidRPr="00700880" w:rsidRDefault="00484EFE" w:rsidP="00484EFE">
      <w:pPr>
        <w:spacing w:before="360"/>
        <w:jc w:val="center"/>
        <w:rPr>
          <w:b/>
          <w:bCs/>
        </w:rPr>
      </w:pPr>
      <w:r w:rsidRPr="00700880">
        <w:rPr>
          <w:b/>
        </w:rPr>
        <w:lastRenderedPageBreak/>
        <w:t>Déclaration de la Commission sur le processus de révision au titre de l’article </w:t>
      </w:r>
      <w:r w:rsidRPr="000355EA">
        <w:rPr>
          <w:b/>
        </w:rPr>
        <w:t>29</w:t>
      </w:r>
      <w:r w:rsidRPr="00700880">
        <w:rPr>
          <w:b/>
        </w:rPr>
        <w:t xml:space="preserve"> de l’accord d’association à l’occasion de l’adoption du règlement </w:t>
      </w:r>
      <w:r w:rsidR="00F6650D">
        <w:rPr>
          <w:b/>
        </w:rPr>
        <w:t xml:space="preserve">(UE) </w:t>
      </w:r>
      <w:r w:rsidRPr="000355EA">
        <w:rPr>
          <w:b/>
        </w:rPr>
        <w:t>2024</w:t>
      </w:r>
      <w:r w:rsidRPr="00700880">
        <w:rPr>
          <w:b/>
        </w:rPr>
        <w:t>/</w:t>
      </w:r>
      <w:r w:rsidR="00F6650D">
        <w:rPr>
          <w:b/>
        </w:rPr>
        <w:t>1392</w:t>
      </w:r>
    </w:p>
    <w:p w:rsidR="00484EFE" w:rsidRPr="00700880" w:rsidRDefault="00484EFE" w:rsidP="00484EFE">
      <w:pPr>
        <w:spacing w:before="360"/>
      </w:pPr>
      <w:r w:rsidRPr="00700880">
        <w:t xml:space="preserve">La Commission confirme que, dès que les nouvelles mesures commerciales autonomes auront été adoptées par les </w:t>
      </w:r>
      <w:proofErr w:type="spellStart"/>
      <w:r w:rsidRPr="00700880">
        <w:t>colégislateurs</w:t>
      </w:r>
      <w:proofErr w:type="spellEnd"/>
      <w:r w:rsidRPr="00700880">
        <w:t>, elle prendra les mesures nécessaires au titre de l’article </w:t>
      </w:r>
      <w:r w:rsidRPr="000355EA">
        <w:t>29</w:t>
      </w:r>
      <w:r w:rsidRPr="00700880">
        <w:t xml:space="preserve"> de l’accord d’association pour poursuivre, par des consultations avec l’Ukraine, le processus de libéralisation tarifaire réciproque.</w:t>
      </w:r>
    </w:p>
    <w:p w:rsidR="00484EFE" w:rsidRPr="00700880" w:rsidRDefault="00484EFE" w:rsidP="00484EFE">
      <w:pPr>
        <w:spacing w:before="360"/>
      </w:pPr>
      <w:r w:rsidRPr="00700880">
        <w:t>La Commission associera étroitement le Parlement européen et le tiendra informé de l’état d’avancement de ses consultations avec l’Ukraine. Elle tiendra aussi dûment compte des observations qu’il pourrait formuler à ce sujet.</w:t>
      </w:r>
    </w:p>
    <w:p w:rsidR="00484EFE" w:rsidRPr="001375CF" w:rsidRDefault="00484EFE" w:rsidP="00484EFE">
      <w:pPr>
        <w:spacing w:before="360"/>
      </w:pPr>
      <w:r w:rsidRPr="00700880">
        <w:t>La Commission rappelle que ces modalités de travail ne constituent pas un précédent pour les clauses de révision figurant dans d’autres accords et qu’elles ne s’écartent pas de l’article </w:t>
      </w:r>
      <w:r w:rsidRPr="000355EA">
        <w:t>218</w:t>
      </w:r>
      <w:r w:rsidRPr="00700880">
        <w:t xml:space="preserve"> du traité sur le fonctionnement de l’Union européenne.</w:t>
      </w:r>
      <w:bookmarkStart w:id="11" w:name="_Hlk162345814"/>
      <w:r>
        <w:t xml:space="preserve"> </w:t>
      </w:r>
      <w:r w:rsidRPr="00700880">
        <w:t>Grâce aux résultats de ce processus, l’Ukraine et l’Union européenne, ainsi que leurs agriculteurs et entreprises, bénéficieront d’une sécurité économique et d’échanges commerciaux stables. Cela constituera également une étape importante dans la reconstruction de l’Ukraine et la poursuite de son intégration dans le marché intérieur de l’Union européenne en vue de sa future adhésion à l’Union.</w:t>
      </w:r>
      <w:bookmarkStart w:id="12" w:name="_GoBack"/>
      <w:bookmarkEnd w:id="11"/>
      <w:bookmarkEnd w:id="12"/>
    </w:p>
    <w:p w:rsidR="00484EFE" w:rsidRPr="00484EFE" w:rsidRDefault="00484EFE" w:rsidP="00484EFE">
      <w:pPr>
        <w:widowControl/>
        <w:rPr>
          <w:rFonts w:eastAsia="Calibri"/>
          <w:szCs w:val="24"/>
          <w:lang w:eastAsia="en-US"/>
        </w:rPr>
      </w:pPr>
    </w:p>
    <w:sectPr w:rsidR="00484EFE" w:rsidRPr="00484EFE" w:rsidSect="00E143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709" w:rsidRPr="00E14323" w:rsidRDefault="00635709">
      <w:r w:rsidRPr="00E14323">
        <w:separator/>
      </w:r>
    </w:p>
  </w:endnote>
  <w:endnote w:type="continuationSeparator" w:id="0">
    <w:p w:rsidR="00635709" w:rsidRPr="00E14323" w:rsidRDefault="00635709">
      <w:r w:rsidRPr="00E14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3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3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3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709" w:rsidRPr="00E14323" w:rsidRDefault="00635709">
      <w:r w:rsidRPr="00E14323">
        <w:separator/>
      </w:r>
    </w:p>
  </w:footnote>
  <w:footnote w:type="continuationSeparator" w:id="0">
    <w:p w:rsidR="00635709" w:rsidRPr="00E14323" w:rsidRDefault="00635709">
      <w:r w:rsidRPr="00E143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3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3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3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FR"/>
    <w:docVar w:name="dvnumam" w:val="26"/>
    <w:docVar w:name="dvpe" w:val="758.861"/>
    <w:docVar w:name="dvrapporteur" w:val="Rapporteure: "/>
    <w:docVar w:name="dvstar" w:val="***I"/>
    <w:docVar w:name="dvtitre" w:val="Résolution législative du Parlement européen du ... 2024 sur la proposition de règlement du Parlement européen et du Conseil 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COM(2024)0050 – C9-0021/2024 – 2024/0028(COD))"/>
  </w:docVars>
  <w:rsids>
    <w:rsidRoot w:val="00635709"/>
    <w:rsid w:val="00002272"/>
    <w:rsid w:val="000355EA"/>
    <w:rsid w:val="00064002"/>
    <w:rsid w:val="000677B9"/>
    <w:rsid w:val="000831BA"/>
    <w:rsid w:val="000A42CC"/>
    <w:rsid w:val="000D224F"/>
    <w:rsid w:val="000E7DD9"/>
    <w:rsid w:val="0010095E"/>
    <w:rsid w:val="00125B37"/>
    <w:rsid w:val="00187494"/>
    <w:rsid w:val="001F32AE"/>
    <w:rsid w:val="002767FF"/>
    <w:rsid w:val="002B18FE"/>
    <w:rsid w:val="002B5493"/>
    <w:rsid w:val="00343214"/>
    <w:rsid w:val="003614CD"/>
    <w:rsid w:val="00361C00"/>
    <w:rsid w:val="00395FA1"/>
    <w:rsid w:val="003E15D4"/>
    <w:rsid w:val="00411CCE"/>
    <w:rsid w:val="0041666E"/>
    <w:rsid w:val="00421060"/>
    <w:rsid w:val="00471C19"/>
    <w:rsid w:val="00484EFE"/>
    <w:rsid w:val="004867E3"/>
    <w:rsid w:val="00494A28"/>
    <w:rsid w:val="004C0004"/>
    <w:rsid w:val="004C5D52"/>
    <w:rsid w:val="004F30CD"/>
    <w:rsid w:val="0050519A"/>
    <w:rsid w:val="005072A1"/>
    <w:rsid w:val="00514517"/>
    <w:rsid w:val="00545827"/>
    <w:rsid w:val="00560270"/>
    <w:rsid w:val="005709FC"/>
    <w:rsid w:val="005C2568"/>
    <w:rsid w:val="006037C0"/>
    <w:rsid w:val="0063570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E1F"/>
    <w:rsid w:val="00A778C7"/>
    <w:rsid w:val="00AB441E"/>
    <w:rsid w:val="00AB6293"/>
    <w:rsid w:val="00AE0928"/>
    <w:rsid w:val="00AF3B82"/>
    <w:rsid w:val="00B12E95"/>
    <w:rsid w:val="00B22876"/>
    <w:rsid w:val="00B558F0"/>
    <w:rsid w:val="00BD48FE"/>
    <w:rsid w:val="00BD7BD8"/>
    <w:rsid w:val="00BE470C"/>
    <w:rsid w:val="00BE6ADC"/>
    <w:rsid w:val="00C05BFE"/>
    <w:rsid w:val="00C23CD4"/>
    <w:rsid w:val="00C61C0C"/>
    <w:rsid w:val="00C93109"/>
    <w:rsid w:val="00C941CB"/>
    <w:rsid w:val="00CC2357"/>
    <w:rsid w:val="00CF071A"/>
    <w:rsid w:val="00D058B8"/>
    <w:rsid w:val="00D56C11"/>
    <w:rsid w:val="00D834A0"/>
    <w:rsid w:val="00D872DF"/>
    <w:rsid w:val="00D91E21"/>
    <w:rsid w:val="00DA7FCD"/>
    <w:rsid w:val="00DE14DD"/>
    <w:rsid w:val="00E14323"/>
    <w:rsid w:val="00E365E1"/>
    <w:rsid w:val="00E820A4"/>
    <w:rsid w:val="00EB006A"/>
    <w:rsid w:val="00EB4772"/>
    <w:rsid w:val="00ED169E"/>
    <w:rsid w:val="00ED4235"/>
    <w:rsid w:val="00F04346"/>
    <w:rsid w:val="00F075DC"/>
    <w:rsid w:val="00F149E9"/>
    <w:rsid w:val="00F5134D"/>
    <w:rsid w:val="00F6650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9EFF3"/>
  <w15:chartTrackingRefBased/>
  <w15:docId w15:val="{6B8CDC35-392A-42A3-9E67-995034C2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470C"/>
    <w:pPr>
      <w:spacing w:before="480" w:after="240"/>
    </w:pPr>
  </w:style>
  <w:style w:type="paragraph" w:customStyle="1" w:styleId="NormalBold">
    <w:name w:val="NormalBold"/>
    <w:basedOn w:val="Normal"/>
    <w:link w:val="NormalBoldChar"/>
    <w:rsid w:val="00BE470C"/>
    <w:rPr>
      <w:b/>
    </w:rPr>
  </w:style>
  <w:style w:type="paragraph" w:customStyle="1" w:styleId="NormalHanging12a">
    <w:name w:val="NormalHanging12a"/>
    <w:basedOn w:val="Normal"/>
    <w:rsid w:val="00BE470C"/>
    <w:pPr>
      <w:spacing w:after="240"/>
      <w:ind w:left="567" w:hanging="567"/>
    </w:pPr>
  </w:style>
  <w:style w:type="character" w:customStyle="1" w:styleId="NormalBoldChar">
    <w:name w:val="NormalBold Char"/>
    <w:basedOn w:val="DefaultParagraphFont"/>
    <w:link w:val="NormalBold"/>
    <w:locked/>
    <w:rsid w:val="00BE470C"/>
    <w:rPr>
      <w:b/>
      <w:sz w:val="24"/>
      <w:lang w:val="fr-FR"/>
    </w:rPr>
  </w:style>
  <w:style w:type="character" w:styleId="Hyperlink">
    <w:name w:val="Hyperlink"/>
    <w:basedOn w:val="DefaultParagraphFont"/>
    <w:unhideWhenUsed/>
    <w:rsid w:val="00484EFE"/>
    <w:rPr>
      <w:color w:val="0000FF"/>
      <w:u w:val="single"/>
    </w:rPr>
  </w:style>
  <w:style w:type="paragraph" w:styleId="NormalWeb">
    <w:name w:val="Normal (Web)"/>
    <w:basedOn w:val="Normal"/>
    <w:uiPriority w:val="99"/>
    <w:unhideWhenUsed/>
    <w:rsid w:val="00F6650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27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899AB-B801-40AC-B446-11D13BC49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1011</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BINKEVICIUTE Aurelija</cp:lastModifiedBy>
  <cp:revision>3</cp:revision>
  <cp:lastPrinted>2004-11-19T15:42:00Z</cp:lastPrinted>
  <dcterms:created xsi:type="dcterms:W3CDTF">2024-09-09T14:19:00Z</dcterms:created>
  <dcterms:modified xsi:type="dcterms:W3CDTF">2024-10-15T15:17:00Z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P9_TA(2024)0304_</vt:lpwstr>
  </property>
  <property fmtid="{D5CDD505-2E9C-101B-9397-08002B2CF9AE}" pid="4" name="&lt;Type&gt;">
    <vt:lpwstr>RR</vt:lpwstr>
  </property>
</Properties>
</file>