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CE4" w:rsidTr="0010095E">
        <w:trPr>
          <w:trHeight w:hRule="exact" w:val="1418"/>
        </w:trPr>
        <w:tc>
          <w:tcPr>
            <w:tcW w:w="6804" w:type="dxa"/>
            <w:shd w:val="clear" w:color="auto" w:fill="auto"/>
            <w:vAlign w:val="center"/>
          </w:tcPr>
          <w:p w:rsidR="00751A4A" w:rsidRPr="00930CE4" w:rsidRDefault="004940DF" w:rsidP="0010095E">
            <w:pPr>
              <w:pStyle w:val="EPName"/>
            </w:pPr>
            <w:r w:rsidRPr="00930CE4">
              <w:t>Europski parlament</w:t>
            </w:r>
          </w:p>
          <w:p w:rsidR="00751A4A" w:rsidRPr="00930CE4" w:rsidRDefault="00817416" w:rsidP="00756632">
            <w:pPr>
              <w:pStyle w:val="EPTerm"/>
              <w:rPr>
                <w:rStyle w:val="HideTWBExt"/>
                <w:noProof w:val="0"/>
                <w:vanish w:val="0"/>
                <w:color w:val="auto"/>
              </w:rPr>
            </w:pPr>
            <w:r w:rsidRPr="005B0328">
              <w:t>2019</w:t>
            </w:r>
            <w:r w:rsidRPr="00930CE4">
              <w:t>-</w:t>
            </w:r>
            <w:r w:rsidRPr="005B0328">
              <w:t>2024</w:t>
            </w:r>
          </w:p>
        </w:tc>
        <w:tc>
          <w:tcPr>
            <w:tcW w:w="2268" w:type="dxa"/>
            <w:shd w:val="clear" w:color="auto" w:fill="auto"/>
          </w:tcPr>
          <w:p w:rsidR="00751A4A" w:rsidRPr="00930CE4" w:rsidRDefault="00187494" w:rsidP="0010095E">
            <w:pPr>
              <w:pStyle w:val="EPLogo"/>
            </w:pPr>
            <w:r w:rsidRPr="00930CE4">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0CE4" w:rsidRDefault="00D058B8" w:rsidP="004C5D52">
      <w:pPr>
        <w:pStyle w:val="LineTop"/>
      </w:pPr>
    </w:p>
    <w:p w:rsidR="00680577" w:rsidRPr="00930CE4" w:rsidRDefault="004940DF" w:rsidP="00680577">
      <w:pPr>
        <w:pStyle w:val="EPBodyTA1"/>
      </w:pPr>
      <w:r w:rsidRPr="00930CE4">
        <w:t>USVOJENI TEKSTOVI</w:t>
      </w:r>
    </w:p>
    <w:p w:rsidR="00D058B8" w:rsidRPr="00930CE4" w:rsidRDefault="00D058B8" w:rsidP="00D058B8">
      <w:pPr>
        <w:pStyle w:val="LineBottom"/>
      </w:pPr>
    </w:p>
    <w:p w:rsidR="004940DF" w:rsidRPr="00930CE4" w:rsidRDefault="004940DF" w:rsidP="004940DF">
      <w:pPr>
        <w:pStyle w:val="ATHeading1"/>
      </w:pPr>
      <w:bookmarkStart w:id="0" w:name="TANumber"/>
      <w:r w:rsidRPr="00930CE4">
        <w:t>P</w:t>
      </w:r>
      <w:r w:rsidRPr="005B0328">
        <w:t>9</w:t>
      </w:r>
      <w:r w:rsidRPr="00930CE4">
        <w:t>_TA(</w:t>
      </w:r>
      <w:r w:rsidRPr="005B0328">
        <w:t>2024</w:t>
      </w:r>
      <w:r w:rsidRPr="00930CE4">
        <w:t>)</w:t>
      </w:r>
      <w:r w:rsidRPr="005B0328">
        <w:t>0</w:t>
      </w:r>
      <w:r w:rsidR="00930CE4" w:rsidRPr="005B0328">
        <w:t>304</w:t>
      </w:r>
      <w:bookmarkEnd w:id="0"/>
    </w:p>
    <w:p w:rsidR="004940DF" w:rsidRPr="00930CE4" w:rsidRDefault="004940DF" w:rsidP="004940DF">
      <w:pPr>
        <w:pStyle w:val="ATHeading2"/>
      </w:pPr>
      <w:bookmarkStart w:id="1" w:name="title"/>
      <w:r w:rsidRPr="00930CE4">
        <w:t>Privremene mjere liberalizacije trgovine kojima se dopunjuju trgovinske povlastice koje se primjenjuju na ukrajinske proizvode na temelju Sporazuma o pridruživanju između EU-a, Euratoma i Ukrajine</w:t>
      </w:r>
      <w:bookmarkEnd w:id="1"/>
    </w:p>
    <w:p w:rsidR="004940DF" w:rsidRPr="00930CE4" w:rsidRDefault="004940DF" w:rsidP="004940DF">
      <w:pPr>
        <w:rPr>
          <w:i/>
          <w:vanish/>
        </w:rPr>
      </w:pPr>
      <w:r w:rsidRPr="00930CE4">
        <w:rPr>
          <w:i/>
        </w:rPr>
        <w:fldChar w:fldCharType="begin"/>
      </w:r>
      <w:r w:rsidRPr="00930CE4">
        <w:rPr>
          <w:i/>
        </w:rPr>
        <w:instrText xml:space="preserve"> TC"(</w:instrText>
      </w:r>
      <w:bookmarkStart w:id="2" w:name="DocNumber"/>
      <w:r w:rsidRPr="00930CE4">
        <w:rPr>
          <w:i/>
        </w:rPr>
        <w:instrText>A</w:instrText>
      </w:r>
      <w:r w:rsidRPr="005B0328">
        <w:rPr>
          <w:i/>
        </w:rPr>
        <w:instrText>9</w:instrText>
      </w:r>
      <w:r w:rsidRPr="00930CE4">
        <w:rPr>
          <w:i/>
        </w:rPr>
        <w:instrText>-</w:instrText>
      </w:r>
      <w:r w:rsidRPr="005B0328">
        <w:rPr>
          <w:i/>
        </w:rPr>
        <w:instrText>0077</w:instrText>
      </w:r>
      <w:r w:rsidRPr="00930CE4">
        <w:rPr>
          <w:i/>
        </w:rPr>
        <w:instrText>/</w:instrText>
      </w:r>
      <w:r w:rsidRPr="005B0328">
        <w:rPr>
          <w:i/>
        </w:rPr>
        <w:instrText>2024</w:instrText>
      </w:r>
      <w:bookmarkEnd w:id="2"/>
      <w:r w:rsidRPr="00930CE4">
        <w:rPr>
          <w:i/>
        </w:rPr>
        <w:instrText xml:space="preserve"> - Izvjestiteljica: Sandra Kalniete)"\l</w:instrText>
      </w:r>
      <w:r w:rsidRPr="005B0328">
        <w:rPr>
          <w:i/>
        </w:rPr>
        <w:instrText>3</w:instrText>
      </w:r>
      <w:r w:rsidRPr="00930CE4">
        <w:rPr>
          <w:i/>
        </w:rPr>
        <w:instrText xml:space="preserve"> \n&gt; \* MERGEFORMAT </w:instrText>
      </w:r>
      <w:r w:rsidRPr="00930CE4">
        <w:rPr>
          <w:i/>
        </w:rPr>
        <w:fldChar w:fldCharType="end"/>
      </w:r>
    </w:p>
    <w:p w:rsidR="004940DF" w:rsidRPr="00930CE4" w:rsidRDefault="004940DF" w:rsidP="004940DF">
      <w:pPr>
        <w:rPr>
          <w:vanish/>
        </w:rPr>
      </w:pPr>
      <w:bookmarkStart w:id="3" w:name="Commission"/>
      <w:r w:rsidRPr="00930CE4">
        <w:rPr>
          <w:vanish/>
        </w:rPr>
        <w:t>Odbor za međunarodnu trgovinu</w:t>
      </w:r>
      <w:bookmarkEnd w:id="3"/>
    </w:p>
    <w:p w:rsidR="004940DF" w:rsidRPr="00930CE4" w:rsidRDefault="00BB2931" w:rsidP="004940DF">
      <w:pPr>
        <w:rPr>
          <w:vanish/>
        </w:rPr>
      </w:pPr>
      <w:bookmarkStart w:id="4" w:name="PE"/>
      <w:r w:rsidRPr="00930CE4">
        <w:rPr>
          <w:vanish/>
        </w:rPr>
        <w:t>PE</w:t>
      </w:r>
      <w:r w:rsidRPr="005B0328">
        <w:rPr>
          <w:vanish/>
        </w:rPr>
        <w:t>758</w:t>
      </w:r>
      <w:r w:rsidRPr="00930CE4">
        <w:rPr>
          <w:vanish/>
        </w:rPr>
        <w:t>.</w:t>
      </w:r>
      <w:r w:rsidRPr="005B0328">
        <w:rPr>
          <w:vanish/>
        </w:rPr>
        <w:t>86</w:t>
      </w:r>
      <w:r w:rsidR="004940DF" w:rsidRPr="005B0328">
        <w:rPr>
          <w:vanish/>
        </w:rPr>
        <w:t>1</w:t>
      </w:r>
      <w:bookmarkEnd w:id="4"/>
    </w:p>
    <w:p w:rsidR="004940DF" w:rsidRPr="00930CE4" w:rsidRDefault="004940DF" w:rsidP="004940DF">
      <w:pPr>
        <w:pStyle w:val="ATHeading3"/>
      </w:pPr>
      <w:bookmarkStart w:id="5" w:name="Sujet"/>
      <w:r w:rsidRPr="00930CE4">
        <w:t xml:space="preserve">Zakonodavna rezolucija Europskog parlamenta od </w:t>
      </w:r>
      <w:r w:rsidR="00A91F06" w:rsidRPr="005B0328">
        <w:t>23</w:t>
      </w:r>
      <w:r w:rsidR="00A91F06" w:rsidRPr="00930CE4">
        <w:t>. travnja</w:t>
      </w:r>
      <w:r w:rsidRPr="00930CE4">
        <w:t xml:space="preserve"> </w:t>
      </w:r>
      <w:r w:rsidRPr="005B0328">
        <w:t>2024</w:t>
      </w:r>
      <w:r w:rsidRPr="00930CE4">
        <w:t>. o Prijedlogu uredbe Europskog parlamenta i Vijeća o privremenim mjerama liberalizacije trgovine kojima se dopunjuju trgovinske povlastice koje se primjenjuju na ukrajinske proizvode na temelju Sporazuma o pridruživanju između Europske unije i Europske zajednice za atomsku energiju te njihovih država članica, s jedne strane, i Ukrajine, s druge strane</w:t>
      </w:r>
      <w:bookmarkEnd w:id="5"/>
      <w:r w:rsidRPr="00930CE4">
        <w:t xml:space="preserve"> </w:t>
      </w:r>
      <w:bookmarkStart w:id="6" w:name="References"/>
      <w:r w:rsidRPr="00930CE4">
        <w:t>(COM(</w:t>
      </w:r>
      <w:r w:rsidRPr="005B0328">
        <w:t>2024</w:t>
      </w:r>
      <w:r w:rsidRPr="00930CE4">
        <w:t>)</w:t>
      </w:r>
      <w:r w:rsidRPr="005B0328">
        <w:t>0050</w:t>
      </w:r>
      <w:r w:rsidRPr="00930CE4">
        <w:t xml:space="preserve"> – C</w:t>
      </w:r>
      <w:r w:rsidRPr="005B0328">
        <w:t>9</w:t>
      </w:r>
      <w:r w:rsidRPr="00930CE4">
        <w:t>-</w:t>
      </w:r>
      <w:r w:rsidRPr="005B0328">
        <w:t>0021</w:t>
      </w:r>
      <w:r w:rsidRPr="00930CE4">
        <w:t>/</w:t>
      </w:r>
      <w:r w:rsidRPr="005B0328">
        <w:t>2024</w:t>
      </w:r>
      <w:r w:rsidRPr="00930CE4">
        <w:t xml:space="preserve"> – </w:t>
      </w:r>
      <w:r w:rsidRPr="005B0328">
        <w:t>2024</w:t>
      </w:r>
      <w:r w:rsidRPr="00930CE4">
        <w:t>/</w:t>
      </w:r>
      <w:r w:rsidRPr="005B0328">
        <w:t>0028</w:t>
      </w:r>
      <w:r w:rsidRPr="00930CE4">
        <w:t>(COD))</w:t>
      </w:r>
      <w:bookmarkEnd w:id="6"/>
    </w:p>
    <w:p w:rsidR="00FB4A21" w:rsidRPr="00930CE4" w:rsidRDefault="00FB4A21" w:rsidP="00FB4A21">
      <w:pPr>
        <w:pStyle w:val="NormalBold"/>
      </w:pPr>
      <w:bookmarkStart w:id="7" w:name="TextBodyBegin"/>
      <w:bookmarkEnd w:id="7"/>
      <w:r w:rsidRPr="00930CE4">
        <w:t>(Redovni zakonodavni postupak: prvo čitanje)</w:t>
      </w:r>
    </w:p>
    <w:p w:rsidR="00FB4A21" w:rsidRPr="00930CE4" w:rsidRDefault="00FB4A21" w:rsidP="00FB4A21">
      <w:pPr>
        <w:pStyle w:val="EPComma"/>
      </w:pPr>
      <w:r w:rsidRPr="00930CE4">
        <w:rPr>
          <w:i/>
        </w:rPr>
        <w:t>Europski parlament</w:t>
      </w:r>
      <w:r w:rsidRPr="00930CE4">
        <w:t>,</w:t>
      </w:r>
    </w:p>
    <w:p w:rsidR="00FB4A21" w:rsidRPr="00930CE4" w:rsidRDefault="00FB4A21" w:rsidP="00FB4A21">
      <w:pPr>
        <w:pStyle w:val="NormalHanging12a"/>
      </w:pPr>
      <w:r w:rsidRPr="00930CE4">
        <w:t>–</w:t>
      </w:r>
      <w:r w:rsidRPr="00930CE4">
        <w:tab/>
        <w:t>uzimajući u obzir Prijedlog Komisije upućen Europskom parlamentu i Vijeću (COM(</w:t>
      </w:r>
      <w:r w:rsidRPr="005B0328">
        <w:t>2024</w:t>
      </w:r>
      <w:r w:rsidRPr="00930CE4">
        <w:t>)</w:t>
      </w:r>
      <w:r w:rsidRPr="005B0328">
        <w:t>0050</w:t>
      </w:r>
      <w:r w:rsidRPr="00930CE4">
        <w:t>),</w:t>
      </w:r>
    </w:p>
    <w:p w:rsidR="00FB4A21" w:rsidRPr="00930CE4" w:rsidRDefault="00FB4A21" w:rsidP="00FB4A21">
      <w:pPr>
        <w:pStyle w:val="NormalHanging12a"/>
      </w:pPr>
      <w:r w:rsidRPr="00930CE4">
        <w:t>–</w:t>
      </w:r>
      <w:r w:rsidRPr="00930CE4">
        <w:tab/>
        <w:t xml:space="preserve">uzimajući u obzir članak </w:t>
      </w:r>
      <w:r w:rsidRPr="005B0328">
        <w:t>294</w:t>
      </w:r>
      <w:r w:rsidRPr="00930CE4">
        <w:t xml:space="preserve">. stavak </w:t>
      </w:r>
      <w:r w:rsidRPr="005B0328">
        <w:t>2</w:t>
      </w:r>
      <w:r w:rsidRPr="00930CE4">
        <w:t xml:space="preserve">. i članak </w:t>
      </w:r>
      <w:r w:rsidRPr="005B0328">
        <w:t>207</w:t>
      </w:r>
      <w:r w:rsidRPr="00930CE4">
        <w:t xml:space="preserve">. stavak </w:t>
      </w:r>
      <w:r w:rsidRPr="005B0328">
        <w:t>2</w:t>
      </w:r>
      <w:r w:rsidRPr="00930CE4">
        <w:t>. Ugovora o funkcioniranju Europske unije, u skladu s kojima je Komisija podnijela Prijedlog Parlamentu (C</w:t>
      </w:r>
      <w:r w:rsidRPr="005B0328">
        <w:t>9</w:t>
      </w:r>
      <w:r w:rsidRPr="00930CE4">
        <w:noBreakHyphen/>
      </w:r>
      <w:r w:rsidRPr="005B0328">
        <w:t>0021</w:t>
      </w:r>
      <w:r w:rsidRPr="00930CE4">
        <w:t>/</w:t>
      </w:r>
      <w:r w:rsidRPr="005B0328">
        <w:t>2024</w:t>
      </w:r>
      <w:r w:rsidRPr="00930CE4">
        <w:t>),</w:t>
      </w:r>
    </w:p>
    <w:p w:rsidR="00FB4A21" w:rsidRPr="00930CE4" w:rsidRDefault="00FB4A21" w:rsidP="00FB4A21">
      <w:pPr>
        <w:pStyle w:val="NormalHanging12a"/>
      </w:pPr>
      <w:r w:rsidRPr="00930CE4">
        <w:t>–</w:t>
      </w:r>
      <w:r w:rsidRPr="00930CE4">
        <w:tab/>
        <w:t xml:space="preserve">uzimajući u obzir članak </w:t>
      </w:r>
      <w:r w:rsidRPr="005B0328">
        <w:t>294</w:t>
      </w:r>
      <w:r w:rsidRPr="00930CE4">
        <w:t xml:space="preserve">. stavak </w:t>
      </w:r>
      <w:r w:rsidRPr="005B0328">
        <w:t>3</w:t>
      </w:r>
      <w:r w:rsidRPr="00930CE4">
        <w:t>. Ugovora o funkcioniranju Europske unije,</w:t>
      </w:r>
    </w:p>
    <w:p w:rsidR="00A91F06" w:rsidRPr="00930CE4" w:rsidRDefault="00A91F06" w:rsidP="00FB4A21">
      <w:pPr>
        <w:pStyle w:val="NormalHanging12a"/>
      </w:pPr>
      <w:r w:rsidRPr="00930CE4">
        <w:t>–</w:t>
      </w:r>
      <w:r w:rsidRPr="00930CE4">
        <w:tab/>
        <w:t xml:space="preserve">uzimajući u obzir privremeni sporazum koji je odobrio nadležni odbor u skladu s člankom </w:t>
      </w:r>
      <w:r w:rsidRPr="005B0328">
        <w:t>74</w:t>
      </w:r>
      <w:r w:rsidRPr="00930CE4">
        <w:t xml:space="preserve">. stavkom </w:t>
      </w:r>
      <w:r w:rsidRPr="005B0328">
        <w:t>4</w:t>
      </w:r>
      <w:r w:rsidRPr="00930CE4">
        <w:t xml:space="preserve">. Poslovnika te činjenicu da se predstavnik Vijeća pismom od </w:t>
      </w:r>
      <w:r w:rsidRPr="005B0328">
        <w:t>8</w:t>
      </w:r>
      <w:r w:rsidRPr="00930CE4">
        <w:t xml:space="preserve">. travnja </w:t>
      </w:r>
      <w:r w:rsidRPr="005B0328">
        <w:t>2024</w:t>
      </w:r>
      <w:r w:rsidRPr="00930CE4">
        <w:t xml:space="preserve">. obvezao prihvatiti stajalište Europskog parlamenta u skladu s člankom </w:t>
      </w:r>
      <w:r w:rsidRPr="005B0328">
        <w:t>294</w:t>
      </w:r>
      <w:r w:rsidRPr="00930CE4">
        <w:t xml:space="preserve">. stavkom </w:t>
      </w:r>
      <w:r w:rsidRPr="005B0328">
        <w:t>4</w:t>
      </w:r>
      <w:r w:rsidRPr="00930CE4">
        <w:t>. Ugovora o funkcioniranju Europske unije,</w:t>
      </w:r>
    </w:p>
    <w:p w:rsidR="00FB4A21" w:rsidRPr="00930CE4" w:rsidRDefault="00FB4A21" w:rsidP="00FB4A21">
      <w:pPr>
        <w:pStyle w:val="NormalHanging12a"/>
      </w:pPr>
      <w:r w:rsidRPr="00930CE4">
        <w:t>–</w:t>
      </w:r>
      <w:r w:rsidRPr="00930CE4">
        <w:tab/>
        <w:t xml:space="preserve">uzimajući u obzir članak </w:t>
      </w:r>
      <w:r w:rsidRPr="005B0328">
        <w:t>59</w:t>
      </w:r>
      <w:r w:rsidRPr="00930CE4">
        <w:t>. Poslovnika,</w:t>
      </w:r>
    </w:p>
    <w:p w:rsidR="00FB4A21" w:rsidRPr="00930CE4" w:rsidRDefault="00FB4A21" w:rsidP="00FB4A21">
      <w:pPr>
        <w:pStyle w:val="NormalHanging12a"/>
      </w:pPr>
      <w:r w:rsidRPr="00930CE4">
        <w:t>–</w:t>
      </w:r>
      <w:r w:rsidRPr="00930CE4">
        <w:tab/>
        <w:t>uzimajući u obzir mišljenje Odbora za poljoprivredu i ruralni razvoj,</w:t>
      </w:r>
    </w:p>
    <w:p w:rsidR="00FB4A21" w:rsidRPr="00930CE4" w:rsidRDefault="00FB4A21" w:rsidP="00FB4A21">
      <w:pPr>
        <w:pStyle w:val="NormalHanging12a"/>
      </w:pPr>
      <w:r w:rsidRPr="00930CE4">
        <w:t>–</w:t>
      </w:r>
      <w:r w:rsidRPr="00930CE4">
        <w:tab/>
        <w:t>uzimajući u obzir izvješće Odbora za međunarodnu trgovinu (A</w:t>
      </w:r>
      <w:r w:rsidRPr="005B0328">
        <w:t>9</w:t>
      </w:r>
      <w:r w:rsidRPr="00930CE4">
        <w:noBreakHyphen/>
      </w:r>
      <w:r w:rsidRPr="005B0328">
        <w:t>0077</w:t>
      </w:r>
      <w:r w:rsidRPr="00930CE4">
        <w:t>/</w:t>
      </w:r>
      <w:r w:rsidRPr="005B0328">
        <w:t>2024</w:t>
      </w:r>
      <w:r w:rsidRPr="00930CE4">
        <w:t>),</w:t>
      </w:r>
    </w:p>
    <w:p w:rsidR="00FB4A21" w:rsidRPr="00930CE4" w:rsidRDefault="00FB4A21" w:rsidP="00FB4A21">
      <w:pPr>
        <w:pStyle w:val="NormalHanging12a"/>
      </w:pPr>
      <w:r w:rsidRPr="005B0328">
        <w:t>1</w:t>
      </w:r>
      <w:r w:rsidRPr="00930CE4">
        <w:t>.</w:t>
      </w:r>
      <w:r w:rsidRPr="00930CE4">
        <w:tab/>
        <w:t xml:space="preserve">usvaja </w:t>
      </w:r>
      <w:r w:rsidR="00A91F06" w:rsidRPr="00930CE4">
        <w:t xml:space="preserve">sljedeće </w:t>
      </w:r>
      <w:r w:rsidRPr="00930CE4">
        <w:t>stajalište u prvom čitanju;</w:t>
      </w:r>
    </w:p>
    <w:p w:rsidR="00A91F06" w:rsidRPr="00930CE4" w:rsidRDefault="00A91F06" w:rsidP="00FB4A21">
      <w:pPr>
        <w:pStyle w:val="NormalHanging12a"/>
      </w:pPr>
      <w:r w:rsidRPr="005B0328">
        <w:t>2</w:t>
      </w:r>
      <w:r w:rsidR="00BF562B">
        <w:t>.</w:t>
      </w:r>
      <w:r w:rsidRPr="00930CE4">
        <w:tab/>
      </w:r>
      <w:r w:rsidR="00797BFE" w:rsidRPr="00930CE4">
        <w:t>prima na znanje</w:t>
      </w:r>
      <w:r w:rsidRPr="00930CE4">
        <w:t xml:space="preserve"> izjave Komisije priložene ovoj rezoluciji koje će biti objavljene u seriji </w:t>
      </w:r>
      <w:r w:rsidRPr="00930CE4">
        <w:lastRenderedPageBreak/>
        <w:t xml:space="preserve">C </w:t>
      </w:r>
      <w:r w:rsidRPr="00930CE4">
        <w:rPr>
          <w:i/>
        </w:rPr>
        <w:t>Službenog lista Europske unije</w:t>
      </w:r>
      <w:r w:rsidRPr="00930CE4">
        <w:t>;</w:t>
      </w:r>
    </w:p>
    <w:p w:rsidR="00FB4A21" w:rsidRPr="00930CE4" w:rsidRDefault="00A91F06" w:rsidP="00FB4A21">
      <w:pPr>
        <w:pStyle w:val="NormalHanging12a"/>
      </w:pPr>
      <w:r w:rsidRPr="005B0328">
        <w:t>3</w:t>
      </w:r>
      <w:r w:rsidR="00FB4A21" w:rsidRPr="00930CE4">
        <w:t>.</w:t>
      </w:r>
      <w:r w:rsidR="00FB4A21" w:rsidRPr="00930CE4">
        <w:tab/>
        <w:t>poziva Komisiju da predmet ponovno uputi Parlamentu ako zamijeni, bitno izmijeni ili namjerava bitno izmijeniti svoj Prijedlog;</w:t>
      </w:r>
    </w:p>
    <w:p w:rsidR="00FB4A21" w:rsidRPr="00930CE4" w:rsidRDefault="00A91F06" w:rsidP="005B0328">
      <w:pPr>
        <w:pStyle w:val="NormalHanging12a"/>
      </w:pPr>
      <w:r w:rsidRPr="005B0328">
        <w:t>4</w:t>
      </w:r>
      <w:r w:rsidR="00FB4A21" w:rsidRPr="00930CE4">
        <w:t>.</w:t>
      </w:r>
      <w:r w:rsidR="00FB4A21" w:rsidRPr="00930CE4">
        <w:tab/>
        <w:t>nalaže svojoj predsjednici da stajalište Parlamenta proslijedi Vijeću, Komisiji i nacionalnim parlamentima.</w:t>
      </w:r>
    </w:p>
    <w:p w:rsidR="00A91F06" w:rsidRPr="00930CE4" w:rsidRDefault="00A91F06" w:rsidP="004940DF">
      <w:pPr>
        <w:sectPr w:rsidR="00A91F06" w:rsidRPr="00930CE4" w:rsidSect="00BA4FFA">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A91F06" w:rsidRPr="00930CE4" w:rsidRDefault="00A91F06" w:rsidP="00930CE4">
      <w:pPr>
        <w:autoSpaceDE w:val="0"/>
        <w:autoSpaceDN w:val="0"/>
        <w:adjustRightInd w:val="0"/>
        <w:spacing w:after="120"/>
        <w:rPr>
          <w:b/>
          <w:bCs/>
          <w:color w:val="000000"/>
        </w:rPr>
      </w:pPr>
      <w:r w:rsidRPr="00930CE4">
        <w:rPr>
          <w:b/>
          <w:bCs/>
          <w:color w:val="000000"/>
        </w:rPr>
        <w:lastRenderedPageBreak/>
        <w:t>P</w:t>
      </w:r>
      <w:r w:rsidRPr="005B0328">
        <w:rPr>
          <w:b/>
          <w:bCs/>
          <w:color w:val="000000"/>
        </w:rPr>
        <w:t>9</w:t>
      </w:r>
      <w:r w:rsidRPr="00930CE4">
        <w:rPr>
          <w:b/>
          <w:bCs/>
          <w:color w:val="000000"/>
        </w:rPr>
        <w:t>_TC</w:t>
      </w:r>
      <w:r w:rsidRPr="005B0328">
        <w:rPr>
          <w:b/>
          <w:bCs/>
          <w:color w:val="000000"/>
        </w:rPr>
        <w:t>1</w:t>
      </w:r>
      <w:r w:rsidRPr="00930CE4">
        <w:rPr>
          <w:b/>
          <w:bCs/>
          <w:color w:val="000000"/>
        </w:rPr>
        <w:t>-COD(</w:t>
      </w:r>
      <w:r w:rsidRPr="005B0328">
        <w:rPr>
          <w:b/>
          <w:bCs/>
          <w:color w:val="000000"/>
        </w:rPr>
        <w:t>2024</w:t>
      </w:r>
      <w:r w:rsidRPr="00930CE4">
        <w:rPr>
          <w:b/>
          <w:bCs/>
          <w:color w:val="000000"/>
        </w:rPr>
        <w:t>)</w:t>
      </w:r>
      <w:r w:rsidRPr="005B0328">
        <w:rPr>
          <w:b/>
          <w:bCs/>
          <w:color w:val="000000"/>
        </w:rPr>
        <w:t>0028</w:t>
      </w:r>
    </w:p>
    <w:p w:rsidR="00A91F06" w:rsidRPr="00930CE4" w:rsidRDefault="00A91F06" w:rsidP="00930CE4">
      <w:pPr>
        <w:widowControl/>
        <w:spacing w:before="240" w:after="360"/>
        <w:rPr>
          <w:rFonts w:eastAsia="Calibri"/>
          <w:b/>
          <w:noProof/>
          <w:szCs w:val="22"/>
          <w:lang w:eastAsia="en-US"/>
        </w:rPr>
      </w:pPr>
      <w:r w:rsidRPr="00930CE4">
        <w:rPr>
          <w:rFonts w:eastAsia="Calibri"/>
          <w:b/>
          <w:noProof/>
          <w:szCs w:val="22"/>
          <w:lang w:eastAsia="en-US"/>
        </w:rPr>
        <w:t xml:space="preserve">Stajalište Europskog parlamenta usvojeno u prvom čitanju </w:t>
      </w:r>
      <w:r w:rsidRPr="005B0328">
        <w:rPr>
          <w:rFonts w:eastAsia="Calibri"/>
          <w:b/>
          <w:noProof/>
          <w:szCs w:val="22"/>
          <w:lang w:eastAsia="en-US"/>
        </w:rPr>
        <w:t>23</w:t>
      </w:r>
      <w:r w:rsidRPr="00930CE4">
        <w:rPr>
          <w:rFonts w:eastAsia="Calibri"/>
          <w:b/>
          <w:noProof/>
          <w:szCs w:val="22"/>
          <w:lang w:eastAsia="en-US"/>
        </w:rPr>
        <w:t xml:space="preserve">. travnja </w:t>
      </w:r>
      <w:r w:rsidRPr="005B0328">
        <w:rPr>
          <w:rFonts w:eastAsia="Calibri"/>
          <w:b/>
          <w:noProof/>
          <w:szCs w:val="22"/>
          <w:lang w:eastAsia="en-US"/>
        </w:rPr>
        <w:t>2024</w:t>
      </w:r>
      <w:r w:rsidRPr="00930CE4">
        <w:rPr>
          <w:rFonts w:eastAsia="Calibri"/>
          <w:b/>
          <w:noProof/>
          <w:szCs w:val="22"/>
          <w:lang w:eastAsia="en-US"/>
        </w:rPr>
        <w:t xml:space="preserve">. radi donošenja Uredbe (EU) </w:t>
      </w:r>
      <w:r w:rsidRPr="005B0328">
        <w:rPr>
          <w:rFonts w:eastAsia="Calibri"/>
          <w:b/>
          <w:noProof/>
          <w:szCs w:val="22"/>
          <w:lang w:eastAsia="en-US"/>
        </w:rPr>
        <w:t>2024</w:t>
      </w:r>
      <w:r w:rsidRPr="00930CE4">
        <w:rPr>
          <w:rFonts w:eastAsia="Calibri"/>
          <w:b/>
          <w:noProof/>
          <w:szCs w:val="22"/>
          <w:lang w:eastAsia="en-US"/>
        </w:rPr>
        <w:t>/… Europskog parlamenta i Vijeća o privremenim mjerama liberalizacije trgovine kojima se dopunjuju trgovinske povlastice koje se primjenjuju na ukrajinske proizvode na temelju Sporazuma o pridruživanju između Europske unije i Europske zajednice za atomsku energiju te njihovih država članica, s jedne strane, i Ukrajine, s druge strane</w:t>
      </w:r>
    </w:p>
    <w:p w:rsidR="00BF562B" w:rsidRPr="00CA6FB6" w:rsidRDefault="00BF562B" w:rsidP="00BF562B">
      <w:pPr>
        <w:widowControl/>
        <w:rPr>
          <w:rFonts w:eastAsia="Calibri"/>
          <w:i/>
          <w:szCs w:val="24"/>
          <w:lang w:eastAsia="en-US"/>
        </w:rPr>
      </w:pPr>
      <w:r w:rsidRPr="00CA6FB6">
        <w:rPr>
          <w:rFonts w:eastAsia="Calibri"/>
          <w:i/>
          <w:szCs w:val="24"/>
          <w:lang w:eastAsia="en-US"/>
        </w:rPr>
        <w:t>(S obzirom da je postignut sporazum Parlamenta i Vijeća, stajalište Parlamenta odgovara konačnom za</w:t>
      </w:r>
      <w:r>
        <w:rPr>
          <w:rFonts w:eastAsia="Calibri"/>
          <w:i/>
          <w:szCs w:val="24"/>
          <w:lang w:eastAsia="en-US"/>
        </w:rPr>
        <w:t>konoda</w:t>
      </w:r>
      <w:r>
        <w:rPr>
          <w:rFonts w:eastAsia="Calibri"/>
          <w:i/>
          <w:szCs w:val="24"/>
          <w:lang w:eastAsia="en-US"/>
        </w:rPr>
        <w:t>vnom aktu, Uredbi (EU) 2024/1392</w:t>
      </w:r>
      <w:r>
        <w:rPr>
          <w:rFonts w:eastAsia="Calibri"/>
          <w:i/>
          <w:szCs w:val="24"/>
          <w:lang w:eastAsia="en-US"/>
        </w:rPr>
        <w:t>.</w:t>
      </w:r>
      <w:r w:rsidRPr="00CA6FB6">
        <w:rPr>
          <w:rFonts w:eastAsia="Calibri"/>
          <w:i/>
          <w:szCs w:val="24"/>
          <w:lang w:eastAsia="en-US"/>
        </w:rPr>
        <w:t>)</w:t>
      </w:r>
    </w:p>
    <w:p w:rsidR="00A91F06" w:rsidRPr="00930CE4" w:rsidRDefault="00A91F06" w:rsidP="00BF562B">
      <w:pPr>
        <w:spacing w:after="240"/>
      </w:pPr>
    </w:p>
    <w:p w:rsidR="00BF562B" w:rsidRDefault="00BF562B">
      <w:pPr>
        <w:widowControl/>
        <w:rPr>
          <w:szCs w:val="24"/>
        </w:rPr>
      </w:pPr>
      <w:r>
        <w:rPr>
          <w:szCs w:val="24"/>
        </w:rPr>
        <w:br w:type="page"/>
      </w:r>
    </w:p>
    <w:p w:rsidR="00A91F06" w:rsidRPr="00930CE4" w:rsidRDefault="00A91F06" w:rsidP="00930CE4">
      <w:pPr>
        <w:spacing w:before="360"/>
        <w:jc w:val="right"/>
        <w:rPr>
          <w:szCs w:val="24"/>
        </w:rPr>
      </w:pPr>
      <w:r w:rsidRPr="00930CE4">
        <w:rPr>
          <w:szCs w:val="24"/>
        </w:rPr>
        <w:lastRenderedPageBreak/>
        <w:t>PRILOG ZAKONODAVNOJ REZOLUCIJI</w:t>
      </w:r>
    </w:p>
    <w:p w:rsidR="00A91F06" w:rsidRPr="00930CE4" w:rsidRDefault="00A91F06" w:rsidP="00A91F06">
      <w:pPr>
        <w:spacing w:before="360"/>
        <w:jc w:val="center"/>
        <w:rPr>
          <w:b/>
          <w:bCs/>
          <w:szCs w:val="24"/>
          <w:lang w:eastAsia="en-US"/>
        </w:rPr>
      </w:pPr>
      <w:r w:rsidRPr="00930CE4">
        <w:rPr>
          <w:rFonts w:eastAsia="Calibri"/>
          <w:b/>
          <w:szCs w:val="24"/>
          <w:lang w:eastAsia="en-US"/>
        </w:rPr>
        <w:t xml:space="preserve">Izjava Komisije o praćenju uvoza žitarica iz Ukrajine povodom donošenja Uredbe </w:t>
      </w:r>
      <w:r w:rsidR="00BF562B">
        <w:rPr>
          <w:rFonts w:eastAsia="Calibri"/>
          <w:b/>
          <w:szCs w:val="24"/>
          <w:lang w:eastAsia="en-US"/>
        </w:rPr>
        <w:t xml:space="preserve">(EU) </w:t>
      </w:r>
      <w:r w:rsidRPr="005B0328">
        <w:rPr>
          <w:rFonts w:eastAsia="Calibri"/>
          <w:b/>
          <w:szCs w:val="24"/>
          <w:lang w:eastAsia="en-US"/>
        </w:rPr>
        <w:t>2024</w:t>
      </w:r>
      <w:r w:rsidR="00BF562B">
        <w:rPr>
          <w:rFonts w:eastAsia="Calibri"/>
          <w:b/>
          <w:szCs w:val="24"/>
          <w:lang w:eastAsia="en-US"/>
        </w:rPr>
        <w:t>/1392</w:t>
      </w:r>
    </w:p>
    <w:p w:rsidR="00A91F06" w:rsidRPr="00930CE4" w:rsidRDefault="00A91F06" w:rsidP="00A91F06">
      <w:pPr>
        <w:widowControl/>
        <w:spacing w:before="120" w:after="120"/>
        <w:rPr>
          <w:szCs w:val="24"/>
          <w:lang w:eastAsia="en-US"/>
        </w:rPr>
      </w:pPr>
      <w:r w:rsidRPr="00930CE4">
        <w:rPr>
          <w:rFonts w:eastAsia="Calibri"/>
          <w:szCs w:val="22"/>
          <w:lang w:eastAsia="en-US"/>
        </w:rPr>
        <w:t>Agresivni rat Rusije protiv Ukrajine poremetio je postojeće lance opskrbe. EU pruža potporu Ukrajini kako bi se ponovno uspostavio normalan protok žitarica i druge robe, posebno koridorima solidarnosti, te kako bi se osiguralo da žitarice koje se izvoze stignu na odredišta, posebno na tržišta trećih zemalja, kako bi se osigurala globalna sigurnost opskrbe hranom.</w:t>
      </w:r>
    </w:p>
    <w:p w:rsidR="00A91F06" w:rsidRPr="00930CE4" w:rsidRDefault="00A91F06" w:rsidP="00A91F06">
      <w:pPr>
        <w:widowControl/>
        <w:spacing w:before="120" w:after="120"/>
        <w:rPr>
          <w:szCs w:val="24"/>
          <w:lang w:eastAsia="en-US"/>
        </w:rPr>
      </w:pPr>
      <w:r w:rsidRPr="00930CE4">
        <w:rPr>
          <w:rFonts w:eastAsia="Calibri"/>
          <w:szCs w:val="22"/>
          <w:lang w:eastAsia="en-US"/>
        </w:rPr>
        <w:t>Komisija intenzivno radi na tome da se pruži potpora Ukrajini, a istodobno zaštite interesi proizvođača žitarica iz EU-a i osigura pravilno funkcioniranje tržišta žitarica u EU-u.</w:t>
      </w:r>
    </w:p>
    <w:p w:rsidR="00A91F06" w:rsidRPr="00930CE4" w:rsidRDefault="00A91F06" w:rsidP="00A91F06">
      <w:pPr>
        <w:widowControl/>
        <w:spacing w:before="120" w:after="120"/>
        <w:rPr>
          <w:szCs w:val="24"/>
          <w:lang w:eastAsia="en-US"/>
        </w:rPr>
      </w:pPr>
      <w:r w:rsidRPr="00930CE4">
        <w:rPr>
          <w:rFonts w:eastAsia="Calibri"/>
          <w:szCs w:val="22"/>
          <w:lang w:eastAsia="en-US"/>
        </w:rPr>
        <w:t xml:space="preserve">S obzirom na važnost proizvodnje žitarica i tržišta žitarica, Komisija će posebnu pozornost posvetiti praćenju uvoza žitarica, prvenstveno pšenice, a osobito koncentraciji takvog uvoza u državama članicama koje graniče s Ukrajinom. U okviru redovitog dijaloga s Ukrajinom Komisija će nastojati riješiti sve probleme koji se utvrde praćenjem. Komisija podsjeća da uvoz iz Ukrajine može podlijegati nadzoru u skladu s poglavljem IV. Uredbe (EU) </w:t>
      </w:r>
      <w:r w:rsidRPr="005B0328">
        <w:rPr>
          <w:rFonts w:eastAsia="Calibri"/>
          <w:szCs w:val="22"/>
          <w:lang w:eastAsia="en-US"/>
        </w:rPr>
        <w:t>2015</w:t>
      </w:r>
      <w:r w:rsidRPr="00930CE4">
        <w:rPr>
          <w:rFonts w:eastAsia="Calibri"/>
          <w:szCs w:val="22"/>
          <w:lang w:eastAsia="en-US"/>
        </w:rPr>
        <w:t>/</w:t>
      </w:r>
      <w:r w:rsidRPr="005B0328">
        <w:rPr>
          <w:rFonts w:eastAsia="Calibri"/>
          <w:szCs w:val="22"/>
          <w:lang w:eastAsia="en-US"/>
        </w:rPr>
        <w:t>478</w:t>
      </w:r>
      <w:r w:rsidRPr="00930CE4">
        <w:rPr>
          <w:rFonts w:eastAsia="Calibri"/>
          <w:szCs w:val="22"/>
          <w:lang w:eastAsia="en-US"/>
        </w:rPr>
        <w:t xml:space="preserve"> Europskog parlamenta i Vijeća od </w:t>
      </w:r>
      <w:r w:rsidRPr="005B0328">
        <w:rPr>
          <w:rFonts w:eastAsia="Calibri"/>
          <w:szCs w:val="22"/>
          <w:lang w:eastAsia="en-US"/>
        </w:rPr>
        <w:t>11</w:t>
      </w:r>
      <w:r w:rsidRPr="00930CE4">
        <w:rPr>
          <w:rFonts w:eastAsia="Calibri"/>
          <w:szCs w:val="22"/>
          <w:lang w:eastAsia="en-US"/>
        </w:rPr>
        <w:t xml:space="preserve">. ožujka </w:t>
      </w:r>
      <w:r w:rsidRPr="005B0328">
        <w:rPr>
          <w:rFonts w:eastAsia="Calibri"/>
          <w:szCs w:val="22"/>
          <w:lang w:eastAsia="en-US"/>
        </w:rPr>
        <w:t>2015</w:t>
      </w:r>
      <w:r w:rsidRPr="00930CE4">
        <w:rPr>
          <w:rFonts w:eastAsia="Calibri"/>
          <w:szCs w:val="22"/>
          <w:lang w:eastAsia="en-US"/>
        </w:rPr>
        <w:t>. o zajedničkim pravilima za uvoz, koji može biti u obliku uvoznih dozvola, ako kretanje uvoza prijeti nanošenjem štete proizvođačima iz Unije i ako to zahtijevaju interesi Unije. U tom će se pogledu Komisija prema potrebi koristiti alatima koji su joj na raspolaganju. Komisija će nastaviti redovito izvješćivati države članice o rezultatima redovitog dijaloga s Ukrajinom.</w:t>
      </w:r>
    </w:p>
    <w:p w:rsidR="00A91F06" w:rsidRPr="00930CE4" w:rsidRDefault="00A91F06" w:rsidP="00A91F06">
      <w:pPr>
        <w:widowControl/>
        <w:spacing w:before="120" w:after="120"/>
        <w:rPr>
          <w:szCs w:val="24"/>
          <w:lang w:eastAsia="en-US"/>
        </w:rPr>
      </w:pPr>
      <w:r w:rsidRPr="00930CE4">
        <w:rPr>
          <w:rFonts w:eastAsia="Calibri"/>
          <w:szCs w:val="22"/>
          <w:lang w:eastAsia="en-US"/>
        </w:rPr>
        <w:t xml:space="preserve">Komisija podsjeća i da je Uredbom predviđen pojačani zaštitni mehanizam za proizvode na koje se primjenjuju autonomne trgovinske mjere. Komisija je prvi put uvela tu mogućnost i spremna je aktivirati mehanizam u slučaju štetnih učinaka na tržište jedne ili više država članica, a ne samo na tržište EU-a u cjelini. U tom će pogledu Komisija u potpunosti iskoristiti svoje ovlasti da po službenoj dužnosti aktivira pojačani zaštitni mehanizam za uvoz pšenice iz Ukrajine. </w:t>
      </w:r>
    </w:p>
    <w:p w:rsidR="00A91F06" w:rsidRPr="00930CE4" w:rsidRDefault="00A91F06" w:rsidP="00A91F06">
      <w:pPr>
        <w:widowControl/>
        <w:spacing w:before="120" w:after="120"/>
        <w:rPr>
          <w:rFonts w:eastAsia="Calibri"/>
          <w:szCs w:val="22"/>
          <w:lang w:eastAsia="en-US"/>
        </w:rPr>
      </w:pPr>
      <w:r w:rsidRPr="00930CE4">
        <w:rPr>
          <w:rFonts w:eastAsia="Calibri"/>
          <w:szCs w:val="22"/>
          <w:lang w:eastAsia="en-US"/>
        </w:rPr>
        <w:t xml:space="preserve">Komisija podsjeća da je </w:t>
      </w:r>
      <w:r w:rsidRPr="005B0328">
        <w:rPr>
          <w:rFonts w:eastAsia="Calibri"/>
          <w:szCs w:val="22"/>
          <w:lang w:eastAsia="en-US"/>
        </w:rPr>
        <w:t>2022</w:t>
      </w:r>
      <w:r w:rsidRPr="00930CE4">
        <w:rPr>
          <w:rFonts w:eastAsia="Calibri"/>
          <w:szCs w:val="22"/>
          <w:lang w:eastAsia="en-US"/>
        </w:rPr>
        <w:t xml:space="preserve">. i </w:t>
      </w:r>
      <w:r w:rsidRPr="005B0328">
        <w:rPr>
          <w:rFonts w:eastAsia="Calibri"/>
          <w:szCs w:val="22"/>
          <w:lang w:eastAsia="en-US"/>
        </w:rPr>
        <w:t>2023</w:t>
      </w:r>
      <w:r w:rsidRPr="00930CE4">
        <w:rPr>
          <w:rFonts w:eastAsia="Calibri"/>
          <w:szCs w:val="22"/>
          <w:lang w:eastAsia="en-US"/>
        </w:rPr>
        <w:t>. donijela mjere za potporu europskim poljoprivrednicima u svim državama članicama, a posebno onima koje graniče s Ukrajinom.</w:t>
      </w:r>
    </w:p>
    <w:p w:rsidR="00A91F06" w:rsidRPr="00930CE4" w:rsidRDefault="00A91F06" w:rsidP="00A91F06">
      <w:pPr>
        <w:widowControl/>
        <w:spacing w:before="360" w:after="120" w:line="360" w:lineRule="auto"/>
        <w:jc w:val="center"/>
        <w:rPr>
          <w:rFonts w:eastAsia="Calibri"/>
          <w:b/>
          <w:sz w:val="28"/>
          <w:szCs w:val="22"/>
          <w:lang w:eastAsia="en-US"/>
        </w:rPr>
      </w:pPr>
      <w:r w:rsidRPr="00930CE4">
        <w:rPr>
          <w:rFonts w:eastAsia="Calibri"/>
          <w:b/>
          <w:sz w:val="28"/>
          <w:szCs w:val="22"/>
          <w:lang w:eastAsia="en-US"/>
        </w:rPr>
        <w:br w:type="page"/>
      </w:r>
    </w:p>
    <w:p w:rsidR="00A91F06" w:rsidRPr="00930CE4" w:rsidRDefault="00A91F06" w:rsidP="00A91F06">
      <w:pPr>
        <w:widowControl/>
        <w:spacing w:before="360" w:after="120"/>
        <w:jc w:val="center"/>
        <w:rPr>
          <w:b/>
          <w:bCs/>
          <w:szCs w:val="24"/>
          <w:lang w:eastAsia="en-US"/>
        </w:rPr>
      </w:pPr>
      <w:r w:rsidRPr="00930CE4">
        <w:rPr>
          <w:rFonts w:eastAsia="Calibri"/>
          <w:b/>
          <w:szCs w:val="24"/>
          <w:lang w:eastAsia="en-US"/>
        </w:rPr>
        <w:lastRenderedPageBreak/>
        <w:t xml:space="preserve">Izjava Komisije o postupku preispitivanja na temelju članka </w:t>
      </w:r>
      <w:r w:rsidRPr="005B0328">
        <w:rPr>
          <w:rFonts w:eastAsia="Calibri"/>
          <w:b/>
          <w:szCs w:val="24"/>
          <w:lang w:eastAsia="en-US"/>
        </w:rPr>
        <w:t>29</w:t>
      </w:r>
      <w:r w:rsidRPr="00930CE4">
        <w:rPr>
          <w:rFonts w:eastAsia="Calibri"/>
          <w:b/>
          <w:szCs w:val="24"/>
          <w:lang w:eastAsia="en-US"/>
        </w:rPr>
        <w:t xml:space="preserve">. Sporazuma o pridruživanju povodom donošenja Uredbe </w:t>
      </w:r>
      <w:r w:rsidR="00BF562B">
        <w:rPr>
          <w:rFonts w:eastAsia="Calibri"/>
          <w:b/>
          <w:szCs w:val="24"/>
          <w:lang w:eastAsia="en-US"/>
        </w:rPr>
        <w:t xml:space="preserve">(EU) </w:t>
      </w:r>
      <w:r w:rsidRPr="005B0328">
        <w:rPr>
          <w:rFonts w:eastAsia="Calibri"/>
          <w:b/>
          <w:szCs w:val="24"/>
          <w:lang w:eastAsia="en-US"/>
        </w:rPr>
        <w:t>2024</w:t>
      </w:r>
      <w:r w:rsidR="00BF562B">
        <w:rPr>
          <w:rFonts w:eastAsia="Calibri"/>
          <w:b/>
          <w:szCs w:val="24"/>
          <w:lang w:eastAsia="en-US"/>
        </w:rPr>
        <w:t>/1392</w:t>
      </w:r>
    </w:p>
    <w:p w:rsidR="00A91F06" w:rsidRPr="00930CE4" w:rsidRDefault="00A91F06" w:rsidP="00A91F06">
      <w:pPr>
        <w:widowControl/>
        <w:spacing w:before="360" w:after="120"/>
        <w:rPr>
          <w:szCs w:val="24"/>
          <w:lang w:eastAsia="en-US"/>
        </w:rPr>
      </w:pPr>
      <w:r w:rsidRPr="00930CE4">
        <w:rPr>
          <w:rFonts w:eastAsia="Calibri"/>
          <w:szCs w:val="22"/>
          <w:lang w:eastAsia="en-US"/>
        </w:rPr>
        <w:t xml:space="preserve">Komisija potvrđuje da će, čim suzakonodavci donesu nove autonomne trgovinske mjere, poduzeti potrebne korake u skladu s člankom </w:t>
      </w:r>
      <w:r w:rsidRPr="005B0328">
        <w:rPr>
          <w:rFonts w:eastAsia="Calibri"/>
          <w:szCs w:val="22"/>
          <w:lang w:eastAsia="en-US"/>
        </w:rPr>
        <w:t>29</w:t>
      </w:r>
      <w:r w:rsidRPr="00930CE4">
        <w:rPr>
          <w:rFonts w:eastAsia="Calibri"/>
          <w:szCs w:val="22"/>
          <w:lang w:eastAsia="en-US"/>
        </w:rPr>
        <w:t>. Sporazuma o pridruživanju kako bi se savjetovala s Ukrajinom radi nastavka procesa uzajamne liberalizacije carina.</w:t>
      </w:r>
    </w:p>
    <w:p w:rsidR="00A91F06" w:rsidRPr="00930CE4" w:rsidRDefault="00A91F06" w:rsidP="00A91F06">
      <w:pPr>
        <w:widowControl/>
        <w:spacing w:before="360" w:after="120"/>
        <w:rPr>
          <w:szCs w:val="24"/>
          <w:lang w:eastAsia="en-US"/>
        </w:rPr>
      </w:pPr>
      <w:r w:rsidRPr="00930CE4">
        <w:rPr>
          <w:rFonts w:eastAsia="Calibri"/>
          <w:szCs w:val="22"/>
          <w:lang w:eastAsia="en-US"/>
        </w:rPr>
        <w:t>Komisija će blisko surađivati s Europskim parlamentom i obavješćivati ga o napretku tih savjetovanja s Ukrajinom. Komisija će uzeti u obzir eventualne primjedbe Europskog parlamenta u tom pogledu.</w:t>
      </w:r>
    </w:p>
    <w:p w:rsidR="00A91F06" w:rsidRPr="00930CE4" w:rsidRDefault="00A91F06" w:rsidP="00A91F06">
      <w:pPr>
        <w:widowControl/>
        <w:spacing w:before="360" w:after="120"/>
        <w:rPr>
          <w:szCs w:val="24"/>
          <w:lang w:eastAsia="en-US"/>
        </w:rPr>
      </w:pPr>
      <w:r w:rsidRPr="00930CE4">
        <w:rPr>
          <w:rFonts w:eastAsia="Calibri"/>
          <w:szCs w:val="22"/>
          <w:lang w:eastAsia="en-US"/>
        </w:rPr>
        <w:t xml:space="preserve">Komisija podsjeća da ti postupci ne predstavljaju presedan za klauzule o preispitivanju u bilo kojem drugom sporazumu i ne odstupaju od članka </w:t>
      </w:r>
      <w:r w:rsidRPr="005B0328">
        <w:rPr>
          <w:rFonts w:eastAsia="Calibri"/>
          <w:szCs w:val="22"/>
          <w:lang w:eastAsia="en-US"/>
        </w:rPr>
        <w:t>218</w:t>
      </w:r>
      <w:r w:rsidRPr="00930CE4">
        <w:rPr>
          <w:rFonts w:eastAsia="Calibri"/>
          <w:szCs w:val="22"/>
          <w:lang w:eastAsia="en-US"/>
        </w:rPr>
        <w:t>. UFEU-a.</w:t>
      </w:r>
    </w:p>
    <w:p w:rsidR="00A91F06" w:rsidRPr="00930CE4" w:rsidRDefault="00A91F06" w:rsidP="00A91F06">
      <w:pPr>
        <w:widowControl/>
        <w:spacing w:before="360" w:after="120"/>
      </w:pPr>
      <w:bookmarkStart w:id="9" w:name="_Hlk162345814"/>
      <w:r w:rsidRPr="00930CE4">
        <w:rPr>
          <w:rFonts w:eastAsia="Calibri"/>
          <w:szCs w:val="22"/>
          <w:lang w:eastAsia="en-US"/>
        </w:rPr>
        <w:t>Ishod tog postupka donijet će gospodarsku sigurnost i stabilnu trgovinu Ukrajini i EU-u, poljoprivrednicima i poduzećima. Bit će to važan korak u obnovi Ukrajine i njezinoj daljnjoj integraciji u unutarnje tržište EU-a u okviru njezina budućeg pristupanja Uniji.</w:t>
      </w:r>
      <w:bookmarkStart w:id="10" w:name="_GoBack"/>
      <w:bookmarkEnd w:id="9"/>
      <w:bookmarkEnd w:id="10"/>
    </w:p>
    <w:p w:rsidR="00E365E1" w:rsidRPr="00930CE4" w:rsidRDefault="00E365E1" w:rsidP="00A91F06"/>
    <w:sectPr w:rsidR="00E365E1" w:rsidRPr="00930CE4" w:rsidSect="00006BB8">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0DF" w:rsidRPr="00BA4FFA" w:rsidRDefault="004940DF">
      <w:r w:rsidRPr="00BA4FFA">
        <w:separator/>
      </w:r>
    </w:p>
  </w:endnote>
  <w:endnote w:type="continuationSeparator" w:id="0">
    <w:p w:rsidR="004940DF" w:rsidRPr="00BA4FFA" w:rsidRDefault="004940DF">
      <w:r w:rsidRPr="00BA4F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87D" w:rsidRPr="005B0328" w:rsidRDefault="00BF562B" w:rsidP="005B0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0DF" w:rsidRPr="00BA4FFA" w:rsidRDefault="004940DF">
      <w:r w:rsidRPr="00BA4FFA">
        <w:separator/>
      </w:r>
    </w:p>
  </w:footnote>
  <w:footnote w:type="continuationSeparator" w:id="0">
    <w:p w:rsidR="004940DF" w:rsidRPr="00BA4FFA" w:rsidRDefault="004940DF">
      <w:r w:rsidRPr="00BA4FF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HR"/>
    <w:docVar w:name="dvnumam" w:val="0"/>
    <w:docVar w:name="dvpe" w:val="758.681"/>
    <w:docVar w:name="dvrapporteur" w:val="Izvjestiteljica: "/>
    <w:docVar w:name="dvstar" w:val="***I"/>
    <w:docVar w:name="dvtitre" w:val="Zakonodavna rezolucija Europskog parlamenta od .... 2024. o Prijedlogu uredbe Europskog parlamenta i Vijeća o privremenim mjerama liberalizacije trgovine kojima se dopunjuju trgovinske povlastice koje se primjenjuju na ukrajinske proizvode na temelju Sporazuma o pridruživanju između Europske unije i Europske zajednice za atomsku energiju te njihovih država članica, s jedne strane, i Ukrajine, s druge strane(COM(2024)0050 – C9-0021/2024 – 2024/0028(COD))"/>
  </w:docVars>
  <w:rsids>
    <w:rsidRoot w:val="004940D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0DF"/>
    <w:rsid w:val="00494A28"/>
    <w:rsid w:val="004C0004"/>
    <w:rsid w:val="004C5D52"/>
    <w:rsid w:val="0050519A"/>
    <w:rsid w:val="005072A1"/>
    <w:rsid w:val="00514517"/>
    <w:rsid w:val="00545827"/>
    <w:rsid w:val="00560270"/>
    <w:rsid w:val="005B0328"/>
    <w:rsid w:val="005C2568"/>
    <w:rsid w:val="006037C0"/>
    <w:rsid w:val="006631B6"/>
    <w:rsid w:val="00680577"/>
    <w:rsid w:val="006F74FA"/>
    <w:rsid w:val="00731ADD"/>
    <w:rsid w:val="00734777"/>
    <w:rsid w:val="00747932"/>
    <w:rsid w:val="00751A4A"/>
    <w:rsid w:val="00756632"/>
    <w:rsid w:val="00762C74"/>
    <w:rsid w:val="00786EC0"/>
    <w:rsid w:val="00797BFE"/>
    <w:rsid w:val="007D1690"/>
    <w:rsid w:val="007E22AD"/>
    <w:rsid w:val="00817416"/>
    <w:rsid w:val="00842779"/>
    <w:rsid w:val="00865F67"/>
    <w:rsid w:val="00881A7B"/>
    <w:rsid w:val="008840E5"/>
    <w:rsid w:val="00887B3E"/>
    <w:rsid w:val="008C2AC6"/>
    <w:rsid w:val="00930C23"/>
    <w:rsid w:val="00930CE4"/>
    <w:rsid w:val="0093193B"/>
    <w:rsid w:val="009509D8"/>
    <w:rsid w:val="00950B64"/>
    <w:rsid w:val="00981893"/>
    <w:rsid w:val="00A1687D"/>
    <w:rsid w:val="00A43E52"/>
    <w:rsid w:val="00A4678D"/>
    <w:rsid w:val="00A778C7"/>
    <w:rsid w:val="00A91F06"/>
    <w:rsid w:val="00AB441E"/>
    <w:rsid w:val="00AB6293"/>
    <w:rsid w:val="00AE0928"/>
    <w:rsid w:val="00AF3B82"/>
    <w:rsid w:val="00B12E95"/>
    <w:rsid w:val="00B22876"/>
    <w:rsid w:val="00B558F0"/>
    <w:rsid w:val="00BA4FFA"/>
    <w:rsid w:val="00BB2931"/>
    <w:rsid w:val="00BD48FE"/>
    <w:rsid w:val="00BD7BD8"/>
    <w:rsid w:val="00BE6ADC"/>
    <w:rsid w:val="00BF562B"/>
    <w:rsid w:val="00C05BFE"/>
    <w:rsid w:val="00C23CD4"/>
    <w:rsid w:val="00C61C0C"/>
    <w:rsid w:val="00C9384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A21"/>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7B63C"/>
  <w15:chartTrackingRefBased/>
  <w15:docId w15:val="{35A94762-CEF2-4C78-84D7-AD4749BD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4A21"/>
    <w:pPr>
      <w:spacing w:before="480" w:after="240"/>
    </w:pPr>
  </w:style>
  <w:style w:type="paragraph" w:customStyle="1" w:styleId="NormalBold">
    <w:name w:val="NormalBold"/>
    <w:basedOn w:val="Normal"/>
    <w:link w:val="NormalBoldChar"/>
    <w:rsid w:val="00FB4A21"/>
    <w:rPr>
      <w:b/>
    </w:rPr>
  </w:style>
  <w:style w:type="paragraph" w:customStyle="1" w:styleId="NormalHanging12a">
    <w:name w:val="NormalHanging12a"/>
    <w:basedOn w:val="Normal"/>
    <w:rsid w:val="00FB4A21"/>
    <w:pPr>
      <w:spacing w:after="240"/>
      <w:ind w:left="567" w:hanging="567"/>
    </w:pPr>
  </w:style>
  <w:style w:type="character" w:customStyle="1" w:styleId="NormalBoldChar">
    <w:name w:val="NormalBold Char"/>
    <w:basedOn w:val="DefaultParagraphFont"/>
    <w:link w:val="NormalBold"/>
    <w:locked/>
    <w:rsid w:val="00FB4A21"/>
    <w:rPr>
      <w:b/>
      <w:sz w:val="24"/>
      <w:lang w:val="hr-HR"/>
    </w:rPr>
  </w:style>
  <w:style w:type="paragraph" w:styleId="BalloonText">
    <w:name w:val="Balloon Text"/>
    <w:basedOn w:val="Normal"/>
    <w:link w:val="BalloonTextChar"/>
    <w:rsid w:val="00A91F06"/>
    <w:rPr>
      <w:rFonts w:ascii="Segoe UI" w:hAnsi="Segoe UI" w:cs="Segoe UI"/>
      <w:sz w:val="18"/>
      <w:szCs w:val="18"/>
    </w:rPr>
  </w:style>
  <w:style w:type="character" w:customStyle="1" w:styleId="BalloonTextChar">
    <w:name w:val="Balloon Text Char"/>
    <w:basedOn w:val="DefaultParagraphFont"/>
    <w:link w:val="BalloonText"/>
    <w:rsid w:val="00A91F06"/>
    <w:rPr>
      <w:rFonts w:ascii="Segoe UI" w:hAnsi="Segoe UI" w:cs="Segoe UI"/>
      <w:sz w:val="18"/>
      <w:szCs w:val="18"/>
      <w:lang w:val="hr-HR"/>
    </w:rPr>
  </w:style>
  <w:style w:type="paragraph" w:customStyle="1" w:styleId="EPFooter2">
    <w:name w:val="EPFooter2"/>
    <w:basedOn w:val="Normal"/>
    <w:next w:val="Normal"/>
    <w:rsid w:val="00A91F06"/>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A91F06"/>
    <w:pPr>
      <w:tabs>
        <w:tab w:val="center" w:pos="4535"/>
        <w:tab w:val="right" w:pos="9071"/>
      </w:tabs>
      <w:spacing w:before="240" w:after="240"/>
    </w:pPr>
    <w:rPr>
      <w:color w:val="010000"/>
      <w:sz w:val="22"/>
    </w:rPr>
  </w:style>
  <w:style w:type="paragraph" w:styleId="Header">
    <w:name w:val="header"/>
    <w:basedOn w:val="Normal"/>
    <w:link w:val="HeaderChar"/>
    <w:rsid w:val="005B0328"/>
    <w:pPr>
      <w:tabs>
        <w:tab w:val="center" w:pos="4513"/>
        <w:tab w:val="right" w:pos="9026"/>
      </w:tabs>
    </w:pPr>
  </w:style>
  <w:style w:type="character" w:customStyle="1" w:styleId="HeaderChar">
    <w:name w:val="Header Char"/>
    <w:basedOn w:val="DefaultParagraphFont"/>
    <w:link w:val="Header"/>
    <w:rsid w:val="005B0328"/>
    <w:rPr>
      <w:sz w:val="24"/>
      <w:lang w:val="hr-HR"/>
    </w:rPr>
  </w:style>
  <w:style w:type="paragraph" w:styleId="Footer">
    <w:name w:val="footer"/>
    <w:basedOn w:val="Normal"/>
    <w:link w:val="FooterChar"/>
    <w:rsid w:val="005B0328"/>
    <w:pPr>
      <w:tabs>
        <w:tab w:val="center" w:pos="4513"/>
        <w:tab w:val="right" w:pos="9026"/>
      </w:tabs>
    </w:pPr>
  </w:style>
  <w:style w:type="character" w:customStyle="1" w:styleId="FooterChar">
    <w:name w:val="Footer Char"/>
    <w:basedOn w:val="DefaultParagraphFont"/>
    <w:link w:val="Footer"/>
    <w:rsid w:val="005B032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5B198-F8D9-4975-A400-87CBBE3A7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818</Words>
  <Characters>5157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2024-10-03T15:16:00Z</dcterms:created>
  <dcterms:modified xsi:type="dcterms:W3CDTF">2024-10-03T15:16:00Z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P9_TA(2024)0304_</vt:lpwstr>
  </property>
  <property fmtid="{D5CDD505-2E9C-101B-9397-08002B2CF9AE}" pid="4" name="&lt;Type&gt;">
    <vt:lpwstr>RR</vt:lpwstr>
  </property>
</Properties>
</file>